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80013pt;width:484.95pt;height:.1pt;mso-position-horizontal-relative:page;mso-position-vertical-relative:page;z-index:0" coordorigin="1104,982" coordsize="9699,2">
            <v:shape style="position:absolute;left:1104;top:982;width:9699;height:2" coordorigin="1104,982" coordsize="9699,0" path="m1104,982l10802,982e" filled="false" stroked="true" strokeweight=".71997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2180" w:lineRule="exact"/>
        <w:ind w:left="308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drawing>
          <wp:inline distT="0" distB="0" distL="0" distR="0">
            <wp:extent cx="2395007" cy="1384458"/>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395007" cy="1384458"/>
                    </a:xfrm>
                    <a:prstGeom prst="rect">
                      <a:avLst/>
                    </a:prstGeom>
                  </pic:spPr>
                </pic:pic>
              </a:graphicData>
            </a:graphic>
          </wp:inline>
        </w:drawing>
      </w:r>
      <w:r>
        <w:rPr>
          <w:rFonts w:ascii="Times New Roman" w:hAnsi="Times New Roman" w:cs="Times New Roman" w:eastAsia="Times New Roman" w:hint="default"/>
          <w:position w:val="-43"/>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上海华峰超纤材料股份有限公司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421"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422" w:right="242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0"/>
        <w:jc w:val="left"/>
        <w:rPr>
          <w:b w:val="0"/>
          <w:bCs w:val="0"/>
        </w:rPr>
      </w:pPr>
      <w:bookmarkStart w:name="_TOC_250009" w:id="1"/>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本公司董事会、监事会及董事、监事、高级管理人员保证本报告所载资料</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不存在任何虚假记载、误导性陈述或者重大遗漏，并对其内容的真实性、准确</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72" w:lineRule="auto" w:before="162"/>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w w:val="95"/>
          <w:sz w:val="28"/>
          <w:szCs w:val="28"/>
        </w:rPr>
        <w:t>公司负责人尤小平、主管会计工作负责人蔡开成及会计机构负责人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sz w:val="28"/>
          <w:szCs w:val="28"/>
        </w:rPr>
      </w:r>
    </w:p>
    <w:p>
      <w:pPr>
        <w:spacing w:line="324" w:lineRule="exact" w:before="0"/>
        <w:ind w:left="153" w:right="0" w:firstLine="0"/>
        <w:jc w:val="left"/>
        <w:rPr>
          <w:rFonts w:ascii="宋体" w:hAnsi="宋体" w:cs="宋体" w:eastAsia="宋体" w:hint="default"/>
          <w:sz w:val="28"/>
          <w:szCs w:val="28"/>
        </w:rPr>
      </w:pP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李德光声明：保证年度报告中财务报告的真实、准确、完整。</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line="408" w:lineRule="auto" w:before="0"/>
        <w:ind w:left="154" w:right="14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本报告中如有涉及未来的计划、业绩预测等方面的内容，均不构成本公司</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认识，并应当理解计划、预测与承诺之间的差异。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82" w:header="747" w:top="1060" w:bottom="1180" w:left="980" w:right="98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422" w:right="242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1"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9"/>
            </w:rPr>
            <w:t> </w:t>
          </w:r>
          <w:r>
            <w:rPr/>
            <w:t>年度报告</w:t>
          </w:r>
          <w:r>
            <w:rPr>
              <w:rFonts w:ascii="Times New Roman" w:hAnsi="Times New Roman" w:cs="Times New Roman" w:eastAsia="Times New Roman" w:hint="default"/>
            </w:rPr>
            <w:tab/>
            <w:t>1</w:t>
          </w:r>
          <w:r>
            <w:rPr>
              <w:rFonts w:ascii="Times New Roman" w:hAnsi="Times New Roman" w:cs="Times New Roman" w:eastAsia="Times New Roman" w:hint="default"/>
              <w:b w:val="0"/>
              <w:bCs w:val="0"/>
            </w:rPr>
          </w:r>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第一节</w:t>
            </w:r>
            <w:r>
              <w:rPr>
                <w:spacing w:val="-19"/>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第二节</w:t>
            </w:r>
            <w:r>
              <w:rPr>
                <w:spacing w:val="-19"/>
              </w:rPr>
              <w:t> </w:t>
            </w:r>
            <w:r>
              <w:rPr/>
              <w:t>公司基本情况简介</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第三节</w:t>
            </w:r>
            <w:r>
              <w:rPr>
                <w:spacing w:val="-18"/>
              </w:rPr>
              <w:t> </w:t>
            </w:r>
            <w:r>
              <w:rPr/>
              <w:t>会计数据和财务指标摘要</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第四节</w:t>
            </w:r>
            <w:r>
              <w:rPr>
                <w:spacing w:val="-19"/>
              </w:rPr>
              <w:t> </w:t>
            </w:r>
            <w:r>
              <w:rPr/>
              <w:t>董事会报告</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5">
            <w:r>
              <w:rPr/>
              <w:t>第五节</w:t>
            </w:r>
            <w:r>
              <w:rPr>
                <w:spacing w:val="-19"/>
              </w:rPr>
              <w:t> </w:t>
            </w:r>
            <w:r>
              <w:rPr/>
              <w:t>重要事项</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第六节</w:t>
            </w:r>
            <w:r>
              <w:rPr>
                <w:spacing w:val="-19"/>
              </w:rPr>
              <w:t> </w:t>
            </w:r>
            <w:r>
              <w:rPr/>
              <w:t>股份变动及股东情况</w:t>
            </w:r>
            <w:r>
              <w:rPr>
                <w:rFonts w:ascii="Times New Roman" w:hAnsi="Times New Roman" w:cs="Times New Roman" w:eastAsia="Times New Roman" w:hint="default"/>
              </w:rPr>
              <w:tab/>
              <w:t>34</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第七节</w:t>
            </w:r>
            <w:r>
              <w:rPr>
                <w:spacing w:val="-19"/>
              </w:rPr>
              <w:t> </w:t>
            </w:r>
            <w:r>
              <w:rPr/>
              <w:t>董事、监事、高级管理人员和员工情况</w:t>
            </w:r>
            <w:r>
              <w:rPr>
                <w:rFonts w:ascii="Times New Roman" w:hAnsi="Times New Roman" w:cs="Times New Roman" w:eastAsia="Times New Roman" w:hint="default"/>
              </w:rPr>
              <w:tab/>
              <w:t>40</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第八节</w:t>
            </w:r>
            <w:r>
              <w:rPr>
                <w:spacing w:val="-19"/>
              </w:rPr>
              <w:t> </w:t>
            </w:r>
            <w:r>
              <w:rPr/>
              <w:t>公司治理</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第九节</w:t>
            </w:r>
            <w:r>
              <w:rPr>
                <w:spacing w:val="-19"/>
              </w:rPr>
              <w:t> </w:t>
            </w:r>
            <w:r>
              <w:rPr/>
              <w:t>财务报告</w:t>
            </w:r>
            <w:r>
              <w:rPr>
                <w:rFonts w:ascii="Times New Roman" w:hAnsi="Times New Roman" w:cs="Times New Roman" w:eastAsia="Times New Roman" w:hint="default"/>
              </w:rPr>
              <w:tab/>
              <w:t>48</w:t>
            </w:r>
            <w:r>
              <w:rPr>
                <w:rFonts w:ascii="Times New Roman" w:hAnsi="Times New Roman" w:cs="Times New Roman" w:eastAsia="Times New Roman" w:hint="default"/>
                <w:b w:val="0"/>
                <w:bCs w:val="0"/>
              </w:rPr>
            </w:r>
          </w:hyperlink>
        </w:p>
        <w:p>
          <w:pPr>
            <w:pStyle w:val="TOC1"/>
            <w:tabs>
              <w:tab w:pos="9781"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第十节</w:t>
            </w:r>
            <w:r>
              <w:rPr>
                <w:spacing w:val="-18"/>
              </w:rPr>
              <w:t> </w:t>
            </w:r>
            <w:r>
              <w:rPr/>
              <w:t>备查文件目录</w:t>
            </w:r>
            <w:r>
              <w:rPr>
                <w:rFonts w:ascii="Times New Roman" w:hAnsi="Times New Roman" w:cs="Times New Roman" w:eastAsia="Times New Roman" w:hint="default"/>
              </w:rPr>
              <w:tab/>
            </w:r>
            <w:r>
              <w:rPr>
                <w:rFonts w:ascii="Times New Roman" w:hAnsi="Times New Roman" w:cs="Times New Roman" w:eastAsia="Times New Roman" w:hint="default"/>
                <w:spacing w:val="-5"/>
              </w:rPr>
              <w:t>110</w:t>
            </w:r>
            <w:r>
              <w:rPr>
                <w:rFonts w:ascii="Times New Roman" w:hAnsi="Times New Roman" w:cs="Times New Roman" w:eastAsia="Times New Roman" w:hint="default"/>
                <w:b w:val="0"/>
                <w:bCs w:val="0"/>
                <w:spacing w:val="-5"/>
              </w:rPr>
            </w:r>
          </w:hyperlink>
        </w:p>
      </w:sdtContent>
    </w:sdt>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before="946"/>
        <w:ind w:left="2422" w:right="242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57"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20" w:type="dxa"/>
            <w:tcBorders>
              <w:top w:val="single" w:sz="4" w:space="0" w:color="000000"/>
              <w:left w:val="single" w:sz="4" w:space="0" w:color="000000"/>
              <w:bottom w:val="nil" w:sz="6" w:space="0" w:color="auto"/>
              <w:right w:val="single" w:sz="4" w:space="0" w:color="000000"/>
            </w:tcBorders>
            <w:shd w:val="clear" w:color="auto" w:fill="D3D3D3"/>
          </w:tcPr>
          <w:p>
            <w:pPr/>
          </w:p>
        </w:tc>
        <w:tc>
          <w:tcPr>
            <w:tcW w:w="542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指超细纤维聚氨酯合成革，是以拥有三维立体构造的超细纤维无纺布</w:t>
            </w:r>
          </w:p>
        </w:tc>
      </w:tr>
      <w:tr>
        <w:trPr>
          <w:trHeight w:val="317" w:hRule="exact"/>
        </w:trPr>
        <w:tc>
          <w:tcPr>
            <w:tcW w:w="352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超细纤维聚氨酯合成革、超纤合成革、超纤</w:t>
            </w:r>
          </w:p>
        </w:tc>
        <w:tc>
          <w:tcPr>
            <w:tcW w:w="6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3"/>
                <w:sz w:val="18"/>
                <w:szCs w:val="18"/>
              </w:rPr>
              <w:t>作为基布，以聚氨酯（</w:t>
            </w:r>
            <w:r>
              <w:rPr>
                <w:rFonts w:ascii="Times New Roman" w:hAnsi="Times New Roman" w:cs="Times New Roman" w:eastAsia="Times New Roman" w:hint="default"/>
                <w:spacing w:val="-3"/>
                <w:sz w:val="18"/>
                <w:szCs w:val="18"/>
              </w:rPr>
              <w:t>PU</w:t>
            </w:r>
            <w:r>
              <w:rPr>
                <w:rFonts w:ascii="宋体" w:hAnsi="宋体" w:cs="宋体" w:eastAsia="宋体" w:hint="default"/>
                <w:spacing w:val="-3"/>
                <w:sz w:val="18"/>
                <w:szCs w:val="18"/>
              </w:rPr>
              <w:t>）树脂涂覆表层的具有束状超细纤维结构的</w:t>
            </w:r>
          </w:p>
        </w:tc>
      </w:tr>
      <w:tr>
        <w:trPr>
          <w:trHeight w:val="352"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20" w:type="dxa"/>
            <w:tcBorders>
              <w:top w:val="nil" w:sz="6" w:space="0" w:color="auto"/>
              <w:left w:val="single" w:sz="4" w:space="0" w:color="000000"/>
              <w:bottom w:val="single" w:sz="4" w:space="0" w:color="000000"/>
              <w:right w:val="single" w:sz="4" w:space="0" w:color="000000"/>
            </w:tcBorders>
            <w:shd w:val="clear" w:color="auto" w:fill="D3D3D3"/>
          </w:tcPr>
          <w:p>
            <w:pPr/>
          </w:p>
        </w:tc>
        <w:tc>
          <w:tcPr>
            <w:tcW w:w="542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9"/>
              <w:jc w:val="left"/>
              <w:rPr>
                <w:rFonts w:ascii="宋体" w:hAnsi="宋体" w:cs="宋体" w:eastAsia="宋体" w:hint="default"/>
                <w:sz w:val="18"/>
                <w:szCs w:val="18"/>
              </w:rPr>
            </w:pPr>
            <w:r>
              <w:rPr>
                <w:rFonts w:ascii="宋体" w:hAnsi="宋体" w:cs="宋体" w:eastAsia="宋体" w:hint="default"/>
                <w:sz w:val="18"/>
                <w:szCs w:val="18"/>
              </w:rPr>
              <w:t>合成革，称之为超细纤维聚氨酯合成革，是一种新型的合成革产品。</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126" w:right="0"/>
        <w:jc w:val="left"/>
        <w:rPr>
          <w:b w:val="0"/>
          <w:bCs w:val="0"/>
        </w:rPr>
      </w:pPr>
      <w:bookmarkStart w:name="_TOC_250008" w:id="2"/>
      <w:r>
        <w:rPr/>
        <w:t>第二节</w:t>
      </w:r>
      <w:r>
        <w:rPr>
          <w:spacing w:val="-9"/>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30"/>
        <w:gridCol w:w="2306"/>
        <w:gridCol w:w="2156"/>
        <w:gridCol w:w="2177"/>
      </w:tblGrid>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华峰超纤</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300180</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华峰超纤</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Huafon Microfibre (Shanghai) Co.,</w:t>
            </w:r>
            <w:r>
              <w:rPr>
                <w:rFonts w:ascii="Times New Roman"/>
                <w:spacing w:val="-4"/>
                <w:sz w:val="18"/>
              </w:rPr>
              <w:t> </w:t>
            </w:r>
            <w:r>
              <w:rPr>
                <w:rFonts w:ascii="Times New Roman"/>
                <w:sz w:val="18"/>
              </w:rPr>
              <w:t>Ltd.</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Huafon Microfibre</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尤小平</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201508</w:t>
            </w:r>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tabs>
                <w:tab w:pos="2551" w:val="left" w:leader="none"/>
              </w:tabs>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pacing w:val="-1"/>
                  <w:sz w:val="18"/>
                </w:rPr>
                <w:t>http://microfibre.huafeng.com</w:t>
              </w:r>
            </w:hyperlink>
            <w:r>
              <w:rPr>
                <w:rFonts w:ascii="Times New Roman"/>
                <w:spacing w:val="-1"/>
                <w:sz w:val="18"/>
              </w:rPr>
              <w:tab/>
            </w:r>
            <w:hyperlink r:id="rId10">
              <w:r>
                <w:rPr>
                  <w:rFonts w:ascii="Times New Roman"/>
                  <w:spacing w:val="-1"/>
                  <w:sz w:val="18"/>
                </w:rPr>
                <w:t>http://www.hfmicrofibre.com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r>
      <w:tr>
        <w:trPr>
          <w:trHeight w:val="402"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3" w:hRule="exact"/>
        </w:trPr>
        <w:tc>
          <w:tcPr>
            <w:tcW w:w="2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3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上海市南京东路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上海市金山区亭卫南路 </w:t>
            </w:r>
            <w:r>
              <w:rPr>
                <w:rFonts w:ascii="Times New Roman" w:hAnsi="Times New Roman" w:cs="Times New Roman" w:eastAsia="Times New Roman" w:hint="default"/>
                <w:sz w:val="18"/>
                <w:szCs w:val="18"/>
              </w:rPr>
              <w:t>888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021-57243140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021-57245968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chengming2003@126.com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60"/>
        <w:gridCol w:w="5708"/>
      </w:tblGrid>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证券时报、中国证券报、上海证券报、证券日报</w:t>
            </w:r>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上海市金山区亭卫南路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888 </w:t>
            </w:r>
            <w:r>
              <w:rPr>
                <w:rFonts w:ascii="宋体" w:hAnsi="宋体" w:cs="宋体" w:eastAsia="宋体" w:hint="default"/>
                <w:sz w:val="18"/>
                <w:szCs w:val="18"/>
              </w:rPr>
              <w:t>号证券事务部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四、公司历史沿革</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251"/>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上海市工商行政管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310228000524099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9"/>
              <w:jc w:val="right"/>
              <w:rPr>
                <w:rFonts w:ascii="Times New Roman" w:hAnsi="Times New Roman" w:cs="Times New Roman" w:eastAsia="Times New Roman" w:hint="default"/>
                <w:sz w:val="18"/>
                <w:szCs w:val="18"/>
              </w:rPr>
            </w:pPr>
            <w:r>
              <w:rPr>
                <w:rFonts w:ascii="Times New Roman"/>
                <w:sz w:val="18"/>
              </w:rPr>
              <w:t>310228744207135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74420713-5</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首次公开发行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上海市工商行政管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310228000524099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9"/>
              <w:jc w:val="right"/>
              <w:rPr>
                <w:rFonts w:ascii="Times New Roman" w:hAnsi="Times New Roman" w:cs="Times New Roman" w:eastAsia="Times New Roman" w:hint="default"/>
                <w:sz w:val="18"/>
                <w:szCs w:val="18"/>
              </w:rPr>
            </w:pPr>
            <w:r>
              <w:rPr>
                <w:rFonts w:ascii="Times New Roman"/>
                <w:sz w:val="18"/>
              </w:rPr>
              <w:t>310228744207135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74420713-5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7" w:id="3"/>
      <w:r>
        <w:rPr/>
        <w:t>第三节</w:t>
      </w:r>
      <w:r>
        <w:rPr>
          <w:spacing w:val="-11"/>
        </w:rPr>
        <w:t> </w:t>
      </w:r>
      <w:r>
        <w:rPr/>
        <w:t>会计数据和财务指标摘要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4"/>
        <w:gridCol w:w="1217"/>
        <w:gridCol w:w="1217"/>
        <w:gridCol w:w="1218"/>
        <w:gridCol w:w="1217"/>
        <w:gridCol w:w="1218"/>
        <w:gridCol w:w="1088"/>
      </w:tblGrid>
      <w:tr>
        <w:trPr>
          <w:trHeight w:val="161" w:hRule="exact"/>
        </w:trPr>
        <w:tc>
          <w:tcPr>
            <w:tcW w:w="2394" w:type="dxa"/>
            <w:vMerge w:val="restart"/>
            <w:tcBorders>
              <w:top w:val="single" w:sz="4" w:space="0" w:color="000000"/>
              <w:left w:val="single" w:sz="4" w:space="0" w:color="000000"/>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435"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513" w:right="61" w:hanging="450"/>
              <w:jc w:val="left"/>
              <w:rPr>
                <w:rFonts w:ascii="宋体" w:hAnsi="宋体" w:cs="宋体" w:eastAsia="宋体" w:hint="default"/>
                <w:sz w:val="18"/>
                <w:szCs w:val="18"/>
              </w:rPr>
            </w:pPr>
            <w:r>
              <w:rPr>
                <w:rFonts w:ascii="宋体" w:hAnsi="宋体" w:cs="宋体" w:eastAsia="宋体" w:hint="default"/>
                <w:sz w:val="18"/>
                <w:szCs w:val="18"/>
              </w:rPr>
              <w:t>本年比上年增 减</w:t>
            </w:r>
          </w:p>
        </w:tc>
        <w:tc>
          <w:tcPr>
            <w:tcW w:w="2306"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394" w:type="dxa"/>
            <w:vMerge/>
            <w:tcBorders>
              <w:left w:val="single" w:sz="4" w:space="0" w:color="000000"/>
              <w:bottom w:val="nil" w:sz="6" w:space="0" w:color="auto"/>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43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17" w:type="dxa"/>
            <w:vMerge/>
            <w:tcBorders>
              <w:left w:val="single" w:sz="4" w:space="0" w:color="000000"/>
              <w:right w:val="single" w:sz="4" w:space="0" w:color="000000"/>
            </w:tcBorders>
            <w:shd w:val="clear" w:color="auto" w:fill="D3D3D3"/>
          </w:tcPr>
          <w:p>
            <w:pPr/>
          </w:p>
        </w:tc>
        <w:tc>
          <w:tcPr>
            <w:tcW w:w="230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2394" w:type="dxa"/>
            <w:vMerge w:val="restart"/>
            <w:tcBorders>
              <w:top w:val="nil" w:sz="6" w:space="0" w:color="auto"/>
              <w:left w:val="single" w:sz="4" w:space="0" w:color="000000"/>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435" w:type="dxa"/>
            <w:gridSpan w:val="2"/>
            <w:vMerge/>
            <w:tcBorders>
              <w:left w:val="single" w:sz="4" w:space="0" w:color="000000"/>
              <w:bottom w:val="nil" w:sz="6" w:space="0" w:color="auto"/>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306" w:type="dxa"/>
            <w:gridSpan w:val="2"/>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2394" w:type="dxa"/>
            <w:vMerge/>
            <w:tcBorders>
              <w:left w:val="single" w:sz="4" w:space="0" w:color="000000"/>
              <w:bottom w:val="nil" w:sz="6" w:space="0" w:color="auto"/>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43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shd w:val="clear" w:color="auto" w:fill="D3D3D3"/>
          </w:tcPr>
          <w:p>
            <w:pPr/>
          </w:p>
        </w:tc>
        <w:tc>
          <w:tcPr>
            <w:tcW w:w="2306"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82" w:hRule="exact"/>
        </w:trPr>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shd w:val="clear" w:color="auto" w:fill="D3D3D3"/>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970,313,107.92</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726,549,802.95</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726,549,802.95</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33.55%</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612,265,775.94</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612,265,775.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r>
      <w:tr>
        <w:trPr>
          <w:trHeight w:val="392" w:hRule="exact"/>
        </w:trPr>
        <w:tc>
          <w:tcPr>
            <w:tcW w:w="2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217"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161" w:hRule="exact"/>
        </w:trPr>
        <w:tc>
          <w:tcPr>
            <w:tcW w:w="2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706,808,422.23</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538,310,698.69</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538,310,698.69</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31.30%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447,980,109.19</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447,980,109.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r>
      <w:tr>
        <w:trPr>
          <w:trHeight w:val="392" w:hRule="exact"/>
        </w:trPr>
        <w:tc>
          <w:tcPr>
            <w:tcW w:w="2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营业成本（元）</w:t>
            </w:r>
          </w:p>
        </w:tc>
        <w:tc>
          <w:tcPr>
            <w:tcW w:w="1217"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125,755,300.97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97,483,211.31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95,815,367.38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97,424,778.79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95,507,611.20</w:t>
            </w:r>
          </w:p>
        </w:tc>
      </w:tr>
      <w:tr>
        <w:trPr>
          <w:trHeight w:val="161" w:hRule="exact"/>
        </w:trPr>
        <w:tc>
          <w:tcPr>
            <w:tcW w:w="2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131,497,900.38</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103,854,807.18</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102,186,963.25</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0" w:right="0"/>
              <w:jc w:val="left"/>
              <w:rPr>
                <w:rFonts w:ascii="Times New Roman" w:hAnsi="Times New Roman" w:cs="Times New Roman" w:eastAsia="Times New Roman" w:hint="default"/>
                <w:sz w:val="18"/>
                <w:szCs w:val="18"/>
              </w:rPr>
            </w:pPr>
            <w:r>
              <w:rPr>
                <w:rFonts w:ascii="Times New Roman"/>
                <w:sz w:val="18"/>
              </w:rPr>
              <w:t>28.68%</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99,316,797.12</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97,399,629.5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2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17"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归属于上市公司普通股股东 的净利润（元）</w:t>
            </w:r>
          </w:p>
        </w:tc>
        <w:tc>
          <w:tcPr>
            <w:tcW w:w="12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89,846,302.24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88,178,458.31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30.98%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86,134,988.29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84,217,820.7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9"/>
              <w:jc w:val="both"/>
              <w:rPr>
                <w:rFonts w:ascii="宋体" w:hAnsi="宋体" w:cs="宋体" w:eastAsia="宋体" w:hint="default"/>
                <w:sz w:val="18"/>
                <w:szCs w:val="18"/>
              </w:rPr>
            </w:pPr>
            <w:r>
              <w:rPr>
                <w:rFonts w:ascii="宋体" w:hAnsi="宋体" w:cs="宋体" w:eastAsia="宋体" w:hint="default"/>
                <w:sz w:val="18"/>
                <w:szCs w:val="18"/>
              </w:rPr>
              <w:t>归属于上市公司普通股股东 的扣除非经常性损益后的净 利润（元）</w:t>
            </w:r>
          </w:p>
        </w:tc>
        <w:tc>
          <w:tcPr>
            <w:tcW w:w="12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111,201,846.68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84,153,130.88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82,485,286.95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84,538,022.71</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82,620,855.1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121,831,346.43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58,392,578.56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57,107,552.66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113.34%</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127,385,732.26</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125,816,529.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0.7711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0.3696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0.3614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113.36%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0.8062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0.7963</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30.36%</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0.53</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6.61%</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p>
        </w:tc>
        <w:tc>
          <w:tcPr>
            <w:tcW w:w="121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6.95%</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6.48%</w:t>
            </w:r>
          </w:p>
        </w:tc>
      </w:tr>
      <w:tr>
        <w:trPr>
          <w:trHeight w:val="161" w:hRule="exact"/>
        </w:trPr>
        <w:tc>
          <w:tcPr>
            <w:tcW w:w="2394" w:type="dxa"/>
            <w:vMerge w:val="restart"/>
            <w:tcBorders>
              <w:top w:val="single" w:sz="4" w:space="0" w:color="000000"/>
              <w:left w:val="single" w:sz="4" w:space="0" w:color="000000"/>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35"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33" w:right="61" w:hanging="270"/>
              <w:jc w:val="left"/>
              <w:rPr>
                <w:rFonts w:ascii="宋体" w:hAnsi="宋体" w:cs="宋体" w:eastAsia="宋体" w:hint="default"/>
                <w:sz w:val="18"/>
                <w:szCs w:val="18"/>
              </w:rPr>
            </w:pPr>
            <w:r>
              <w:rPr>
                <w:rFonts w:ascii="宋体" w:hAnsi="宋体" w:cs="宋体" w:eastAsia="宋体" w:hint="default"/>
                <w:sz w:val="18"/>
                <w:szCs w:val="18"/>
              </w:rPr>
              <w:t>本年末比上年 末增减</w:t>
            </w:r>
          </w:p>
        </w:tc>
        <w:tc>
          <w:tcPr>
            <w:tcW w:w="2306"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2394" w:type="dxa"/>
            <w:vMerge/>
            <w:tcBorders>
              <w:left w:val="single" w:sz="4" w:space="0" w:color="000000"/>
              <w:bottom w:val="nil" w:sz="6" w:space="0" w:color="auto"/>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43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217" w:type="dxa"/>
            <w:vMerge/>
            <w:tcBorders>
              <w:left w:val="single" w:sz="4" w:space="0" w:color="000000"/>
              <w:right w:val="single" w:sz="4" w:space="0" w:color="000000"/>
            </w:tcBorders>
            <w:shd w:val="clear" w:color="auto" w:fill="D3D3D3"/>
          </w:tcPr>
          <w:p>
            <w:pPr/>
          </w:p>
        </w:tc>
        <w:tc>
          <w:tcPr>
            <w:tcW w:w="230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2394" w:type="dxa"/>
            <w:vMerge w:val="restart"/>
            <w:tcBorders>
              <w:top w:val="nil" w:sz="6" w:space="0" w:color="auto"/>
              <w:left w:val="single" w:sz="4" w:space="0" w:color="000000"/>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435" w:type="dxa"/>
            <w:gridSpan w:val="2"/>
            <w:vMerge/>
            <w:tcBorders>
              <w:left w:val="single" w:sz="4" w:space="0" w:color="000000"/>
              <w:bottom w:val="nil" w:sz="6" w:space="0" w:color="auto"/>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306" w:type="dxa"/>
            <w:gridSpan w:val="2"/>
            <w:vMerge/>
            <w:tcBorders>
              <w:left w:val="single" w:sz="4" w:space="0" w:color="000000"/>
              <w:bottom w:val="nil" w:sz="6" w:space="0" w:color="auto"/>
              <w:right w:val="single" w:sz="4" w:space="0" w:color="000000"/>
            </w:tcBorders>
            <w:shd w:val="clear" w:color="auto" w:fill="D3D3D3"/>
          </w:tcPr>
          <w:p>
            <w:pPr/>
          </w:p>
        </w:tc>
      </w:tr>
      <w:tr>
        <w:trPr>
          <w:trHeight w:val="181" w:hRule="exact"/>
        </w:trPr>
        <w:tc>
          <w:tcPr>
            <w:tcW w:w="2394" w:type="dxa"/>
            <w:vMerge/>
            <w:tcBorders>
              <w:left w:val="single" w:sz="4" w:space="0" w:color="000000"/>
              <w:bottom w:val="nil" w:sz="6" w:space="0" w:color="auto"/>
              <w:right w:val="single" w:sz="4" w:space="0" w:color="000000"/>
            </w:tcBorders>
            <w:shd w:val="clear" w:color="auto" w:fill="D3D3D3"/>
          </w:tcPr>
          <w:p>
            <w:pPr/>
          </w:p>
        </w:tc>
        <w:tc>
          <w:tcPr>
            <w:tcW w:w="1217" w:type="dxa"/>
            <w:vMerge/>
            <w:tcBorders>
              <w:left w:val="single" w:sz="4" w:space="0" w:color="000000"/>
              <w:right w:val="single" w:sz="4" w:space="0" w:color="000000"/>
            </w:tcBorders>
            <w:shd w:val="clear" w:color="auto" w:fill="D3D3D3"/>
          </w:tcPr>
          <w:p>
            <w:pPr/>
          </w:p>
        </w:tc>
        <w:tc>
          <w:tcPr>
            <w:tcW w:w="243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shd w:val="clear" w:color="auto" w:fill="D3D3D3"/>
          </w:tcPr>
          <w:p>
            <w:pPr/>
          </w:p>
        </w:tc>
        <w:tc>
          <w:tcPr>
            <w:tcW w:w="2306" w:type="dxa"/>
            <w:gridSpan w:val="2"/>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82" w:hRule="exact"/>
        </w:trPr>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shd w:val="clear" w:color="auto" w:fill="D3D3D3"/>
          </w:tcPr>
          <w:p>
            <w:pP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4"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3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1"/>
              <w:ind w:left="26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23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158,000,000.00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158,000,000.00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left"/>
              <w:rPr>
                <w:rFonts w:ascii="Times New Roman" w:hAnsi="Times New Roman" w:cs="Times New Roman" w:eastAsia="Times New Roman" w:hint="default"/>
                <w:sz w:val="18"/>
                <w:szCs w:val="18"/>
              </w:rPr>
            </w:pPr>
            <w:r>
              <w:rPr>
                <w:rFonts w:ascii="Times New Roman"/>
                <w:sz w:val="18"/>
              </w:rPr>
              <w:t>158,000,000.00</w:t>
            </w:r>
          </w:p>
        </w:tc>
        <w:tc>
          <w:tcPr>
            <w:tcW w:w="12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0" w:right="0"/>
              <w:jc w:val="left"/>
              <w:rPr>
                <w:rFonts w:ascii="Times New Roman" w:hAnsi="Times New Roman" w:cs="Times New Roman" w:eastAsia="Times New Roman" w:hint="default"/>
                <w:sz w:val="18"/>
                <w:szCs w:val="18"/>
              </w:rPr>
            </w:pPr>
            <w:r>
              <w:rPr>
                <w:rFonts w:ascii="Times New Roman"/>
                <w:sz w:val="18"/>
              </w:rPr>
              <w:t>0.00%</w:t>
            </w:r>
          </w:p>
        </w:tc>
        <w:tc>
          <w:tcPr>
            <w:tcW w:w="12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158,000,000.00</w:t>
            </w:r>
          </w:p>
        </w:tc>
        <w:tc>
          <w:tcPr>
            <w:tcW w:w="108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23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17"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217" w:type="dxa"/>
            <w:vMerge/>
            <w:tcBorders>
              <w:left w:val="single" w:sz="4" w:space="0" w:color="000000"/>
              <w:right w:val="single" w:sz="4" w:space="0" w:color="000000"/>
            </w:tcBorders>
          </w:tcPr>
          <w:p>
            <w:pPr/>
          </w:p>
        </w:tc>
        <w:tc>
          <w:tcPr>
            <w:tcW w:w="1218" w:type="dxa"/>
            <w:vMerge/>
            <w:tcBorders>
              <w:left w:val="single" w:sz="4" w:space="0" w:color="000000"/>
              <w:right w:val="single" w:sz="4" w:space="0" w:color="000000"/>
            </w:tcBorders>
          </w:tcPr>
          <w:p>
            <w:pPr/>
          </w:p>
        </w:tc>
        <w:tc>
          <w:tcPr>
            <w:tcW w:w="1088" w:type="dxa"/>
            <w:vMerge/>
            <w:tcBorders>
              <w:left w:val="single" w:sz="4" w:space="0" w:color="000000"/>
              <w:right w:val="single" w:sz="4" w:space="0" w:color="000000"/>
            </w:tcBorders>
          </w:tcPr>
          <w:p>
            <w:pPr/>
          </w:p>
        </w:tc>
      </w:tr>
      <w:tr>
        <w:trPr>
          <w:trHeight w:val="161" w:hRule="exact"/>
        </w:trPr>
        <w:tc>
          <w:tcPr>
            <w:tcW w:w="23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7"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217" w:type="dxa"/>
            <w:vMerge/>
            <w:tcBorders>
              <w:left w:val="single" w:sz="4" w:space="0" w:color="000000"/>
              <w:bottom w:val="single" w:sz="4" w:space="0" w:color="000000"/>
              <w:right w:val="single" w:sz="4" w:space="0" w:color="000000"/>
            </w:tcBorders>
          </w:tcPr>
          <w:p>
            <w:pPr/>
          </w:p>
        </w:tc>
        <w:tc>
          <w:tcPr>
            <w:tcW w:w="1218" w:type="dxa"/>
            <w:vMerge/>
            <w:tcBorders>
              <w:left w:val="single" w:sz="4" w:space="0" w:color="000000"/>
              <w:bottom w:val="single" w:sz="4" w:space="0" w:color="000000"/>
              <w:right w:val="single" w:sz="4" w:space="0" w:color="000000"/>
            </w:tcBorders>
          </w:tcPr>
          <w:p>
            <w:pPr/>
          </w:p>
        </w:tc>
        <w:tc>
          <w:tcPr>
            <w:tcW w:w="1088" w:type="dxa"/>
            <w:vMerge/>
            <w:tcBorders>
              <w:left w:val="single" w:sz="4" w:space="0" w:color="000000"/>
              <w:bottom w:val="single" w:sz="4" w:space="0" w:color="000000"/>
              <w:right w:val="single" w:sz="4" w:space="0" w:color="000000"/>
            </w:tcBorders>
          </w:tcPr>
          <w:p>
            <w:pP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1,768,110,178.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1,389,213,848.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1,450,392,587.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1"/>
              <w:jc w:val="right"/>
              <w:rPr>
                <w:rFonts w:ascii="Times New Roman" w:hAnsi="Times New Roman" w:cs="Times New Roman" w:eastAsia="Times New Roman" w:hint="default"/>
                <w:sz w:val="18"/>
                <w:szCs w:val="18"/>
              </w:rPr>
            </w:pPr>
            <w:r>
              <w:rPr>
                <w:rFonts w:ascii="Times New Roman"/>
                <w:spacing w:val="-1"/>
                <w:sz w:val="18"/>
              </w:rPr>
              <w:t>1,335,266,423.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9"/>
              <w:jc w:val="right"/>
              <w:rPr>
                <w:rFonts w:ascii="Times New Roman" w:hAnsi="Times New Roman" w:cs="Times New Roman" w:eastAsia="Times New Roman" w:hint="default"/>
                <w:sz w:val="18"/>
                <w:szCs w:val="18"/>
              </w:rPr>
            </w:pPr>
            <w:r>
              <w:rPr>
                <w:rFonts w:ascii="Times New Roman"/>
                <w:spacing w:val="-1"/>
                <w:sz w:val="18"/>
              </w:rPr>
              <w:t>1,392,525,91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4"/>
        <w:gridCol w:w="1217"/>
        <w:gridCol w:w="1217"/>
        <w:gridCol w:w="1218"/>
        <w:gridCol w:w="1217"/>
        <w:gridCol w:w="1218"/>
        <w:gridCol w:w="1088"/>
      </w:tblGrid>
      <w:tr>
        <w:trPr>
          <w:trHeight w:val="36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33</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92</w:t>
            </w:r>
          </w:p>
        </w:tc>
        <w:tc>
          <w:tcPr>
            <w:tcW w:w="1217"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18"/>
                <w:szCs w:val="18"/>
              </w:rPr>
            </w:pPr>
            <w:r>
              <w:rPr>
                <w:rFonts w:ascii="Times New Roman"/>
                <w:sz w:val="18"/>
              </w:rPr>
              <w:t>32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3.38</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348,984,627.78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66,922,715.28</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72,686,501.44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380.12%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87,021,591.89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87,198,285.2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归属于上市公司普通股股东 的所有者权益（元）</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1,419,125,550.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1,322,291,133.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1,377,706,086.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1,248,244,831.</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1,305,327,62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8.17</w:t>
            </w:r>
          </w:p>
        </w:tc>
      </w:tr>
      <w:tr>
        <w:trPr>
          <w:trHeight w:val="714"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归属于上市公司普通股股东 的每股净资产（元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8.9818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8.3689</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8.7197</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3.01%</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7.9003</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8.2616</w:t>
            </w:r>
          </w:p>
        </w:tc>
      </w:tr>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19.74%</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4.82%</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14.73%</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6.52%</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16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三、非经常性损益的项目及金额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129,182.03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88,023.42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-194,402.72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5,746,177.50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4,945,843.07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2,250,473.82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-693,402.48</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-132,760.12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1,337,729.38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-164,052.77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757,379.54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678,424.51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295,052.75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4,291,817.39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5,693,171.36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1,596,965.58</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1"/>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2" w:lineRule="auto" w:before="44"/>
        <w:ind w:left="153" w:right="135"/>
        <w:jc w:val="left"/>
      </w:pPr>
      <w:r>
        <w:rPr/>
        <w:t>公司报告期不存在将根据《公开发行证券的公司信息披露解释性公告第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r>
        <w:rPr/>
        <w:t>四、重大风险提示</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left="153" w:right="0"/>
        <w:jc w:val="left"/>
      </w:pPr>
      <w:r>
        <w:rPr>
          <w:rFonts w:ascii="Times New Roman" w:hAnsi="Times New Roman" w:cs="Times New Roman" w:eastAsia="Times New Roman" w:hint="default"/>
        </w:rPr>
        <w:t>1</w:t>
      </w:r>
      <w:r>
        <w:rPr/>
        <w:t>、主要原材料价格波动的风险 </w:t>
      </w:r>
      <w:r>
        <w:rPr>
          <w:spacing w:val="-2"/>
        </w:rPr>
        <w:t>公司生产所需的主要原材料为尼龙切片、聚乙烯、</w:t>
      </w:r>
      <w:r>
        <w:rPr>
          <w:rFonts w:ascii="Times New Roman" w:hAnsi="Times New Roman" w:cs="Times New Roman" w:eastAsia="Times New Roman" w:hint="default"/>
          <w:spacing w:val="-2"/>
        </w:rPr>
        <w:t>MDI</w:t>
      </w:r>
      <w:r>
        <w:rPr>
          <w:spacing w:val="-2"/>
        </w:rPr>
        <w:t>以及多元醇等化工产品，公司超纤产品耗用的主要原材料占生产成本</w:t>
      </w:r>
      <w:r>
        <w:rPr>
          <w:spacing w:val="-53"/>
        </w:rPr>
        <w:t> </w:t>
      </w:r>
      <w:r>
        <w:rPr>
          <w:spacing w:val="-53"/>
        </w:rPr>
      </w:r>
      <w:r>
        <w:rPr>
          <w:spacing w:val="-2"/>
        </w:rPr>
        <w:t>的比例较高，原材料价格波动较大将影响公司的经营业绩，</w:t>
      </w:r>
      <w:r>
        <w:rPr>
          <w:rFonts w:ascii="Times New Roman" w:hAnsi="Times New Roman" w:cs="Times New Roman" w:eastAsia="Times New Roman" w:hint="default"/>
          <w:spacing w:val="-2"/>
        </w:rPr>
        <w:t>2015</w:t>
      </w:r>
      <w:r>
        <w:rPr>
          <w:spacing w:val="-2"/>
        </w:rPr>
        <w:t>年，随着世界经济和中国经济的复苏，公司的主要原材料采</w:t>
      </w:r>
      <w:r>
        <w:rPr>
          <w:spacing w:val="-62"/>
        </w:rPr>
        <w:t> </w:t>
      </w:r>
      <w:r>
        <w:rPr>
          <w:spacing w:val="-62"/>
        </w:rPr>
      </w:r>
      <w:r>
        <w:rPr>
          <w:spacing w:val="-2"/>
        </w:rPr>
        <w:t>购价格可能会随着石油价格上升而上升，特别是尼龙采购价格上升幅度将对公司的毛利率造成不利影响，给公司经营带来了</w:t>
      </w:r>
      <w:r>
        <w:rPr>
          <w:spacing w:val="-64"/>
        </w:rPr>
        <w:t> </w:t>
      </w:r>
      <w:r>
        <w:rPr>
          <w:spacing w:val="-64"/>
        </w:rPr>
      </w:r>
      <w:r>
        <w:rPr/>
        <w:t>风险。</w:t>
      </w:r>
    </w:p>
    <w:p>
      <w:pPr>
        <w:pStyle w:val="BodyText"/>
        <w:spacing w:line="307" w:lineRule="auto" w:before="28"/>
        <w:ind w:left="153" w:right="0"/>
        <w:jc w:val="left"/>
      </w:pPr>
      <w:r>
        <w:rPr>
          <w:rFonts w:ascii="Times New Roman" w:hAnsi="Times New Roman" w:cs="Times New Roman" w:eastAsia="Times New Roman" w:hint="default"/>
        </w:rPr>
        <w:t>2</w:t>
      </w:r>
      <w:r>
        <w:rPr/>
        <w:t>、市场需求不足的风险 </w:t>
      </w:r>
      <w:r>
        <w:rPr>
          <w:spacing w:val="-2"/>
        </w:rPr>
        <w:t>公司产品的市场需求受国内宏观经济环境、人们消费观念的转变、环保意识的增强和技术进步的影响较大。由于整体经济环</w:t>
      </w:r>
      <w:r>
        <w:rPr>
          <w:spacing w:val="-66"/>
        </w:rPr>
        <w:t> </w:t>
      </w:r>
      <w:r>
        <w:rPr>
          <w:spacing w:val="-66"/>
        </w:rPr>
      </w:r>
      <w:r>
        <w:rPr>
          <w:spacing w:val="-2"/>
        </w:rPr>
        <w:t>境受到国家调控影响较大，如果</w:t>
      </w:r>
      <w:r>
        <w:rPr>
          <w:rFonts w:ascii="Times New Roman" w:hAnsi="Times New Roman" w:cs="Times New Roman" w:eastAsia="Times New Roman" w:hint="default"/>
          <w:spacing w:val="-2"/>
        </w:rPr>
        <w:t>2015</w:t>
      </w:r>
      <w:r>
        <w:rPr>
          <w:spacing w:val="-2"/>
        </w:rPr>
        <w:t>年经济形势发生不利变化，超纤行业复苏步伐缓慢，新产品推广速度不及预期，人们消</w:t>
      </w:r>
      <w:r>
        <w:rPr>
          <w:spacing w:val="-62"/>
        </w:rPr>
        <w:t> </w:t>
      </w:r>
      <w:r>
        <w:rPr>
          <w:spacing w:val="-62"/>
        </w:rPr>
      </w:r>
      <w:r>
        <w:rPr/>
        <w:t>费观念的转变将会影响公司产品的市场需求，使公司迅速扩张的产能面临市场需求不足的风险。 </w:t>
      </w:r>
      <w:r>
        <w:rPr>
          <w:rFonts w:ascii="Times New Roman" w:hAnsi="Times New Roman" w:cs="Times New Roman" w:eastAsia="Times New Roman" w:hint="default"/>
        </w:rPr>
        <w:t>3</w:t>
      </w:r>
      <w:r>
        <w:rPr/>
        <w:t>、募投项目不能实现预期收益的风险 </w:t>
      </w:r>
      <w:r>
        <w:rPr>
          <w:spacing w:val="-2"/>
        </w:rPr>
        <w:t>公司募集资金投资项目和超募资金投资项目大多属于扩产项目，虽然公司在选择项目时根据市场情况进行了认真仔细的可行</w:t>
      </w:r>
      <w:r>
        <w:rPr>
          <w:spacing w:val="-64"/>
        </w:rPr>
        <w:t> </w:t>
      </w:r>
      <w:r>
        <w:rPr>
          <w:spacing w:val="-64"/>
        </w:rPr>
      </w:r>
      <w:r>
        <w:rPr>
          <w:spacing w:val="-2"/>
        </w:rPr>
        <w:t>性论证，但若</w:t>
      </w:r>
      <w:r>
        <w:rPr>
          <w:rFonts w:ascii="Times New Roman" w:hAnsi="Times New Roman" w:cs="Times New Roman" w:eastAsia="Times New Roman" w:hint="default"/>
          <w:spacing w:val="-2"/>
        </w:rPr>
        <w:t>2015</w:t>
      </w:r>
      <w:r>
        <w:rPr>
          <w:spacing w:val="-2"/>
        </w:rPr>
        <w:t>年超纤消费市场复苏缓慢，市场环境、产业政策等方面出现重大变化，快速增长的固定资产将带来折旧的</w:t>
      </w:r>
      <w:r>
        <w:rPr>
          <w:spacing w:val="-62"/>
        </w:rPr>
        <w:t> </w:t>
      </w:r>
      <w:r>
        <w:rPr>
          <w:spacing w:val="-62"/>
        </w:rPr>
      </w:r>
      <w:r>
        <w:rPr/>
        <w:t>增加，从而影响公司募投项目效益，降低净利润水平。</w:t>
      </w:r>
    </w:p>
    <w:p>
      <w:pPr>
        <w:pStyle w:val="BodyText"/>
        <w:spacing w:line="312" w:lineRule="auto" w:before="26"/>
        <w:ind w:left="153" w:right="0"/>
        <w:jc w:val="left"/>
      </w:pPr>
      <w:r>
        <w:rPr>
          <w:rFonts w:ascii="Times New Roman" w:hAnsi="Times New Roman" w:cs="Times New Roman" w:eastAsia="Times New Roman" w:hint="default"/>
        </w:rPr>
        <w:t>4</w:t>
      </w:r>
      <w:r>
        <w:rPr/>
        <w:t>、环保政策变动的风险 </w:t>
      </w:r>
      <w:r>
        <w:rPr>
          <w:spacing w:val="-2"/>
        </w:rPr>
        <w:t>公司属于塑料制品行业的人造革合成革子行业，细分行业为超细纤维聚氨酯合成革行业。目前公司使用燃煤锅炉，整体能耗</w:t>
      </w:r>
      <w:r>
        <w:rPr>
          <w:spacing w:val="-66"/>
        </w:rPr>
        <w:t> </w:t>
      </w:r>
      <w:r>
        <w:rPr>
          <w:spacing w:val="-66"/>
        </w:rPr>
      </w:r>
      <w:r>
        <w:rPr>
          <w:spacing w:val="-2"/>
        </w:rPr>
        <w:t>较大，且公司在产品生产过程中会产生少量废水、废气等污染物，如果处理不当会污染环境，给周围环境造成不良影响。虽</w:t>
      </w:r>
      <w:r>
        <w:rPr>
          <w:spacing w:val="-66"/>
        </w:rPr>
        <w:t> </w:t>
      </w:r>
      <w:r>
        <w:rPr>
          <w:spacing w:val="-66"/>
        </w:rPr>
      </w:r>
      <w:r>
        <w:rPr/>
        <w:t>然本公司已严格按照有关环保法规及相应标准对上述污染性排放物进行了有效治理，使</w:t>
      </w:r>
      <w:r>
        <w:rPr>
          <w:rFonts w:ascii="Times New Roman" w:hAnsi="Times New Roman" w:cs="Times New Roman" w:eastAsia="Times New Roman" w:hint="default"/>
        </w:rPr>
        <w:t>“</w:t>
      </w:r>
      <w:r>
        <w:rPr/>
        <w:t>三废</w:t>
      </w:r>
      <w:r>
        <w:rPr>
          <w:rFonts w:ascii="Times New Roman" w:hAnsi="Times New Roman" w:cs="Times New Roman" w:eastAsia="Times New Roman" w:hint="default"/>
        </w:rPr>
        <w:t>”</w:t>
      </w:r>
      <w:r>
        <w:rPr/>
        <w:t>的排放达到了环保规定的标 </w:t>
      </w:r>
      <w:r>
        <w:rPr>
          <w:spacing w:val="-2"/>
        </w:rPr>
        <w:t>准，但随着社会环境保护意识的不断增强，特别是雾霾天气的增多，国家及地方政府可能在将来颁布新的法律法规，提高环</w:t>
      </w:r>
      <w:r>
        <w:rPr>
          <w:spacing w:val="-66"/>
        </w:rPr>
        <w:t> </w:t>
      </w:r>
      <w:r>
        <w:rPr>
          <w:spacing w:val="-66"/>
        </w:rPr>
      </w:r>
      <w:r>
        <w:rPr/>
        <w:t>保标准，控制化工企业的开工率，本公司将面临更高的环保成本，进而影响经营业绩。 </w:t>
      </w:r>
      <w:r>
        <w:rPr>
          <w:rFonts w:ascii="Times New Roman" w:hAnsi="Times New Roman" w:cs="Times New Roman" w:eastAsia="Times New Roman" w:hint="default"/>
        </w:rPr>
        <w:t>5</w:t>
      </w:r>
      <w:r>
        <w:rPr/>
        <w:t>、启东项目进度及市场不及预期的风险 </w:t>
      </w:r>
      <w:r>
        <w:rPr>
          <w:spacing w:val="-2"/>
        </w:rPr>
        <w:t>目前子公司江苏华峰超纤材料有限公司已成立，项目用地已落实，发改委备案已完成，但项目开工及实施仍需经当地政府大</w:t>
      </w:r>
      <w:r>
        <w:rPr>
          <w:spacing w:val="-66"/>
        </w:rPr>
        <w:t> </w:t>
      </w:r>
      <w:r>
        <w:rPr>
          <w:spacing w:val="-66"/>
        </w:rPr>
      </w:r>
      <w:r>
        <w:rPr>
          <w:spacing w:val="-2"/>
        </w:rPr>
        <w:t>量的前置审批及工业园区配套基础设施的落实到位，相关进度不可控，项目进度存在延期的风险。虽然公司对超纤行业的发</w:t>
      </w:r>
      <w:r>
        <w:rPr>
          <w:spacing w:val="-66"/>
        </w:rPr>
        <w:t> </w:t>
      </w:r>
      <w:r>
        <w:rPr>
          <w:spacing w:val="-66"/>
        </w:rPr>
      </w:r>
      <w:r>
        <w:rPr/>
        <w:t>展充满信心，但下游市场变化很难可靠预测，项目的市场前景具有不确定性。</w:t>
      </w:r>
    </w:p>
    <w:p>
      <w:pPr>
        <w:spacing w:after="0" w:line="312"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一、管理层讨论与分析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90"/>
        <w:jc w:val="left"/>
        <w:rPr>
          <w:b w:val="0"/>
          <w:bCs w:val="0"/>
        </w:rPr>
      </w:pPr>
      <w:r>
        <w:rPr>
          <w:rFonts w:ascii="Times New Roman" w:hAnsi="Times New Roman" w:cs="Times New Roman" w:eastAsia="Times New Roman" w:hint="default"/>
        </w:rPr>
        <w:t>1</w:t>
      </w:r>
      <w:r>
        <w:rPr/>
        <w:t>、报告期内主要业务回顾</w:t>
      </w:r>
      <w:r>
        <w:rPr>
          <w:b w:val="0"/>
          <w:bCs w:val="0"/>
        </w:rPr>
      </w:r>
    </w:p>
    <w:p>
      <w:pPr>
        <w:spacing w:line="240" w:lineRule="auto" w:before="7"/>
        <w:rPr>
          <w:rFonts w:ascii="宋体" w:hAnsi="宋体" w:cs="宋体" w:eastAsia="宋体" w:hint="default"/>
          <w:b/>
          <w:bCs/>
          <w:sz w:val="26"/>
          <w:szCs w:val="26"/>
        </w:rPr>
      </w:pPr>
    </w:p>
    <w:p>
      <w:pPr>
        <w:pStyle w:val="BodyText"/>
        <w:spacing w:line="314" w:lineRule="auto"/>
        <w:ind w:right="90" w:firstLine="217"/>
        <w:jc w:val="left"/>
      </w:pPr>
      <w:r>
        <w:rPr>
          <w:rFonts w:ascii="Times New Roman" w:hAnsi="Times New Roman" w:cs="Times New Roman" w:eastAsia="Times New Roman" w:hint="default"/>
        </w:rPr>
        <w:t>2014</w:t>
      </w:r>
      <w:r>
        <w:rPr/>
        <w:t>年，国内经济下行趋势不减，尤其是制造业承受着更为沉重的压力，在政府和舆论一片调结构、促改革、发展新兴 </w:t>
      </w:r>
      <w:r>
        <w:rPr>
          <w:spacing w:val="-2"/>
        </w:rPr>
        <w:t>产业的呼声和论调之中，以及随着节能减排、环保、安全生产法律法规不断加强和完善，超纤行业充满了机遇与挑战。挑战</w:t>
      </w:r>
      <w:r>
        <w:rPr>
          <w:spacing w:val="-66"/>
        </w:rPr>
        <w:t> </w:t>
      </w:r>
      <w:r>
        <w:rPr>
          <w:spacing w:val="-66"/>
        </w:rPr>
      </w:r>
      <w:r>
        <w:rPr>
          <w:spacing w:val="-2"/>
        </w:rPr>
        <w:t>是环保、安全生产、节能减排、人力资源的成本上升，机遇是越来越多的资本撤离制造业涌入新兴产业，行业的竞争环境改</w:t>
      </w:r>
      <w:r>
        <w:rPr>
          <w:spacing w:val="-66"/>
        </w:rPr>
        <w:t> </w:t>
      </w:r>
      <w:r>
        <w:rPr>
          <w:spacing w:val="-66"/>
        </w:rPr>
      </w:r>
      <w:r>
        <w:rPr/>
        <w:t>善，供过于求的局面扭转，超纤下游需求持续复苏，新应用领域不断开拓，毛利率持续回升，公司的市场占有率不断提高， </w:t>
      </w:r>
      <w:r>
        <w:rPr>
          <w:rFonts w:ascii="Times New Roman" w:hAnsi="Times New Roman" w:cs="Times New Roman" w:eastAsia="Times New Roman" w:hint="default"/>
        </w:rPr>
        <w:t>2014</w:t>
      </w:r>
      <w:r>
        <w:rPr/>
        <w:t>年，公司上海基地两个厂区的产能已全部投入运行，各项目产能利用率持续提高并逐步开始产生效益。</w:t>
      </w:r>
    </w:p>
    <w:p>
      <w:pPr>
        <w:pStyle w:val="BodyText"/>
        <w:spacing w:line="316" w:lineRule="auto" w:before="1"/>
        <w:ind w:left="514" w:right="90"/>
        <w:jc w:val="left"/>
      </w:pPr>
      <w:r>
        <w:rPr/>
        <w:t>一、提高生产运行质量，高效组织生产 </w:t>
      </w:r>
      <w:r>
        <w:rPr>
          <w:spacing w:val="-2"/>
        </w:rPr>
        <w:t>新增设备扩大产能，严格而精细化的管理提升品质，节减排活动的不断深入，有赖于生产系统高效运行以及管控水平的</w:t>
      </w:r>
    </w:p>
    <w:p>
      <w:pPr>
        <w:pStyle w:val="BodyText"/>
        <w:spacing w:line="316" w:lineRule="auto" w:before="19"/>
        <w:ind w:left="514" w:right="90" w:hanging="360"/>
        <w:jc w:val="left"/>
      </w:pPr>
      <w:r>
        <w:rPr/>
        <w:t>提升，加之科学的调度和协调指挥，以及与营销、物资供应的有机衔接，这些，确保了全年产量指标的完成。 </w:t>
      </w:r>
      <w:r>
        <w:rPr>
          <w:spacing w:val="-2"/>
        </w:rPr>
        <w:t>针对市场复杂多变、订单多而杂的情况，坚持定期召开产销衔接会议，特殊情况下甚至每日都</w:t>
      </w:r>
      <w:r>
        <w:rPr>
          <w:rFonts w:ascii="Times New Roman" w:hAnsi="Times New Roman" w:cs="Times New Roman" w:eastAsia="Times New Roman" w:hint="default"/>
          <w:spacing w:val="-2"/>
        </w:rPr>
        <w:t>“</w:t>
      </w:r>
      <w:r>
        <w:rPr>
          <w:spacing w:val="-2"/>
        </w:rPr>
        <w:t>碰单</w:t>
      </w:r>
      <w:r>
        <w:rPr>
          <w:rFonts w:ascii="Times New Roman" w:hAnsi="Times New Roman" w:cs="Times New Roman" w:eastAsia="Times New Roman" w:hint="default"/>
          <w:spacing w:val="-2"/>
        </w:rPr>
        <w:t>”</w:t>
      </w:r>
      <w:r>
        <w:rPr>
          <w:spacing w:val="-2"/>
        </w:rPr>
        <w:t>，一户一议，一单</w:t>
      </w:r>
    </w:p>
    <w:p>
      <w:pPr>
        <w:pStyle w:val="BodyText"/>
        <w:spacing w:line="316" w:lineRule="auto"/>
        <w:ind w:left="514" w:right="90" w:hanging="360"/>
        <w:jc w:val="left"/>
      </w:pPr>
      <w:r>
        <w:rPr/>
        <w:t>一议，一品一议，针对不同用户、不同需求，及时调整产品结构，缩短交货周期。 </w:t>
      </w:r>
      <w:r>
        <w:rPr>
          <w:spacing w:val="-4"/>
        </w:rPr>
        <w:t>抓好生产系统的绩效考核，加强对车间的产量、质量和安全以及消耗的考核，增强员工质量意识，对质量事故采取了</w:t>
      </w:r>
      <w:r>
        <w:rPr>
          <w:rFonts w:ascii="Times New Roman" w:hAnsi="Times New Roman" w:cs="Times New Roman" w:eastAsia="Times New Roman" w:hint="default"/>
          <w:spacing w:val="-4"/>
        </w:rPr>
        <w:t>“</w:t>
      </w:r>
      <w:r>
        <w:rPr>
          <w:spacing w:val="-4"/>
        </w:rPr>
        <w:t>四</w:t>
      </w:r>
    </w:p>
    <w:p>
      <w:pPr>
        <w:pStyle w:val="BodyText"/>
        <w:spacing w:line="300" w:lineRule="auto"/>
        <w:ind w:right="190"/>
        <w:jc w:val="left"/>
      </w:pPr>
      <w:r>
        <w:rPr/>
        <w:t>不放过</w:t>
      </w:r>
      <w:r>
        <w:rPr>
          <w:rFonts w:ascii="Times New Roman" w:hAnsi="Times New Roman" w:cs="Times New Roman" w:eastAsia="Times New Roman" w:hint="default"/>
        </w:rPr>
        <w:t>”</w:t>
      </w:r>
      <w:r>
        <w:rPr/>
        <w:t>原则，对重点岗位、关键环节的管控施以特殊政策，奖优罚劣，促进整体管理水平的提高。各车间纷纷采取各种行 之有效的措施，加强考核，调动员工积极性，参与管理，使得在产能大幅增加的情况下，合格品率也不同程度有所提升。</w:t>
      </w:r>
    </w:p>
    <w:p>
      <w:pPr>
        <w:pStyle w:val="BodyText"/>
        <w:spacing w:line="316" w:lineRule="auto" w:before="31"/>
        <w:ind w:left="514" w:right="90"/>
        <w:jc w:val="left"/>
      </w:pPr>
      <w:r>
        <w:rPr/>
        <w:t>二、不断加大投入，积极开展新技术推广应用和新产品研发 </w:t>
      </w:r>
      <w:r>
        <w:rPr>
          <w:spacing w:val="-2"/>
        </w:rPr>
        <w:t>与中科院及各高等院校深入开展产学研活动，扩大合作范围，深化合作内容，借助外力，实施</w:t>
      </w:r>
      <w:r>
        <w:rPr>
          <w:rFonts w:ascii="Times New Roman" w:hAnsi="Times New Roman" w:cs="Times New Roman" w:eastAsia="Times New Roman" w:hint="default"/>
          <w:spacing w:val="-2"/>
        </w:rPr>
        <w:t>“</w:t>
      </w:r>
      <w:r>
        <w:rPr>
          <w:spacing w:val="-2"/>
        </w:rPr>
        <w:t>扬帆计划</w:t>
      </w:r>
      <w:r>
        <w:rPr>
          <w:rFonts w:ascii="Times New Roman" w:hAnsi="Times New Roman" w:cs="Times New Roman" w:eastAsia="Times New Roman" w:hint="default"/>
          <w:spacing w:val="-2"/>
        </w:rPr>
        <w:t>”</w:t>
      </w:r>
      <w:r>
        <w:rPr>
          <w:spacing w:val="-2"/>
        </w:rPr>
        <w:t>，依托先进的</w:t>
      </w:r>
    </w:p>
    <w:p>
      <w:pPr>
        <w:pStyle w:val="BodyText"/>
        <w:spacing w:line="316" w:lineRule="auto"/>
        <w:ind w:right="188"/>
        <w:jc w:val="both"/>
      </w:pPr>
      <w:r>
        <w:rPr>
          <w:spacing w:val="-2"/>
        </w:rPr>
        <w:t>技术资源优势，借风扬帆，加大科技创新力度，先后请来了知名企业的化工工程、纺织、印染和后整理方面的专家、教授来</w:t>
      </w:r>
      <w:r>
        <w:rPr>
          <w:spacing w:val="-67"/>
        </w:rPr>
        <w:t> </w:t>
      </w:r>
      <w:r>
        <w:rPr>
          <w:spacing w:val="-67"/>
        </w:rPr>
      </w:r>
      <w:r>
        <w:rPr>
          <w:spacing w:val="-2"/>
        </w:rPr>
        <w:t>公司讲座、讲学；解决了树脂、无纺布和后整理以及汽车内饰材料方面的难点；把先进的理念和前沿的技术融入到启东项目</w:t>
      </w:r>
      <w:r>
        <w:rPr>
          <w:spacing w:val="-66"/>
        </w:rPr>
        <w:t> </w:t>
      </w:r>
      <w:r>
        <w:rPr>
          <w:spacing w:val="-66"/>
        </w:rPr>
      </w:r>
      <w:r>
        <w:rPr/>
        <w:t>的设计和工艺优化之中。</w:t>
      </w:r>
    </w:p>
    <w:p>
      <w:pPr>
        <w:pStyle w:val="BodyText"/>
        <w:spacing w:line="316" w:lineRule="auto" w:before="19"/>
        <w:ind w:right="189" w:firstLine="360"/>
        <w:jc w:val="both"/>
      </w:pPr>
      <w:r>
        <w:rPr>
          <w:spacing w:val="-2"/>
        </w:rPr>
        <w:t>在新产品开发上，根据市场变化与需求，先后研制开发出各种广受市场欢迎、不同风格的定岛超纤系列品种；在汽车内</w:t>
      </w:r>
      <w:r>
        <w:rPr/>
        <w:t> </w:t>
      </w:r>
      <w:r>
        <w:rPr>
          <w:spacing w:val="-2"/>
        </w:rPr>
        <w:t>饰材料的研发方面，不断提高阻燃、环保等性能指标指标，向高端发展，满足国内汽车、动车组列车等高端领域对高性能的</w:t>
      </w:r>
      <w:r>
        <w:rPr>
          <w:spacing w:val="-66"/>
        </w:rPr>
        <w:t> </w:t>
      </w:r>
      <w:r>
        <w:rPr>
          <w:spacing w:val="-66"/>
        </w:rPr>
      </w:r>
      <w:r>
        <w:rPr/>
        <w:t>需求，并逐步扩大在领域内的影响。</w:t>
      </w:r>
    </w:p>
    <w:p>
      <w:pPr>
        <w:pStyle w:val="BodyText"/>
        <w:spacing w:line="300" w:lineRule="auto" w:before="19"/>
        <w:ind w:right="127" w:firstLine="360"/>
        <w:jc w:val="both"/>
      </w:pPr>
      <w:r>
        <w:rPr/>
        <w:t>抽调专人组成机构，申报</w:t>
      </w:r>
      <w:r>
        <w:rPr>
          <w:rFonts w:ascii="Times New Roman" w:hAnsi="Times New Roman" w:cs="Times New Roman" w:eastAsia="Times New Roman" w:hint="default"/>
        </w:rPr>
        <w:t>“</w:t>
      </w:r>
      <w:r>
        <w:rPr/>
        <w:t>高新技术企业</w:t>
      </w:r>
      <w:r>
        <w:rPr>
          <w:rFonts w:ascii="Times New Roman" w:hAnsi="Times New Roman" w:cs="Times New Roman" w:eastAsia="Times New Roman" w:hint="default"/>
        </w:rPr>
        <w:t>”</w:t>
      </w:r>
      <w:r>
        <w:rPr/>
        <w:t>并顺利通过。本年度申报专利</w:t>
      </w:r>
      <w:r>
        <w:rPr>
          <w:rFonts w:ascii="Times New Roman" w:hAnsi="Times New Roman" w:cs="Times New Roman" w:eastAsia="Times New Roman" w:hint="default"/>
        </w:rPr>
        <w:t>5</w:t>
      </w:r>
      <w:r>
        <w:rPr/>
        <w:t>项，获得授权</w:t>
      </w:r>
      <w:r>
        <w:rPr>
          <w:rFonts w:ascii="Times New Roman" w:hAnsi="Times New Roman" w:cs="Times New Roman" w:eastAsia="Times New Roman" w:hint="default"/>
        </w:rPr>
        <w:t>6</w:t>
      </w:r>
      <w:r>
        <w:rPr/>
        <w:t>项，累计拥有专利</w:t>
      </w:r>
      <w:r>
        <w:rPr>
          <w:rFonts w:ascii="Times New Roman" w:hAnsi="Times New Roman" w:cs="Times New Roman" w:eastAsia="Times New Roman" w:hint="default"/>
        </w:rPr>
        <w:t>31</w:t>
      </w:r>
      <w:r>
        <w:rPr/>
        <w:t>项（其中： </w:t>
      </w:r>
      <w:r>
        <w:rPr>
          <w:spacing w:val="-2"/>
        </w:rPr>
        <w:t>发明专利</w:t>
      </w:r>
      <w:r>
        <w:rPr>
          <w:rFonts w:ascii="Times New Roman" w:hAnsi="Times New Roman" w:cs="Times New Roman" w:eastAsia="Times New Roman" w:hint="default"/>
          <w:spacing w:val="-2"/>
        </w:rPr>
        <w:t>20</w:t>
      </w:r>
      <w:r>
        <w:rPr>
          <w:spacing w:val="-2"/>
        </w:rPr>
        <w:t>项、实用新型专利</w:t>
      </w:r>
      <w:r>
        <w:rPr>
          <w:rFonts w:ascii="Times New Roman" w:hAnsi="Times New Roman" w:cs="Times New Roman" w:eastAsia="Times New Roman" w:hint="default"/>
          <w:spacing w:val="-2"/>
        </w:rPr>
        <w:t>11</w:t>
      </w:r>
      <w:r>
        <w:rPr>
          <w:spacing w:val="-2"/>
        </w:rPr>
        <w:t>项），跻身于金山区专利示范企业；主持并参与制定了《水性聚氨酯超细纤维合成革》等三</w:t>
      </w:r>
      <w:r>
        <w:rPr>
          <w:spacing w:val="-64"/>
        </w:rPr>
        <w:t> </w:t>
      </w:r>
      <w:r>
        <w:rPr>
          <w:spacing w:val="-64"/>
        </w:rPr>
      </w:r>
      <w:r>
        <w:rPr/>
        <w:t>项标准的制定。</w:t>
      </w:r>
    </w:p>
    <w:p>
      <w:pPr>
        <w:pStyle w:val="BodyText"/>
        <w:spacing w:line="316" w:lineRule="auto" w:before="31"/>
        <w:ind w:left="514" w:right="90"/>
        <w:jc w:val="left"/>
      </w:pPr>
      <w:r>
        <w:rPr/>
        <w:t>三、及时调整营销策略，灵活应对市场变化 </w:t>
      </w:r>
      <w:r>
        <w:rPr>
          <w:spacing w:val="-4"/>
        </w:rPr>
        <w:t>在不断发展变化的超纤市场中，密切关注市场动向，握住先机，主动顺应市场的需求与变化。一是战略性压缩鞋革产量，</w:t>
      </w:r>
    </w:p>
    <w:p>
      <w:pPr>
        <w:pStyle w:val="BodyText"/>
        <w:spacing w:line="309" w:lineRule="auto" w:before="19"/>
        <w:ind w:right="90"/>
        <w:jc w:val="left"/>
      </w:pPr>
      <w:r>
        <w:rPr/>
        <w:t>重点突破沙发革，培植高仿真皮市场，增量特色基布、绒面革；同时，占领定岛和汽车革的制高点，兼顾高附加值的箱包。 发挥华峰超纤的</w:t>
      </w:r>
      <w:r>
        <w:rPr>
          <w:rFonts w:ascii="Times New Roman" w:hAnsi="Times New Roman" w:cs="Times New Roman" w:eastAsia="Times New Roman" w:hint="default"/>
        </w:rPr>
        <w:t>“</w:t>
      </w:r>
      <w:r>
        <w:rPr/>
        <w:t>上海名牌</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上海著名商标</w:t>
      </w:r>
      <w:r>
        <w:rPr>
          <w:rFonts w:ascii="Times New Roman" w:hAnsi="Times New Roman" w:cs="Times New Roman" w:eastAsia="Times New Roman" w:hint="default"/>
        </w:rPr>
        <w:t>”</w:t>
      </w:r>
      <w:r>
        <w:rPr/>
        <w:t>的品牌影响力，把销售触角伸向高仿真革市场。汽车座椅材料和内饰产品呈现 深度发展的态势，发展超出预期，逐步开始与汽车行业的重点企业展开合作和产品开发。</w:t>
      </w:r>
    </w:p>
    <w:p>
      <w:pPr>
        <w:pStyle w:val="BodyText"/>
        <w:spacing w:line="316" w:lineRule="auto" w:before="24"/>
        <w:ind w:right="189" w:firstLine="360"/>
        <w:jc w:val="both"/>
      </w:pPr>
      <w:r>
        <w:rPr>
          <w:spacing w:val="-2"/>
        </w:rPr>
        <w:t>实施多点开花，根据不同地区的不同产业布局特点，调整产品结构，开发出适销对路的新产品。采取有力措施，重点跟</w:t>
      </w:r>
      <w:r>
        <w:rPr/>
        <w:t> </w:t>
      </w:r>
      <w:r>
        <w:rPr>
          <w:spacing w:val="-2"/>
        </w:rPr>
        <w:t>踪、定期走访，与国际著名奢侈品品牌供应商开展全方位的新品开发和合作，使外贸市场的高端产品全年销售额猛增。外贸</w:t>
      </w:r>
      <w:r>
        <w:rPr>
          <w:spacing w:val="-66"/>
        </w:rPr>
        <w:t> </w:t>
      </w:r>
      <w:r>
        <w:rPr>
          <w:spacing w:val="-66"/>
        </w:rPr>
      </w:r>
      <w:r>
        <w:rPr/>
        <w:t>市场的开拓与开发，对完成全年的销售任务给予了强有力的支持。</w:t>
      </w:r>
    </w:p>
    <w:p>
      <w:pPr>
        <w:pStyle w:val="BodyText"/>
        <w:spacing w:line="316" w:lineRule="auto" w:before="19"/>
        <w:ind w:left="514" w:right="6030"/>
        <w:jc w:val="left"/>
      </w:pPr>
      <w:r>
        <w:rPr/>
        <w:t>四、不断为管理创新注入新内容 在管理创新方面重点开展了以下几项工作：</w:t>
      </w:r>
    </w:p>
    <w:p>
      <w:pPr>
        <w:pStyle w:val="BodyText"/>
        <w:spacing w:line="316" w:lineRule="auto" w:before="19"/>
        <w:ind w:right="191" w:firstLine="360"/>
        <w:jc w:val="both"/>
      </w:pPr>
      <w:r>
        <w:rPr>
          <w:spacing w:val="-2"/>
        </w:rPr>
        <w:t>一是理顺机构，明确部门职责，促进效能的提高。把原来设在销售部的外贸业务组升格为外贸部，并充实了力量，专门</w:t>
      </w:r>
      <w:r>
        <w:rPr/>
        <w:t> </w:t>
      </w:r>
      <w:r>
        <w:rPr>
          <w:spacing w:val="-2"/>
        </w:rPr>
        <w:t>负责拓展境外市场，完善服务功能，提升服务品质，压缩交货周期，提出了</w:t>
      </w:r>
      <w:r>
        <w:rPr>
          <w:rFonts w:ascii="Times New Roman" w:hAnsi="Times New Roman" w:cs="Times New Roman" w:eastAsia="Times New Roman" w:hint="default"/>
          <w:spacing w:val="-2"/>
        </w:rPr>
        <w:t>“</w:t>
      </w:r>
      <w:r>
        <w:rPr>
          <w:spacing w:val="-2"/>
        </w:rPr>
        <w:t>超纤，使生活更美好</w:t>
      </w:r>
      <w:r>
        <w:rPr>
          <w:rFonts w:ascii="Times New Roman" w:hAnsi="Times New Roman" w:cs="Times New Roman" w:eastAsia="Times New Roman" w:hint="default"/>
          <w:spacing w:val="-2"/>
        </w:rPr>
        <w:t>”</w:t>
      </w:r>
      <w:r>
        <w:rPr>
          <w:spacing w:val="-2"/>
        </w:rPr>
        <w:t>的理念。外贸出口占总销</w:t>
      </w:r>
    </w:p>
    <w:p>
      <w:pPr>
        <w:spacing w:after="0" w:line="316"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00" w:lineRule="auto" w:before="44"/>
        <w:ind w:left="513" w:right="90" w:hanging="360"/>
        <w:jc w:val="left"/>
      </w:pPr>
      <w:r>
        <w:rPr/>
        <w:t>售量的近</w:t>
      </w:r>
      <w:r>
        <w:rPr>
          <w:rFonts w:ascii="Times New Roman" w:hAnsi="Times New Roman" w:cs="Times New Roman" w:eastAsia="Times New Roman" w:hint="default"/>
        </w:rPr>
        <w:t>25%</w:t>
      </w:r>
      <w:r>
        <w:rPr/>
        <w:t>。 </w:t>
      </w:r>
      <w:r>
        <w:rPr>
          <w:spacing w:val="-2"/>
        </w:rPr>
        <w:t>二是真抓严管，根除顽症。在国家加强对环保、安全生产管理的大环境下，公司整体安全意识、环保意识前所未有地得</w:t>
      </w:r>
    </w:p>
    <w:p>
      <w:pPr>
        <w:pStyle w:val="BodyText"/>
        <w:spacing w:line="316" w:lineRule="auto" w:before="31"/>
        <w:ind w:left="153" w:right="91"/>
        <w:jc w:val="left"/>
      </w:pPr>
      <w:r>
        <w:rPr/>
        <w:t>到了提高。建立了应急指挥系统，运用现代化视频监控系统对各车间、岗位实施全天候的管理和监控，及时处置突发事件， 助推安全和生产、质量管理的全面提升。</w:t>
      </w:r>
    </w:p>
    <w:p>
      <w:pPr>
        <w:pStyle w:val="BodyText"/>
        <w:spacing w:line="316" w:lineRule="auto" w:before="19"/>
        <w:ind w:left="513" w:right="271"/>
        <w:jc w:val="left"/>
        <w:rPr>
          <w:rFonts w:ascii="Times New Roman" w:hAnsi="Times New Roman" w:cs="Times New Roman" w:eastAsia="Times New Roman" w:hint="default"/>
        </w:rPr>
      </w:pPr>
      <w:r>
        <w:rPr/>
        <w:t>五、规划建设启东生产基地 为紧抓超纤市场复苏的机遇，扩大市场占有率，为股东创造更大的利益，公司董事会决定在江苏启东市新建年产</w:t>
      </w:r>
      <w:r>
        <w:rPr>
          <w:rFonts w:ascii="Times New Roman" w:hAnsi="Times New Roman" w:cs="Times New Roman" w:eastAsia="Times New Roman" w:hint="default"/>
        </w:rPr>
        <w:t>7500</w:t>
      </w:r>
    </w:p>
    <w:p>
      <w:pPr>
        <w:pStyle w:val="BodyText"/>
        <w:spacing w:line="316" w:lineRule="auto"/>
        <w:ind w:left="153" w:right="90"/>
        <w:jc w:val="left"/>
      </w:pPr>
      <w:r>
        <w:rPr>
          <w:spacing w:val="-2"/>
        </w:rPr>
        <w:t>万米产业用非织造布超纤材料项目，并为此设立了江苏华峰超纤材料有限公司以及收购江苏华峰化学有限公司作为项目顺利</w:t>
      </w:r>
      <w:r>
        <w:rPr>
          <w:spacing w:val="-64"/>
        </w:rPr>
        <w:t> </w:t>
      </w:r>
      <w:r>
        <w:rPr>
          <w:spacing w:val="-64"/>
        </w:rPr>
      </w:r>
      <w:r>
        <w:rPr/>
        <w:t>实施的保障。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90"/>
        <w:jc w:val="left"/>
        <w:rPr>
          <w:b w:val="0"/>
          <w:bCs w:val="0"/>
        </w:rPr>
      </w:pPr>
      <w:r>
        <w:rPr>
          <w:rFonts w:ascii="Times New Roman" w:hAnsi="Times New Roman" w:cs="Times New Roman" w:eastAsia="Times New Roman" w:hint="default"/>
        </w:rPr>
        <w:t>2</w:t>
      </w:r>
      <w:r>
        <w:rPr/>
        <w:t>、报告期内主要经营情况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90"/>
        <w:jc w:val="left"/>
        <w:rPr>
          <w:b w:val="0"/>
          <w:bCs w:val="0"/>
        </w:rPr>
      </w:pPr>
      <w:r>
        <w:rPr/>
        <w:t>（</w:t>
      </w:r>
      <w:r>
        <w:rPr>
          <w:rFonts w:ascii="Times New Roman" w:hAnsi="Times New Roman" w:cs="Times New Roman" w:eastAsia="Times New Roman" w:hint="default"/>
        </w:rPr>
        <w:t>1</w:t>
      </w:r>
      <w:r>
        <w:rPr/>
        <w:t>）主营业务分析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1</w:t>
      </w:r>
      <w:r>
        <w:rPr/>
        <w:t>）概述</w:t>
      </w:r>
    </w:p>
    <w:p>
      <w:pPr>
        <w:pStyle w:val="BodyText"/>
        <w:spacing w:line="300" w:lineRule="auto" w:before="101"/>
        <w:ind w:left="153" w:right="90" w:firstLine="290"/>
        <w:jc w:val="left"/>
      </w:pPr>
      <w:r>
        <w:rPr/>
        <w:t>公司全年实现营业收入</w:t>
      </w:r>
      <w:r>
        <w:rPr>
          <w:rFonts w:ascii="Times New Roman" w:hAnsi="Times New Roman" w:cs="Times New Roman" w:eastAsia="Times New Roman" w:hint="default"/>
        </w:rPr>
        <w:t>970,313,107.92</w:t>
      </w:r>
      <w:r>
        <w:rPr/>
        <w:t>元，同比增长</w:t>
      </w:r>
      <w:r>
        <w:rPr>
          <w:rFonts w:ascii="Times New Roman" w:hAnsi="Times New Roman" w:cs="Times New Roman" w:eastAsia="Times New Roman" w:hint="default"/>
        </w:rPr>
        <w:t>33.55%</w:t>
      </w:r>
      <w:r>
        <w:rPr/>
        <w:t>，其中主营业务收入</w:t>
      </w:r>
      <w:r>
        <w:rPr>
          <w:rFonts w:ascii="Times New Roman" w:hAnsi="Times New Roman" w:cs="Times New Roman" w:eastAsia="Times New Roman" w:hint="default"/>
        </w:rPr>
        <w:t>911,171,541.19</w:t>
      </w:r>
      <w:r>
        <w:rPr/>
        <w:t>元，同比增长</w:t>
      </w:r>
      <w:r>
        <w:rPr>
          <w:rFonts w:ascii="Times New Roman" w:hAnsi="Times New Roman" w:cs="Times New Roman" w:eastAsia="Times New Roman" w:hint="default"/>
        </w:rPr>
        <w:t>32.23%</w:t>
      </w:r>
      <w:r>
        <w:rPr/>
        <w:t>，外 </w:t>
      </w:r>
      <w:r>
        <w:rPr>
          <w:spacing w:val="-2"/>
        </w:rPr>
        <w:t>贸出口继续走强，实现国外销售收入</w:t>
      </w:r>
      <w:r>
        <w:rPr>
          <w:rFonts w:ascii="Times New Roman" w:hAnsi="Times New Roman" w:cs="Times New Roman" w:eastAsia="Times New Roman" w:hint="default"/>
          <w:spacing w:val="-2"/>
        </w:rPr>
        <w:t>220,598,741.31</w:t>
      </w:r>
      <w:r>
        <w:rPr>
          <w:spacing w:val="-2"/>
        </w:rPr>
        <w:t>元，同比增长</w:t>
      </w:r>
      <w:r>
        <w:rPr>
          <w:rFonts w:ascii="Times New Roman" w:hAnsi="Times New Roman" w:cs="Times New Roman" w:eastAsia="Times New Roman" w:hint="default"/>
          <w:spacing w:val="-2"/>
        </w:rPr>
        <w:t>37.74%</w:t>
      </w:r>
      <w:r>
        <w:rPr>
          <w:spacing w:val="-2"/>
        </w:rPr>
        <w:t>，实现营业利润</w:t>
      </w:r>
      <w:r>
        <w:rPr>
          <w:rFonts w:ascii="Times New Roman" w:hAnsi="Times New Roman" w:cs="Times New Roman" w:eastAsia="Times New Roman" w:hint="default"/>
          <w:spacing w:val="-2"/>
        </w:rPr>
        <w:t>125,755,300.97</w:t>
      </w:r>
      <w:r>
        <w:rPr>
          <w:spacing w:val="-2"/>
        </w:rPr>
        <w:t>元，同比增长</w:t>
      </w:r>
      <w:r>
        <w:rPr>
          <w:rFonts w:ascii="Times New Roman" w:hAnsi="Times New Roman" w:cs="Times New Roman" w:eastAsia="Times New Roman" w:hint="default"/>
          <w:spacing w:val="-2"/>
        </w:rPr>
        <w:t>31.25%</w:t>
      </w:r>
      <w:r>
        <w:rPr>
          <w:spacing w:val="-2"/>
        </w:rPr>
        <w:t>，</w:t>
      </w:r>
      <w:r>
        <w:rPr>
          <w:spacing w:val="-61"/>
        </w:rPr>
        <w:t> </w:t>
      </w:r>
      <w:r>
        <w:rPr/>
        <w:t>净利润</w:t>
      </w:r>
      <w:r>
        <w:rPr>
          <w:rFonts w:ascii="Times New Roman" w:hAnsi="Times New Roman" w:cs="Times New Roman" w:eastAsia="Times New Roman" w:hint="default"/>
        </w:rPr>
        <w:t>115,493,664.07</w:t>
      </w:r>
      <w:r>
        <w:rPr/>
        <w:t>元，同比增长</w:t>
      </w:r>
      <w:r>
        <w:rPr>
          <w:rFonts w:ascii="Times New Roman" w:hAnsi="Times New Roman" w:cs="Times New Roman" w:eastAsia="Times New Roman" w:hint="default"/>
        </w:rPr>
        <w:t>30.98%</w:t>
      </w:r>
      <w:r>
        <w:rPr/>
        <w:t>。</w:t>
      </w:r>
    </w:p>
    <w:p>
      <w:pPr>
        <w:pStyle w:val="BodyText"/>
        <w:spacing w:line="240" w:lineRule="auto" w:before="13"/>
        <w:ind w:left="660" w:right="90"/>
        <w:jc w:val="left"/>
      </w:pPr>
      <w:r>
        <w:rPr/>
        <w:t>主要报表项目变动情况如下：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202"/>
        <w:gridCol w:w="1600"/>
        <w:gridCol w:w="1560"/>
        <w:gridCol w:w="992"/>
        <w:gridCol w:w="3168"/>
      </w:tblGrid>
      <w:tr>
        <w:trPr>
          <w:trHeight w:val="668" w:hRule="exact"/>
        </w:trPr>
        <w:tc>
          <w:tcPr>
            <w:tcW w:w="120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报表项目</w:t>
            </w:r>
          </w:p>
        </w:tc>
        <w:tc>
          <w:tcPr>
            <w:tcW w:w="160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（或本期金额）</w:t>
            </w:r>
          </w:p>
        </w:tc>
        <w:tc>
          <w:tcPr>
            <w:tcW w:w="15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年初余额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（或上年金额）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变动比率</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1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96,951,195.79</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58,867,630.34</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64.69%</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2"/>
              <w:jc w:val="left"/>
              <w:rPr>
                <w:rFonts w:ascii="宋体" w:hAnsi="宋体" w:cs="宋体" w:eastAsia="宋体" w:hint="default"/>
                <w:sz w:val="18"/>
                <w:szCs w:val="18"/>
              </w:rPr>
            </w:pPr>
            <w:r>
              <w:rPr>
                <w:rFonts w:ascii="宋体" w:hAnsi="宋体" w:cs="宋体" w:eastAsia="宋体" w:hint="default"/>
                <w:spacing w:val="5"/>
                <w:sz w:val="18"/>
                <w:szCs w:val="18"/>
              </w:rPr>
              <w:t>销售收入大幅增加，引起应收账款有所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上升</w:t>
            </w:r>
          </w:p>
        </w:tc>
      </w:tr>
      <w:tr>
        <w:trPr>
          <w:trHeight w:val="432"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预付款项</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9,488,509.83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7,275,587.83</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30.42%</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预付的材料款</w:t>
            </w:r>
          </w:p>
        </w:tc>
      </w:tr>
      <w:tr>
        <w:trPr>
          <w:trHeight w:val="432"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16,317,999.47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11,421,903.25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42.87%</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厂区内部分设备更新改造</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68,849,352.62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32,946,296.99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108.97%</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8"/>
              <w:jc w:val="left"/>
              <w:rPr>
                <w:rFonts w:ascii="宋体" w:hAnsi="宋体" w:cs="宋体" w:eastAsia="宋体" w:hint="default"/>
                <w:sz w:val="18"/>
                <w:szCs w:val="18"/>
              </w:rPr>
            </w:pPr>
            <w:r>
              <w:rPr>
                <w:rFonts w:ascii="宋体" w:hAnsi="宋体" w:cs="宋体" w:eastAsia="宋体" w:hint="default"/>
                <w:spacing w:val="16"/>
                <w:sz w:val="18"/>
                <w:szCs w:val="18"/>
              </w:rPr>
              <w:t>产销量的增加要求原材料库存对应增</w:t>
            </w:r>
            <w:r>
              <w:rPr>
                <w:rFonts w:ascii="宋体" w:hAnsi="宋体" w:cs="宋体" w:eastAsia="宋体" w:hint="default"/>
                <w:spacing w:val="-81"/>
                <w:sz w:val="18"/>
                <w:szCs w:val="18"/>
              </w:rPr>
              <w:t> </w:t>
            </w:r>
            <w:r>
              <w:rPr>
                <w:rFonts w:ascii="宋体" w:hAnsi="宋体" w:cs="宋体" w:eastAsia="宋体" w:hint="default"/>
                <w:sz w:val="18"/>
                <w:szCs w:val="18"/>
              </w:rPr>
              <w:t>加，增加了应付账款</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18,202,712.54</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11,735,339.66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55.11%</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2"/>
              <w:jc w:val="left"/>
              <w:rPr>
                <w:rFonts w:ascii="宋体" w:hAnsi="宋体" w:cs="宋体" w:eastAsia="宋体" w:hint="default"/>
                <w:sz w:val="18"/>
                <w:szCs w:val="18"/>
              </w:rPr>
            </w:pPr>
            <w:r>
              <w:rPr>
                <w:rFonts w:ascii="宋体" w:hAnsi="宋体" w:cs="宋体" w:eastAsia="宋体" w:hint="default"/>
                <w:spacing w:val="5"/>
                <w:sz w:val="18"/>
                <w:szCs w:val="18"/>
              </w:rPr>
              <w:t>本年度产销售量上升使得计提的工资、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奖金增加</w:t>
            </w:r>
          </w:p>
        </w:tc>
      </w:tr>
      <w:tr>
        <w:trPr>
          <w:trHeight w:val="1056"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应交税费</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48,413,833.58</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2,007,914.82</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2311.15%</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51"/>
              <w:ind w:left="2" w:right="-8"/>
              <w:jc w:val="both"/>
              <w:rPr>
                <w:rFonts w:ascii="宋体" w:hAnsi="宋体" w:cs="宋体" w:eastAsia="宋体" w:hint="default"/>
                <w:sz w:val="18"/>
                <w:szCs w:val="18"/>
              </w:rPr>
            </w:pPr>
            <w:r>
              <w:rPr>
                <w:rFonts w:ascii="宋体" w:hAnsi="宋体" w:cs="宋体" w:eastAsia="宋体" w:hint="default"/>
                <w:spacing w:val="16"/>
                <w:sz w:val="18"/>
                <w:szCs w:val="18"/>
              </w:rPr>
              <w:t>子公司江苏华峰超纤材料有限公司于</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月取得政府补助，应缴纳的所得 税。</w:t>
            </w:r>
          </w:p>
        </w:tc>
      </w:tr>
      <w:tr>
        <w:trPr>
          <w:trHeight w:val="1056"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206,086,312.00</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18,715,000.00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1001.18%</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09" w:lineRule="auto" w:before="51"/>
              <w:ind w:left="2" w:right="-8"/>
              <w:jc w:val="both"/>
              <w:rPr>
                <w:rFonts w:ascii="宋体" w:hAnsi="宋体" w:cs="宋体" w:eastAsia="宋体" w:hint="default"/>
                <w:sz w:val="18"/>
                <w:szCs w:val="18"/>
              </w:rPr>
            </w:pPr>
            <w:r>
              <w:rPr>
                <w:rFonts w:ascii="宋体" w:hAnsi="宋体" w:cs="宋体" w:eastAsia="宋体" w:hint="default"/>
                <w:spacing w:val="16"/>
                <w:sz w:val="18"/>
                <w:szCs w:val="18"/>
              </w:rPr>
              <w:t>子公司江苏华峰超纤材料有限公司于</w:t>
            </w:r>
            <w:r>
              <w:rPr>
                <w:rFonts w:ascii="宋体" w:hAnsi="宋体" w:cs="宋体" w:eastAsia="宋体" w:hint="default"/>
                <w:spacing w:val="-81"/>
                <w:sz w:val="18"/>
                <w:szCs w:val="18"/>
              </w:rPr>
              <w:t> </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月取得政府补助，引起递延收益 大幅增加</w:t>
            </w:r>
          </w:p>
        </w:tc>
      </w:tr>
      <w:tr>
        <w:trPr>
          <w:trHeight w:val="432"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970,313,107.92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726,549,802.95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33.55%</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销售收入较去年大幅增加。</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706,808,422.23</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538,310,698.69</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31.30%</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6" w:lineRule="auto" w:before="51"/>
              <w:ind w:left="2" w:right="2"/>
              <w:jc w:val="left"/>
              <w:rPr>
                <w:rFonts w:ascii="宋体" w:hAnsi="宋体" w:cs="宋体" w:eastAsia="宋体" w:hint="default"/>
                <w:sz w:val="18"/>
                <w:szCs w:val="18"/>
              </w:rPr>
            </w:pPr>
            <w:r>
              <w:rPr>
                <w:rFonts w:ascii="宋体" w:hAnsi="宋体" w:cs="宋体" w:eastAsia="宋体" w:hint="default"/>
                <w:spacing w:val="5"/>
                <w:sz w:val="18"/>
                <w:szCs w:val="18"/>
              </w:rPr>
              <w:t>随着销售收入的增加，营业成本随之上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升。</w:t>
            </w:r>
          </w:p>
        </w:tc>
      </w:tr>
      <w:tr>
        <w:trPr>
          <w:trHeight w:val="432"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25,777,310.56</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15,021,797.11</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71.60%</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pacing w:val="5"/>
                <w:sz w:val="18"/>
                <w:szCs w:val="18"/>
              </w:rPr>
              <w:t>由于销售收入大幅增加，使得各项销售</w:t>
            </w:r>
            <w:r>
              <w:rPr>
                <w:rFonts w:ascii="宋体" w:hAnsi="宋体" w:cs="宋体" w:eastAsia="宋体" w:hint="default"/>
                <w:sz w:val="18"/>
                <w:szCs w:val="18"/>
              </w:rPr>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BodyText"/>
        <w:spacing w:line="240" w:lineRule="auto" w:before="44"/>
        <w:ind w:left="0" w:right="1186"/>
        <w:jc w:val="right"/>
      </w:pPr>
      <w:r>
        <w:rPr/>
        <w:pict>
          <v:shape style="position:absolute;margin-left:56.34pt;margin-top:-21.18803pt;width:428pt;height:365.2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2"/>
                    <w:gridCol w:w="1600"/>
                    <w:gridCol w:w="1560"/>
                    <w:gridCol w:w="992"/>
                    <w:gridCol w:w="3168"/>
                  </w:tblGrid>
                  <w:tr>
                    <w:trPr>
                      <w:trHeight w:val="394" w:hRule="exact"/>
                    </w:trPr>
                    <w:tc>
                      <w:tcPr>
                        <w:tcW w:w="1202" w:type="dxa"/>
                        <w:tcBorders>
                          <w:top w:val="single" w:sz="6" w:space="0" w:color="000000"/>
                          <w:left w:val="single" w:sz="6" w:space="0" w:color="000000"/>
                          <w:bottom w:val="single" w:sz="12" w:space="0" w:color="000000"/>
                          <w:right w:val="single" w:sz="6" w:space="0" w:color="000000"/>
                        </w:tcBorders>
                      </w:tcPr>
                      <w:p>
                        <w:pPr/>
                      </w:p>
                    </w:tc>
                    <w:tc>
                      <w:tcPr>
                        <w:tcW w:w="1600" w:type="dxa"/>
                        <w:tcBorders>
                          <w:top w:val="single" w:sz="6" w:space="0" w:color="000000"/>
                          <w:left w:val="single" w:sz="6" w:space="0" w:color="000000"/>
                          <w:bottom w:val="single" w:sz="12" w:space="0" w:color="000000"/>
                          <w:right w:val="single" w:sz="6" w:space="0" w:color="000000"/>
                        </w:tcBorders>
                      </w:tcPr>
                      <w:p>
                        <w:pPr/>
                      </w:p>
                    </w:tc>
                    <w:tc>
                      <w:tcPr>
                        <w:tcW w:w="1560" w:type="dxa"/>
                        <w:tcBorders>
                          <w:top w:val="single" w:sz="6" w:space="0" w:color="000000"/>
                          <w:left w:val="single" w:sz="6" w:space="0" w:color="000000"/>
                          <w:bottom w:val="single" w:sz="12" w:space="0" w:color="000000"/>
                          <w:right w:val="single" w:sz="6" w:space="0" w:color="000000"/>
                        </w:tcBorders>
                      </w:tcPr>
                      <w:p>
                        <w:pPr/>
                      </w:p>
                    </w:tc>
                    <w:tc>
                      <w:tcPr>
                        <w:tcW w:w="992" w:type="dxa"/>
                        <w:tcBorders>
                          <w:top w:val="single" w:sz="6" w:space="0" w:color="000000"/>
                          <w:left w:val="single" w:sz="6" w:space="0" w:color="000000"/>
                          <w:bottom w:val="single" w:sz="12" w:space="0" w:color="000000"/>
                          <w:right w:val="single" w:sz="6" w:space="0" w:color="000000"/>
                        </w:tcBorders>
                      </w:tcPr>
                      <w:p>
                        <w:pPr/>
                      </w:p>
                    </w:tc>
                    <w:tc>
                      <w:tcPr>
                        <w:tcW w:w="316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费用均有所增加。</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107,373,564.51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76,564,437.38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40.24%</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51"/>
                          <w:ind w:left="2" w:right="98"/>
                          <w:jc w:val="left"/>
                          <w:rPr>
                            <w:rFonts w:ascii="宋体" w:hAnsi="宋体" w:cs="宋体" w:eastAsia="宋体" w:hint="default"/>
                            <w:sz w:val="18"/>
                            <w:szCs w:val="18"/>
                          </w:rPr>
                        </w:pPr>
                        <w:r>
                          <w:rPr>
                            <w:rFonts w:ascii="宋体" w:hAnsi="宋体" w:cs="宋体" w:eastAsia="宋体" w:hint="default"/>
                            <w:sz w:val="18"/>
                            <w:szCs w:val="18"/>
                          </w:rPr>
                          <w:t>公司为了丰富产品结构，加大研发力度 大幅增加了研发费用。</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502" w:right="53" w:hanging="450"/>
                          <w:jc w:val="left"/>
                          <w:rPr>
                            <w:rFonts w:ascii="宋体" w:hAnsi="宋体" w:cs="宋体" w:eastAsia="宋体" w:hint="default"/>
                            <w:sz w:val="18"/>
                            <w:szCs w:val="18"/>
                          </w:rPr>
                        </w:pPr>
                        <w:r>
                          <w:rPr>
                            <w:rFonts w:ascii="宋体" w:hAnsi="宋体" w:cs="宋体" w:eastAsia="宋体" w:hint="default"/>
                            <w:sz w:val="18"/>
                            <w:szCs w:val="18"/>
                          </w:rPr>
                          <w:t>收到的税费返 还</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15,518,399.85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9,045,986.98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71.55%</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51"/>
                          <w:ind w:left="2" w:right="2"/>
                          <w:jc w:val="left"/>
                          <w:rPr>
                            <w:rFonts w:ascii="宋体" w:hAnsi="宋体" w:cs="宋体" w:eastAsia="宋体" w:hint="default"/>
                            <w:sz w:val="18"/>
                            <w:szCs w:val="18"/>
                          </w:rPr>
                        </w:pPr>
                        <w:r>
                          <w:rPr>
                            <w:rFonts w:ascii="宋体" w:hAnsi="宋体" w:cs="宋体" w:eastAsia="宋体" w:hint="default"/>
                            <w:spacing w:val="5"/>
                            <w:sz w:val="18"/>
                            <w:szCs w:val="18"/>
                          </w:rPr>
                          <w:t>出口产品有所增加，收到的出口退税有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所增加</w:t>
                        </w:r>
                      </w:p>
                    </w:tc>
                  </w:tr>
                  <w:tr>
                    <w:trPr>
                      <w:trHeight w:val="1056"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支付给职工以 及为职工支付 的现金</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114,229,108.37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84,917,432.30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34.52%</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19" w:lineRule="auto" w:before="51"/>
                          <w:ind w:left="2" w:right="2"/>
                          <w:jc w:val="left"/>
                          <w:rPr>
                            <w:rFonts w:ascii="宋体" w:hAnsi="宋体" w:cs="宋体" w:eastAsia="宋体" w:hint="default"/>
                            <w:sz w:val="18"/>
                            <w:szCs w:val="18"/>
                          </w:rPr>
                        </w:pPr>
                        <w:r>
                          <w:rPr>
                            <w:rFonts w:ascii="宋体" w:hAnsi="宋体" w:cs="宋体" w:eastAsia="宋体" w:hint="default"/>
                            <w:spacing w:val="5"/>
                            <w:sz w:val="18"/>
                            <w:szCs w:val="18"/>
                          </w:rPr>
                          <w:t>随着产销量的大幅上升，引起职工薪酬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有所增加。</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投资活动现金 流出小计</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262,630,890.11</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143,338,736.50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83.22%</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02" w:lineRule="auto" w:before="51"/>
                          <w:ind w:left="2" w:right="7"/>
                          <w:jc w:val="left"/>
                          <w:rPr>
                            <w:rFonts w:ascii="宋体" w:hAnsi="宋体" w:cs="宋体" w:eastAsia="宋体" w:hint="default"/>
                            <w:sz w:val="18"/>
                            <w:szCs w:val="18"/>
                          </w:rPr>
                        </w:pPr>
                        <w:r>
                          <w:rPr>
                            <w:rFonts w:ascii="宋体" w:hAnsi="宋体" w:cs="宋体" w:eastAsia="宋体" w:hint="default"/>
                            <w:sz w:val="18"/>
                            <w:szCs w:val="18"/>
                          </w:rPr>
                          <w:t>公司出资</w:t>
                        </w:r>
                        <w:r>
                          <w:rPr>
                            <w:rFonts w:ascii="Times New Roman" w:hAnsi="Times New Roman" w:cs="Times New Roman" w:eastAsia="Times New Roman" w:hint="default"/>
                            <w:sz w:val="18"/>
                            <w:szCs w:val="18"/>
                          </w:rPr>
                          <w:t>1.5</w:t>
                        </w:r>
                        <w:r>
                          <w:rPr>
                            <w:rFonts w:ascii="宋体" w:hAnsi="宋体" w:cs="宋体" w:eastAsia="宋体" w:hint="default"/>
                            <w:sz w:val="18"/>
                            <w:szCs w:val="18"/>
                          </w:rPr>
                          <w:t>亿元成立了江苏华峰超纤材</w:t>
                        </w:r>
                        <w:r>
                          <w:rPr>
                            <w:rFonts w:ascii="宋体" w:hAnsi="宋体" w:cs="宋体" w:eastAsia="宋体" w:hint="default"/>
                            <w:spacing w:val="-55"/>
                            <w:sz w:val="18"/>
                            <w:szCs w:val="18"/>
                          </w:rPr>
                          <w:t> </w:t>
                        </w:r>
                        <w:r>
                          <w:rPr>
                            <w:rFonts w:ascii="宋体" w:hAnsi="宋体" w:cs="宋体" w:eastAsia="宋体" w:hint="default"/>
                            <w:spacing w:val="-55"/>
                            <w:sz w:val="18"/>
                            <w:szCs w:val="18"/>
                          </w:rPr>
                        </w:r>
                        <w:r>
                          <w:rPr>
                            <w:rFonts w:ascii="宋体" w:hAnsi="宋体" w:cs="宋体" w:eastAsia="宋体" w:hint="default"/>
                            <w:sz w:val="18"/>
                            <w:szCs w:val="18"/>
                          </w:rPr>
                          <w:t>料有限公司</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筹资活动现金 流出小计</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45,818,666.67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15,800,000.00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189.99%</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公司向银行申请了</w:t>
                        </w:r>
                        <w:r>
                          <w:rPr>
                            <w:rFonts w:ascii="Times New Roman" w:hAnsi="Times New Roman" w:cs="Times New Roman" w:eastAsia="Times New Roman" w:hint="default"/>
                            <w:sz w:val="18"/>
                            <w:szCs w:val="18"/>
                          </w:rPr>
                          <w:t>3000</w:t>
                        </w:r>
                        <w:r>
                          <w:rPr>
                            <w:rFonts w:ascii="宋体" w:hAnsi="宋体" w:cs="宋体" w:eastAsia="宋体" w:hint="default"/>
                            <w:sz w:val="18"/>
                            <w:szCs w:val="18"/>
                          </w:rPr>
                          <w:t>万元短期借款。</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502" w:right="53" w:hanging="450"/>
                          <w:jc w:val="left"/>
                          <w:rPr>
                            <w:rFonts w:ascii="宋体" w:hAnsi="宋体" w:cs="宋体" w:eastAsia="宋体" w:hint="default"/>
                            <w:sz w:val="18"/>
                            <w:szCs w:val="18"/>
                          </w:rPr>
                        </w:pPr>
                        <w:r>
                          <w:rPr>
                            <w:rFonts w:ascii="宋体" w:hAnsi="宋体" w:cs="宋体" w:eastAsia="宋体" w:hint="default"/>
                            <w:sz w:val="18"/>
                            <w:szCs w:val="18"/>
                          </w:rPr>
                          <w:t>收到的税费返 还</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15,518,399.85</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9,045,986.98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71.55%</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产品出口增加，引起出口退税有所变化</w:t>
                        </w:r>
                      </w:p>
                    </w:tc>
                  </w:tr>
                  <w:tr>
                    <w:trPr>
                      <w:trHeight w:val="1368"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 w:right="53" w:hanging="51"/>
                          <w:jc w:val="center"/>
                          <w:rPr>
                            <w:rFonts w:ascii="宋体" w:hAnsi="宋体" w:cs="宋体" w:eastAsia="宋体" w:hint="default"/>
                            <w:sz w:val="18"/>
                            <w:szCs w:val="18"/>
                          </w:rPr>
                        </w:pPr>
                        <w:r>
                          <w:rPr>
                            <w:rFonts w:ascii="宋体" w:hAnsi="宋体" w:cs="宋体" w:eastAsia="宋体" w:hint="default"/>
                            <w:sz w:val="18"/>
                            <w:szCs w:val="18"/>
                          </w:rPr>
                          <w:t>购建固定资产 无形资产和其 他长期资产支 付的现金</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tabs>
                            <w:tab w:pos="458" w:val="left" w:leader="none"/>
                          </w:tabs>
                          <w:spacing w:line="240" w:lineRule="auto" w:before="51"/>
                          <w:ind w:left="-120"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371,696,453.62</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143,833,976.25</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z w:val="18"/>
                          </w:rPr>
                          <w:t>158.42%</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pacing w:val="5"/>
                            <w:sz w:val="18"/>
                            <w:szCs w:val="18"/>
                          </w:rPr>
                          <w:t>子公司江苏华峰超纤材料有限公司，于</w:t>
                        </w:r>
                        <w:r>
                          <w:rPr>
                            <w:rFonts w:ascii="宋体" w:hAnsi="宋体" w:cs="宋体" w:eastAsia="宋体" w:hint="default"/>
                            <w:sz w:val="18"/>
                            <w:szCs w:val="18"/>
                          </w:rPr>
                        </w:r>
                      </w:p>
                      <w:p>
                        <w:pPr>
                          <w:pStyle w:val="TableParagraph"/>
                          <w:spacing w:line="240" w:lineRule="auto" w:before="76"/>
                          <w:ind w:left="2" w:right="-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2014</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8</w:t>
                        </w:r>
                        <w:r>
                          <w:rPr>
                            <w:rFonts w:ascii="宋体" w:hAnsi="宋体" w:cs="宋体" w:eastAsia="宋体" w:hint="default"/>
                            <w:spacing w:val="9"/>
                            <w:sz w:val="18"/>
                            <w:szCs w:val="18"/>
                          </w:rPr>
                          <w:t>月竞得启东项目用地，支付了</w:t>
                        </w:r>
                        <w:r>
                          <w:rPr>
                            <w:rFonts w:ascii="宋体" w:hAnsi="宋体" w:cs="宋体" w:eastAsia="宋体" w:hint="default"/>
                            <w:sz w:val="18"/>
                            <w:szCs w:val="18"/>
                          </w:rPr>
                        </w:r>
                      </w:p>
                      <w:p>
                        <w:pPr>
                          <w:pStyle w:val="TableParagraph"/>
                          <w:spacing w:line="240" w:lineRule="auto" w:before="64"/>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2.4989</w:t>
                        </w:r>
                        <w:r>
                          <w:rPr>
                            <w:rFonts w:ascii="宋体" w:hAnsi="宋体" w:cs="宋体" w:eastAsia="宋体" w:hint="default"/>
                            <w:sz w:val="18"/>
                            <w:szCs w:val="18"/>
                          </w:rPr>
                          <w:t>亿元土地款。</w:t>
                        </w:r>
                      </w:p>
                    </w:tc>
                  </w:tr>
                  <w:tr>
                    <w:trPr>
                      <w:trHeight w:val="744" w:hRule="exact"/>
                    </w:trPr>
                    <w:tc>
                      <w:tcPr>
                        <w:tcW w:w="1202" w:type="dxa"/>
                        <w:tcBorders>
                          <w:top w:val="single" w:sz="12" w:space="0" w:color="000000"/>
                          <w:left w:val="single" w:sz="6" w:space="0" w:color="000000"/>
                          <w:bottom w:val="single" w:sz="12" w:space="0" w:color="000000"/>
                          <w:right w:val="single" w:sz="6" w:space="0" w:color="000000"/>
                        </w:tcBorders>
                      </w:tcPr>
                      <w:p>
                        <w:pPr>
                          <w:pStyle w:val="TableParagraph"/>
                          <w:spacing w:line="319" w:lineRule="auto" w:before="51"/>
                          <w:ind w:left="232" w:right="53" w:hanging="180"/>
                          <w:jc w:val="left"/>
                          <w:rPr>
                            <w:rFonts w:ascii="宋体" w:hAnsi="宋体" w:cs="宋体" w:eastAsia="宋体" w:hint="default"/>
                            <w:sz w:val="18"/>
                            <w:szCs w:val="18"/>
                          </w:rPr>
                        </w:pPr>
                        <w:r>
                          <w:rPr>
                            <w:rFonts w:ascii="宋体" w:hAnsi="宋体" w:cs="宋体" w:eastAsia="宋体" w:hint="default"/>
                            <w:sz w:val="18"/>
                            <w:szCs w:val="18"/>
                          </w:rPr>
                          <w:t>筹资活动现金 流出小计</w:t>
                        </w:r>
                      </w:p>
                    </w:tc>
                    <w:tc>
                      <w:tcPr>
                        <w:tcW w:w="160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45,818,666.67</w:t>
                        </w:r>
                      </w:p>
                    </w:tc>
                    <w:tc>
                      <w:tcPr>
                        <w:tcW w:w="15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15,800,000.00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z w:val="18"/>
                          </w:rPr>
                          <w:t>189.99%</w:t>
                        </w:r>
                      </w:p>
                    </w:tc>
                    <w:tc>
                      <w:tcPr>
                        <w:tcW w:w="3168" w:type="dxa"/>
                        <w:tcBorders>
                          <w:top w:val="single" w:sz="12" w:space="0" w:color="000000"/>
                          <w:left w:val="single" w:sz="6" w:space="0" w:color="000000"/>
                          <w:bottom w:val="single" w:sz="12" w:space="0" w:color="000000"/>
                          <w:right w:val="nil" w:sz="6" w:space="0" w:color="auto"/>
                        </w:tcBorders>
                      </w:tcPr>
                      <w:p>
                        <w:pPr>
                          <w:pStyle w:val="TableParagraph"/>
                          <w:spacing w:line="302" w:lineRule="auto" w:before="51"/>
                          <w:ind w:left="2" w:right="2"/>
                          <w:jc w:val="left"/>
                          <w:rPr>
                            <w:rFonts w:ascii="宋体" w:hAnsi="宋体" w:cs="宋体" w:eastAsia="宋体" w:hint="default"/>
                            <w:sz w:val="18"/>
                            <w:szCs w:val="18"/>
                          </w:rPr>
                        </w:pPr>
                        <w:r>
                          <w:rPr>
                            <w:rFonts w:ascii="宋体" w:hAnsi="宋体" w:cs="宋体" w:eastAsia="宋体" w:hint="default"/>
                            <w:spacing w:val="4"/>
                            <w:sz w:val="18"/>
                            <w:szCs w:val="18"/>
                          </w:rPr>
                          <w:t>公司归还了向银行申请的</w:t>
                        </w:r>
                        <w:r>
                          <w:rPr>
                            <w:rFonts w:ascii="Times New Roman" w:hAnsi="Times New Roman" w:cs="Times New Roman" w:eastAsia="Times New Roman" w:hint="default"/>
                            <w:spacing w:val="4"/>
                            <w:sz w:val="18"/>
                            <w:szCs w:val="18"/>
                          </w:rPr>
                          <w:t>3000</w:t>
                        </w:r>
                        <w:r>
                          <w:rPr>
                            <w:rFonts w:ascii="宋体" w:hAnsi="宋体" w:cs="宋体" w:eastAsia="宋体" w:hint="default"/>
                            <w:spacing w:val="4"/>
                            <w:sz w:val="18"/>
                            <w:szCs w:val="18"/>
                          </w:rPr>
                          <w:t>万元短期</w:t>
                        </w:r>
                        <w:r>
                          <w:rPr>
                            <w:rFonts w:ascii="宋体" w:hAnsi="宋体" w:cs="宋体" w:eastAsia="宋体" w:hint="default"/>
                            <w:spacing w:val="-75"/>
                            <w:sz w:val="18"/>
                            <w:szCs w:val="18"/>
                          </w:rPr>
                          <w:t> </w:t>
                        </w:r>
                        <w:r>
                          <w:rPr>
                            <w:rFonts w:ascii="宋体" w:hAnsi="宋体" w:cs="宋体" w:eastAsia="宋体" w:hint="default"/>
                            <w:sz w:val="18"/>
                            <w:szCs w:val="18"/>
                          </w:rPr>
                          <w:t>借款。</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40" w:lineRule="auto" w:before="44"/>
        <w:ind w:left="0" w:right="1186"/>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44"/>
        <w:ind w:right="0"/>
        <w:jc w:val="left"/>
      </w:pPr>
      <w:r>
        <w:rPr>
          <w:rFonts w:ascii="Times New Roman" w:hAnsi="Times New Roman" w:cs="Times New Roman" w:eastAsia="Times New Roman" w:hint="default"/>
        </w:rPr>
        <w:t>2</w:t>
      </w:r>
      <w:r>
        <w:rPr/>
        <w:t>）报告期利润构成或利润来源发生重大变动的说明</w:t>
      </w:r>
    </w:p>
    <w:p>
      <w:pPr>
        <w:pStyle w:val="BodyText"/>
        <w:spacing w:line="240" w:lineRule="auto" w:before="103"/>
        <w:ind w:left="153" w:right="0"/>
        <w:jc w:val="left"/>
      </w:pPr>
      <w:r>
        <w:rPr/>
        <w:t>□ 适用 √ 不适用</w:t>
      </w:r>
    </w:p>
    <w:p>
      <w:pPr>
        <w:pStyle w:val="BodyText"/>
        <w:spacing w:line="240" w:lineRule="auto" w:before="116"/>
        <w:ind w:left="153" w:right="0"/>
        <w:jc w:val="left"/>
      </w:pPr>
      <w:r>
        <w:rPr>
          <w:rFonts w:ascii="Times New Roman" w:hAnsi="Times New Roman" w:cs="Times New Roman" w:eastAsia="Times New Roman" w:hint="default"/>
        </w:rPr>
        <w:t>3</w:t>
      </w:r>
      <w:r>
        <w:rPr/>
        <w:t>）收入</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同比增减情况</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6" w:right="0"/>
              <w:jc w:val="left"/>
              <w:rPr>
                <w:rFonts w:ascii="Times New Roman" w:hAnsi="Times New Roman" w:cs="Times New Roman" w:eastAsia="Times New Roman" w:hint="default"/>
                <w:sz w:val="18"/>
                <w:szCs w:val="18"/>
              </w:rPr>
            </w:pPr>
            <w:r>
              <w:rPr>
                <w:rFonts w:ascii="Times New Roman"/>
                <w:sz w:val="18"/>
              </w:rPr>
              <w:t>970,313,107.92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726,549,802.95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33.55%</w:t>
            </w:r>
          </w:p>
        </w:tc>
      </w:tr>
    </w:tbl>
    <w:p>
      <w:pPr>
        <w:pStyle w:val="BodyText"/>
        <w:spacing w:line="240" w:lineRule="auto" w:before="51"/>
        <w:ind w:right="0"/>
        <w:jc w:val="left"/>
      </w:pPr>
      <w:r>
        <w:rPr/>
        <w:t>驱动收入变化的因素</w:t>
      </w:r>
    </w:p>
    <w:p>
      <w:pPr>
        <w:pStyle w:val="BodyText"/>
        <w:spacing w:line="300" w:lineRule="auto" w:before="116"/>
        <w:ind w:left="153" w:right="0" w:firstLine="360"/>
        <w:jc w:val="left"/>
      </w:pPr>
      <w:r>
        <w:rPr>
          <w:rFonts w:ascii="Times New Roman" w:hAnsi="Times New Roman" w:cs="Times New Roman" w:eastAsia="Times New Roman" w:hint="default"/>
          <w:spacing w:val="-2"/>
        </w:rPr>
        <w:t>2014</w:t>
      </w:r>
      <w:r>
        <w:rPr>
          <w:spacing w:val="-2"/>
        </w:rPr>
        <w:t>年，公司产能利用率进一步提高，产量大幅增加，而销售部门采取有力措施，深挖需求、重点跟踪，订单量和发货</w:t>
      </w:r>
      <w:r>
        <w:rPr/>
        <w:t> 量均大幅提高。</w:t>
      </w:r>
    </w:p>
    <w:p>
      <w:pPr>
        <w:pStyle w:val="BodyText"/>
        <w:spacing w:line="240" w:lineRule="auto" w:before="72"/>
        <w:ind w:left="153" w:right="0"/>
        <w:jc w:val="left"/>
      </w:pPr>
      <w:r>
        <w:rPr/>
        <w:t>公司实物销售收入是否大于劳务收入</w:t>
      </w:r>
    </w:p>
    <w:p>
      <w:pPr>
        <w:pStyle w:val="BodyText"/>
        <w:spacing w:line="240" w:lineRule="auto" w:before="116"/>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行业分类</w:t>
            </w:r>
            <w:r>
              <w:rPr>
                <w:rFonts w:ascii="Times New Roman" w:hAnsi="Times New Roman" w:cs="Times New Roman" w:eastAsia="Times New Roman" w:hint="default"/>
                <w:sz w:val="18"/>
                <w:szCs w:val="18"/>
              </w:rPr>
              <w:t>/</w:t>
            </w:r>
            <w:r>
              <w:rPr>
                <w:rFonts w:ascii="宋体" w:hAnsi="宋体" w:cs="宋体" w:eastAsia="宋体" w:hint="default"/>
                <w:sz w:val="18"/>
                <w:szCs w:val="18"/>
              </w:rPr>
              <w:t>产品</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970,313,107.92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726,549,802.95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33.55%</w:t>
            </w:r>
          </w:p>
        </w:tc>
      </w:tr>
      <w:tr>
        <w:trPr>
          <w:trHeight w:val="402"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967,701,498.18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752,551,438.17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28.59%</w:t>
            </w:r>
          </w:p>
        </w:tc>
      </w:tr>
      <w:tr>
        <w:trPr>
          <w:trHeight w:val="402"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65,942,599.93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63,330,990.19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4" w:right="3995"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由于公司加强市场开拓和新产品开发，公司销售量同比增长</w:t>
      </w:r>
      <w:r>
        <w:rPr>
          <w:rFonts w:ascii="Times New Roman" w:hAnsi="Times New Roman" w:cs="Times New Roman" w:eastAsia="Times New Roman" w:hint="default"/>
        </w:rPr>
        <w:t>33.55%</w:t>
      </w:r>
      <w:r>
        <w:rPr/>
        <w:t>。</w:t>
      </w:r>
    </w:p>
    <w:p>
      <w:pPr>
        <w:spacing w:after="0" w:line="338"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公司重大的在手订单情况</w:t>
      </w:r>
    </w:p>
    <w:p>
      <w:pPr>
        <w:pStyle w:val="BodyText"/>
        <w:spacing w:line="360" w:lineRule="auto" w:before="116"/>
        <w:ind w:left="153" w:right="8151"/>
        <w:jc w:val="left"/>
      </w:pPr>
      <w:r>
        <w:rPr/>
        <w:t>□ 适用 √ 不适用 数量分散的订单情况</w:t>
      </w:r>
    </w:p>
    <w:p>
      <w:pPr>
        <w:pStyle w:val="BodyText"/>
        <w:spacing w:line="357" w:lineRule="auto" w:before="26"/>
        <w:ind w:left="513" w:right="0" w:hanging="360"/>
        <w:jc w:val="left"/>
      </w:pPr>
      <w:r>
        <w:rPr/>
        <w:t>√ 适用 □ 不适用 </w:t>
      </w:r>
      <w:r>
        <w:rPr>
          <w:spacing w:val="-2"/>
        </w:rPr>
        <w:t>超纤产品品种多，故客户订单批次多、单个订单的绝对金额不大。超纤产品的时效性强，故客户一般提前一个月到半个</w:t>
      </w:r>
    </w:p>
    <w:p>
      <w:pPr>
        <w:pStyle w:val="BodyText"/>
        <w:spacing w:line="224" w:lineRule="exact"/>
        <w:ind w:left="153" w:right="0"/>
        <w:jc w:val="left"/>
      </w:pPr>
      <w:r>
        <w:rPr/>
        <w:t>月下单。</w:t>
      </w:r>
    </w:p>
    <w:p>
      <w:pPr>
        <w:pStyle w:val="BodyText"/>
        <w:spacing w:line="240" w:lineRule="auto" w:before="117"/>
        <w:ind w:left="153" w:right="0"/>
        <w:jc w:val="left"/>
      </w:pPr>
      <w:r>
        <w:rPr/>
        <w:t>公司报告期内产品或服务发生重大变化或调整有关情况</w:t>
      </w:r>
    </w:p>
    <w:p>
      <w:pPr>
        <w:pStyle w:val="BodyText"/>
        <w:spacing w:line="240" w:lineRule="auto" w:before="117"/>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rFonts w:ascii="Times New Roman" w:hAnsi="Times New Roman" w:cs="Times New Roman" w:eastAsia="Times New Roman" w:hint="default"/>
        </w:rPr>
        <w:t>4</w:t>
      </w:r>
      <w:r>
        <w:rPr/>
        <w:t>）成本</w:t>
      </w:r>
    </w:p>
    <w:p>
      <w:pPr>
        <w:pStyle w:val="BodyText"/>
        <w:spacing w:line="240" w:lineRule="auto" w:before="103"/>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496,606,006.12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356,490,913.59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燃动费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94,064,843.67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76,633,812.36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42,346,794.79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36,843,254.55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71,587,925.97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66,733,772.85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-2.27%</w:t>
            </w:r>
          </w:p>
        </w:tc>
      </w:tr>
    </w:tbl>
    <w:p>
      <w:pPr>
        <w:pStyle w:val="BodyText"/>
        <w:spacing w:line="240" w:lineRule="auto" w:before="51"/>
        <w:ind w:right="0"/>
        <w:jc w:val="left"/>
      </w:pPr>
      <w:r>
        <w:rPr>
          <w:rFonts w:ascii="Times New Roman" w:hAnsi="Times New Roman" w:cs="Times New Roman" w:eastAsia="Times New Roman" w:hint="default"/>
        </w:rPr>
        <w:t>5</w:t>
      </w:r>
      <w:r>
        <w:rPr/>
        <w:t>）费用</w:t>
      </w:r>
    </w:p>
    <w:p>
      <w:pPr>
        <w:pStyle w:val="BodyText"/>
        <w:spacing w:line="240" w:lineRule="auto" w:before="103"/>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25,777,310.56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15,021,797.11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销售量增长，外贸客户佣金、运费、 委托外部加工费用等大幅上升</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110,370,213.91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78,232,862.18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公司加强新产品开发力度，研发费用</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多万元，产量增加，人工 成本等有所上升</w:t>
            </w:r>
          </w:p>
        </w:tc>
      </w:tr>
      <w:tr>
        <w:trPr>
          <w:trHeight w:val="402"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-3,237,699.13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-5,251,027.78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-38.34%</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公司存放银行的募集资金减少</w:t>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16,004,236.31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14,008,504.94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利润总额上升引起所得税变化</w:t>
            </w:r>
          </w:p>
        </w:tc>
      </w:tr>
    </w:tbl>
    <w:p>
      <w:pPr>
        <w:pStyle w:val="BodyText"/>
        <w:spacing w:line="240" w:lineRule="auto" w:before="51"/>
        <w:ind w:right="0"/>
        <w:jc w:val="left"/>
      </w:pPr>
      <w:r>
        <w:rPr>
          <w:rFonts w:ascii="Times New Roman" w:hAnsi="Times New Roman" w:cs="Times New Roman" w:eastAsia="Times New Roman" w:hint="default"/>
        </w:rPr>
        <w:t>6</w:t>
      </w:r>
      <w:r>
        <w:rPr/>
        <w:t>）研发投入</w:t>
      </w:r>
    </w:p>
    <w:p>
      <w:pPr>
        <w:pStyle w:val="BodyText"/>
        <w:spacing w:line="240" w:lineRule="auto" w:before="10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7" w:lineRule="auto" w:before="102"/>
        <w:ind w:right="151" w:firstLine="362"/>
        <w:jc w:val="both"/>
      </w:pPr>
      <w:r>
        <w:rPr>
          <w:rFonts w:ascii="Times New Roman" w:hAnsi="Times New Roman" w:cs="Times New Roman" w:eastAsia="Times New Roman" w:hint="default"/>
          <w:spacing w:val="-2"/>
        </w:rPr>
        <w:t>2014</w:t>
      </w:r>
      <w:r>
        <w:rPr>
          <w:spacing w:val="-2"/>
        </w:rPr>
        <w:t>年，为满足汽车、动车组列车、定岛、外贸等高端客户的产品开发需求、公司大幅增加研发投入和加快新产品开发</w:t>
      </w:r>
      <w:r>
        <w:rPr/>
        <w:t> 速度，研发投入金额</w:t>
      </w:r>
      <w:r>
        <w:rPr>
          <w:rFonts w:ascii="Times New Roman" w:hAnsi="Times New Roman" w:cs="Times New Roman" w:eastAsia="Times New Roman" w:hint="default"/>
        </w:rPr>
        <w:t>41,000,233.10</w:t>
      </w:r>
      <w:r>
        <w:rPr/>
        <w:t>元，占营业收入比例</w:t>
      </w:r>
      <w:r>
        <w:rPr>
          <w:rFonts w:ascii="Times New Roman" w:hAnsi="Times New Roman" w:cs="Times New Roman" w:eastAsia="Times New Roman" w:hint="default"/>
        </w:rPr>
        <w:t>4.23%</w:t>
      </w:r>
      <w:r>
        <w:rPr/>
        <w:t>，定岛产品正式进入市场，针对奢侈品品牌的定制材料开始量 </w:t>
      </w:r>
      <w:r>
        <w:rPr>
          <w:spacing w:val="-2"/>
        </w:rPr>
        <w:t>产，这些新产品有效地提升了公司超纤产品的整体毛利，不断增强的技术储备为公司的未来发展打下了良好的基础，也为公</w:t>
      </w:r>
      <w:r>
        <w:rPr>
          <w:spacing w:val="-66"/>
        </w:rPr>
        <w:t> </w:t>
      </w:r>
      <w:r>
        <w:rPr>
          <w:spacing w:val="-66"/>
        </w:rPr>
      </w:r>
      <w:r>
        <w:rPr/>
        <w:t>司在行业内提高了知名度和影响力。</w:t>
      </w:r>
    </w:p>
    <w:p>
      <w:pPr>
        <w:pStyle w:val="BodyText"/>
        <w:spacing w:line="240" w:lineRule="auto" w:before="67"/>
        <w:ind w:right="0"/>
        <w:jc w:val="left"/>
      </w:pPr>
      <w:r>
        <w:rPr/>
        <w:t>近三年公司研发投入金额及占营业收入的比例</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41,000,233.10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22,734,963.86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21,627,680.77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3.53%</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研发投入资本化率大幅变动的原因及其合理性说明</w:t>
      </w:r>
    </w:p>
    <w:p>
      <w:pPr>
        <w:pStyle w:val="BodyText"/>
        <w:spacing w:line="240" w:lineRule="auto" w:before="117"/>
        <w:ind w:left="153"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20"/>
        <w:jc w:val="left"/>
      </w:pPr>
      <w:r>
        <w:rPr>
          <w:rFonts w:ascii="Times New Roman" w:hAnsi="Times New Roman" w:cs="Times New Roman" w:eastAsia="Times New Roman" w:hint="default"/>
        </w:rPr>
        <w:t>7</w:t>
      </w:r>
      <w:r>
        <w:rPr/>
        <w:t>）现金流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4115" w:space="4804"/>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887,318,544.35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688,204,488.08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28.93%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765,487,197.92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631,096,935.42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121,831,346.43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57,107,552.66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113.34%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266,512,930.61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22,422,832.21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1,088.58%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458,020,236.73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143,833,976.25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218.44%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-191,507,306.12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-121,411,144.04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45,818,666.67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189.99%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-15,818,666.67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-85,494,626.36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-80,103,591.38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r>
    </w:tbl>
    <w:p>
      <w:pPr>
        <w:pStyle w:val="BodyText"/>
        <w:spacing w:line="240" w:lineRule="auto" w:before="51"/>
        <w:ind w:right="0"/>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38" w:lineRule="auto" w:before="103"/>
        <w:ind w:left="514" w:right="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投资活动现金流入小计、投资活动现金流出小计、投资活动产生的现金流量净额出现大幅增加，主要是由于我公司投资</w:t>
      </w:r>
    </w:p>
    <w:p>
      <w:pPr>
        <w:pStyle w:val="BodyText"/>
        <w:spacing w:line="240" w:lineRule="auto" w:before="4"/>
        <w:ind w:right="0"/>
        <w:jc w:val="left"/>
      </w:pPr>
      <w:r>
        <w:rPr/>
        <w:t>设立了江苏华峰超纤材料有限公司，支付相关注册资金及往来款所致。</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7"/>
          <w:szCs w:val="17"/>
        </w:rPr>
      </w:pPr>
    </w:p>
    <w:p>
      <w:pPr>
        <w:pStyle w:val="BodyText"/>
        <w:spacing w:line="240" w:lineRule="auto"/>
        <w:ind w:right="0"/>
        <w:jc w:val="left"/>
      </w:pPr>
      <w:r>
        <w:rPr/>
        <w:t>报告期内公司经营活动的现金流量与本年度净利润存在重大差异的原因说明</w:t>
      </w:r>
    </w:p>
    <w:p>
      <w:pPr>
        <w:pStyle w:val="BodyText"/>
        <w:spacing w:line="338" w:lineRule="auto" w:before="116"/>
        <w:ind w:right="734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8</w:t>
      </w:r>
      <w:r>
        <w:rPr/>
        <w:t>）公司主要供应商、客户情况 公司主要销售客户情况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196,317,205.74</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20.23%</w:t>
            </w:r>
          </w:p>
        </w:tc>
      </w:tr>
    </w:tbl>
    <w:p>
      <w:pPr>
        <w:pStyle w:val="BodyText"/>
        <w:spacing w:line="240" w:lineRule="auto" w:before="51"/>
        <w:ind w:right="0"/>
        <w:jc w:val="left"/>
      </w:pPr>
      <w:r>
        <w:rPr/>
        <w:t>向单一客户销售比例超过</w:t>
      </w:r>
      <w:r>
        <w:rPr>
          <w:spacing w:val="-46"/>
        </w:rPr>
        <w:t> </w:t>
      </w:r>
      <w:r>
        <w:rPr>
          <w:rFonts w:ascii="Times New Roman" w:hAnsi="Times New Roman" w:cs="Times New Roman" w:eastAsia="Times New Roman" w:hint="default"/>
        </w:rPr>
        <w:t>30%</w:t>
      </w:r>
      <w:r>
        <w:rPr/>
        <w:t>的客户资料</w:t>
      </w:r>
    </w:p>
    <w:p>
      <w:pPr>
        <w:pStyle w:val="BodyText"/>
        <w:spacing w:line="340" w:lineRule="auto" w:before="102"/>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238;top:14;width:23;height:393" coordorigin="4238,14" coordsize="23,393">
              <v:shape style="position:absolute;left:4238;top:14;width:23;height:393" coordorigin="4238,14" coordsize="23,393" path="m4238,407l4261,407,4261,14,4238,14,42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202;height:393" coordorigin="37,14" coordsize="4202,393">
              <v:shape style="position:absolute;left:37;top:14;width:4202;height:393" coordorigin="37,14" coordsize="4202,393" path="m37,407l4238,407,4238,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258;height:2" coordorigin="5,412" coordsize="4258,2">
              <v:shape style="position:absolute;left:5;top:412;width:4258;height:2" coordorigin="5,412" coordsize="4258,0" path="m5,412l4262,412e" filled="false" stroked="true" strokeweight=".47998pt" strokecolor="#000000">
                <v:path arrowok="t"/>
              </v:shape>
            </v:group>
            <v:group style="position:absolute;left:4267;top:14;width:2;height:402" coordorigin="4267,14" coordsize="2,402">
              <v:shape style="position:absolute;left:4267;top:14;width:2;height:402" coordorigin="4267,14" coordsize="0,402" path="m4267,14l4267,416e" filled="false" stroked="true" strokeweight=".48001pt" strokecolor="#000000">
                <v:path arrowok="t"/>
              </v:shape>
            </v:group>
            <v:group style="position:absolute;left:4272;top:412;width:5301;height:2" coordorigin="4272,412" coordsize="5301,2">
              <v:shape style="position:absolute;left:4272;top:412;width:5301;height:2" coordorigin="4272,412" coordsize="5301,0" path="m4272,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257;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xbxContent>
                </v:textbox>
                <w10:wrap type="none"/>
              </v:shape>
              <v:shape style="position:absolute;left:4267;top:10;width:5311;height:402" type="#_x0000_t202" filled="false" stroked="false">
                <v:textbox inset="0,0,0,0">
                  <w:txbxContent>
                    <w:p>
                      <w:pPr>
                        <w:spacing w:before="96"/>
                        <w:ind w:left="0" w:right="24" w:firstLine="0"/>
                        <w:jc w:val="right"/>
                        <w:rPr>
                          <w:rFonts w:ascii="Times New Roman" w:hAnsi="Times New Roman" w:cs="Times New Roman" w:eastAsia="Times New Roman" w:hint="default"/>
                          <w:sz w:val="18"/>
                          <w:szCs w:val="18"/>
                        </w:rPr>
                      </w:pPr>
                      <w:r>
                        <w:rPr>
                          <w:rFonts w:ascii="Times New Roman"/>
                          <w:spacing w:val="-1"/>
                          <w:sz w:val="18"/>
                        </w:rPr>
                        <w:t>326,130,252.43</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980"/>
        </w:sectPr>
      </w:pPr>
    </w:p>
    <w:p>
      <w:pPr>
        <w:spacing w:line="240" w:lineRule="auto" w:before="2"/>
        <w:rPr>
          <w:rFonts w:ascii="宋体" w:hAnsi="宋体" w:cs="宋体" w:eastAsia="宋体" w:hint="default"/>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4238;top:14;width:23;height:393" coordorigin="4238,14" coordsize="23,393">
              <v:shape style="position:absolute;left:4238;top:14;width:23;height:393" coordorigin="4238,14" coordsize="23,393" path="m4238,407l4261,407,4261,14,4238,14,4238,407xe" filled="true" fillcolor="#d3d3d3" stroked="false">
                <v:path arrowok="t"/>
                <v:fill type="solid"/>
              </v:shape>
            </v:group>
            <v:group style="position:absolute;left:14;top:14;width:23;height:393" coordorigin="14,14" coordsize="23,393">
              <v:shape style="position:absolute;left:14;top:14;width:23;height:393" coordorigin="14,14" coordsize="23,393" path="m14,407l37,407,37,14,14,14,14,407xe" filled="true" fillcolor="#d3d3d3" stroked="false">
                <v:path arrowok="t"/>
                <v:fill type="solid"/>
              </v:shape>
            </v:group>
            <v:group style="position:absolute;left:37;top:14;width:4202;height:393" coordorigin="37,14" coordsize="4202,393">
              <v:shape style="position:absolute;left:37;top:14;width:4202;height:393" coordorigin="37,14" coordsize="4202,393" path="m37,407l4238,407,4238,14,37,14,3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258;height:2" coordorigin="5,412" coordsize="4258,2">
              <v:shape style="position:absolute;left:5;top:412;width:4258;height:2" coordorigin="5,412" coordsize="4258,0" path="m5,412l4262,412e" filled="false" stroked="true" strokeweight=".47998pt" strokecolor="#000000">
                <v:path arrowok="t"/>
              </v:shape>
            </v:group>
            <v:group style="position:absolute;left:4267;top:14;width:2;height:402" coordorigin="4267,14" coordsize="2,402">
              <v:shape style="position:absolute;left:4267;top:14;width:2;height:402" coordorigin="4267,14" coordsize="0,402" path="m4267,14l4267,416e" filled="false" stroked="true" strokeweight=".48001pt" strokecolor="#000000">
                <v:path arrowok="t"/>
              </v:shape>
            </v:group>
            <v:group style="position:absolute;left:4272;top:412;width:5301;height:2" coordorigin="4272,412" coordsize="5301,2">
              <v:shape style="position:absolute;left:4272;top:412;width:5301;height:2" coordorigin="4272,412" coordsize="5301,0" path="m4272,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257;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xbxContent>
                </v:textbox>
                <w10:wrap type="none"/>
              </v:shape>
              <v:shape style="position:absolute;left:8995;top:129;width:55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36.21%</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90"/>
        <w:jc w:val="left"/>
      </w:pPr>
      <w:r>
        <w:rPr/>
        <w:t>向单一供应商采购比例超过</w:t>
      </w:r>
      <w:r>
        <w:rPr>
          <w:spacing w:val="-46"/>
        </w:rPr>
        <w:t> </w:t>
      </w:r>
      <w:r>
        <w:rPr>
          <w:rFonts w:ascii="Times New Roman" w:hAnsi="Times New Roman" w:cs="Times New Roman" w:eastAsia="Times New Roman" w:hint="default"/>
        </w:rPr>
        <w:t>30%</w:t>
      </w:r>
      <w:r>
        <w:rPr/>
        <w:t>的客户资料</w:t>
      </w:r>
    </w:p>
    <w:p>
      <w:pPr>
        <w:pStyle w:val="BodyText"/>
        <w:spacing w:line="240" w:lineRule="auto" w:before="103"/>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40" w:lineRule="auto" w:before="102"/>
        <w:ind w:right="4050"/>
        <w:jc w:val="left"/>
      </w:pPr>
      <w:r>
        <w:rPr>
          <w:rFonts w:ascii="Times New Roman" w:hAnsi="Times New Roman" w:cs="Times New Roman" w:eastAsia="Times New Roman" w:hint="default"/>
        </w:rPr>
        <w:t>9</w:t>
      </w:r>
      <w:r>
        <w:rPr/>
        <w:t>）公司未来发展与规划延续至报告期的说明 首次公开发行招股说明书中披露的未来发展与规划在本报告期的实施情况</w:t>
      </w:r>
    </w:p>
    <w:p>
      <w:pPr>
        <w:pStyle w:val="BodyText"/>
        <w:spacing w:line="338" w:lineRule="auto" w:before="40"/>
        <w:ind w:left="514" w:right="90"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4"/>
        </w:rPr>
        <w:t>公司在首次公开发行招股说明书中披露的发行当年（</w:t>
      </w:r>
      <w:r>
        <w:rPr>
          <w:rFonts w:ascii="Times New Roman" w:hAnsi="Times New Roman" w:cs="Times New Roman" w:eastAsia="Times New Roman" w:hint="default"/>
          <w:spacing w:val="-4"/>
        </w:rPr>
        <w:t>2011</w:t>
      </w:r>
      <w:r>
        <w:rPr>
          <w:spacing w:val="-4"/>
        </w:rPr>
        <w:t>年）及未来三年发展规划，包括发展战略、主营业务经营目标、</w:t>
      </w:r>
    </w:p>
    <w:p>
      <w:pPr>
        <w:pStyle w:val="BodyText"/>
        <w:spacing w:line="217" w:lineRule="exact"/>
        <w:ind w:right="0"/>
        <w:jc w:val="left"/>
      </w:pPr>
      <w:r>
        <w:rPr/>
        <w:t>研发计划、人才战略、市场开拓计划、筹资计划和进一步完善公司治理结构计划，在报告期内，公司都较好地执行了当初制</w:t>
      </w:r>
    </w:p>
    <w:p>
      <w:pPr>
        <w:pStyle w:val="BodyText"/>
        <w:spacing w:line="309" w:lineRule="auto" w:before="76"/>
        <w:ind w:right="189"/>
        <w:jc w:val="both"/>
      </w:pPr>
      <w:r>
        <w:rPr>
          <w:spacing w:val="-2"/>
        </w:rPr>
        <w:t>定的发展规划。公司将始终不渝地坚持打造</w:t>
      </w:r>
      <w:r>
        <w:rPr>
          <w:rFonts w:ascii="Times New Roman" w:hAnsi="Times New Roman" w:cs="Times New Roman" w:eastAsia="Times New Roman" w:hint="default"/>
          <w:spacing w:val="-2"/>
        </w:rPr>
        <w:t>“</w:t>
      </w:r>
      <w:r>
        <w:rPr>
          <w:spacing w:val="-2"/>
        </w:rPr>
        <w:t>华峰超纤</w:t>
      </w:r>
      <w:r>
        <w:rPr>
          <w:rFonts w:ascii="Times New Roman" w:hAnsi="Times New Roman" w:cs="Times New Roman" w:eastAsia="Times New Roman" w:hint="default"/>
          <w:spacing w:val="-2"/>
        </w:rPr>
        <w:t>”</w:t>
      </w:r>
      <w:r>
        <w:rPr>
          <w:spacing w:val="-2"/>
        </w:rPr>
        <w:t>品牌，保持公司在国内超细纤维合成革行业的领先地位，强化公司的</w:t>
      </w:r>
      <w:r>
        <w:rPr>
          <w:spacing w:val="-44"/>
        </w:rPr>
        <w:t> </w:t>
      </w:r>
      <w:r>
        <w:rPr>
          <w:spacing w:val="-44"/>
        </w:rPr>
      </w:r>
      <w:r>
        <w:rPr>
          <w:spacing w:val="-2"/>
        </w:rPr>
        <w:t>研发能力，提高公司超细纤维合成革的生产能力，开发超细纤维合成革新产品，提升公司超细纤维合成革产品性能，积极拓</w:t>
      </w:r>
      <w:r>
        <w:rPr>
          <w:spacing w:val="-66"/>
        </w:rPr>
        <w:t> </w:t>
      </w:r>
      <w:r>
        <w:rPr>
          <w:spacing w:val="-66"/>
        </w:rPr>
      </w:r>
      <w:r>
        <w:rPr/>
        <w:t>展超细纤维合成革的应用领域，优化公司的产品结构，赶超国际先进企业。</w:t>
      </w:r>
    </w:p>
    <w:p>
      <w:pPr>
        <w:pStyle w:val="BodyText"/>
        <w:spacing w:line="309" w:lineRule="auto" w:before="24"/>
        <w:ind w:right="191" w:firstLine="360"/>
        <w:jc w:val="both"/>
      </w:pPr>
      <w:r>
        <w:rPr>
          <w:spacing w:val="-2"/>
        </w:rPr>
        <w:t>公司募投项目已在</w:t>
      </w:r>
      <w:r>
        <w:rPr>
          <w:rFonts w:ascii="Times New Roman" w:hAnsi="Times New Roman" w:cs="Times New Roman" w:eastAsia="Times New Roman" w:hint="default"/>
          <w:spacing w:val="-2"/>
        </w:rPr>
        <w:t>2013</w:t>
      </w:r>
      <w:r>
        <w:rPr>
          <w:spacing w:val="-2"/>
        </w:rPr>
        <w:t>年正式投入运行并逐步产生效益，定岛新技术的采用、新产品的研发和规模化生产，对于公司提</w:t>
      </w:r>
      <w:r>
        <w:rPr/>
        <w:t> </w:t>
      </w:r>
      <w:r>
        <w:rPr>
          <w:spacing w:val="-2"/>
        </w:rPr>
        <w:t>高产品档次、增强产品在国内外市场的竞争力、保持行业的领先地位起重要的推动作用，能够进一步提升公司的业务规模和</w:t>
      </w:r>
      <w:r>
        <w:rPr>
          <w:spacing w:val="-66"/>
        </w:rPr>
        <w:t> </w:t>
      </w:r>
      <w:r>
        <w:rPr>
          <w:spacing w:val="-66"/>
        </w:rPr>
      </w:r>
      <w:r>
        <w:rPr/>
        <w:t>盈利能力。</w:t>
      </w:r>
    </w:p>
    <w:p>
      <w:pPr>
        <w:spacing w:line="240" w:lineRule="auto" w:before="0"/>
        <w:rPr>
          <w:rFonts w:ascii="宋体" w:hAnsi="宋体" w:cs="宋体" w:eastAsia="宋体" w:hint="default"/>
          <w:sz w:val="18"/>
          <w:szCs w:val="18"/>
        </w:rPr>
      </w:pPr>
    </w:p>
    <w:p>
      <w:pPr>
        <w:pStyle w:val="BodyText"/>
        <w:spacing w:line="357" w:lineRule="auto" w:before="141"/>
        <w:ind w:left="514" w:right="180" w:hanging="360"/>
        <w:jc w:val="left"/>
      </w:pPr>
      <w:r>
        <w:rPr/>
        <w:t>前期披露的发展战略和经营计划在报告期内的进展情况 报告期内，公司超募资金投资的</w:t>
      </w:r>
      <w:r>
        <w:rPr>
          <w:rFonts w:ascii="Times New Roman" w:hAnsi="Times New Roman" w:cs="Times New Roman" w:eastAsia="Times New Roman" w:hint="default"/>
        </w:rPr>
        <w:t>1440</w:t>
      </w:r>
      <w:r>
        <w:rPr/>
        <w:t>万平米超纤基布项目（二期）已于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月开始投入使用，抓紧做好子公司新建</w:t>
      </w:r>
    </w:p>
    <w:p>
      <w:pPr>
        <w:pStyle w:val="BodyText"/>
        <w:spacing w:line="214" w:lineRule="exact"/>
        <w:ind w:right="0"/>
        <w:jc w:val="left"/>
      </w:pPr>
      <w:r>
        <w:rPr/>
        <w:t>年产</w:t>
      </w:r>
      <w:r>
        <w:rPr>
          <w:rFonts w:ascii="Times New Roman" w:hAnsi="Times New Roman" w:cs="Times New Roman" w:eastAsia="Times New Roman" w:hint="default"/>
        </w:rPr>
        <w:t>7500</w:t>
      </w:r>
      <w:r>
        <w:rPr/>
        <w:t>万米产业用非织造布超纤材料项目的各项推进工作。目前子公司江苏华峰超纤材料有限公司已成立，项目用地已落</w:t>
      </w:r>
    </w:p>
    <w:p>
      <w:pPr>
        <w:pStyle w:val="BodyText"/>
        <w:spacing w:line="319" w:lineRule="auto" w:before="63"/>
        <w:ind w:right="90"/>
        <w:jc w:val="left"/>
      </w:pPr>
      <w:r>
        <w:rPr>
          <w:spacing w:val="-2"/>
        </w:rPr>
        <w:t>实，发改委备案已完成，但项目开工及实施仍需经当地政府大量的前置审批及工业园区配套基础设施的落实到位，相关进度</w:t>
      </w:r>
      <w:r>
        <w:rPr>
          <w:spacing w:val="-66"/>
        </w:rPr>
        <w:t> </w:t>
      </w:r>
      <w:r>
        <w:rPr>
          <w:spacing w:val="-66"/>
        </w:rPr>
      </w:r>
      <w:r>
        <w:rPr/>
        <w:t>尚不可控，虽然公司对超纤行业的发展充满信心，但下游市场变化很难可靠预测，项目的市场前景具有不确定性。</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240" w:lineRule="auto"/>
        <w:ind w:right="90"/>
        <w:jc w:val="left"/>
      </w:pPr>
      <w:r>
        <w:rPr/>
        <w:t>公司实际经营业绩较曾公开披露过的本年度盈利预测低于或高于</w:t>
      </w:r>
      <w:r>
        <w:rPr>
          <w:spacing w:val="-46"/>
        </w:rPr>
        <w:t> </w:t>
      </w:r>
      <w:r>
        <w:rPr>
          <w:rFonts w:ascii="Times New Roman" w:hAnsi="Times New Roman" w:cs="Times New Roman" w:eastAsia="Times New Roman" w:hint="default"/>
        </w:rPr>
        <w:t>20%</w:t>
      </w:r>
      <w:r>
        <w:rPr/>
        <w:t>以上的差异原因</w:t>
      </w:r>
    </w:p>
    <w:p>
      <w:pPr>
        <w:pStyle w:val="BodyText"/>
        <w:spacing w:line="240" w:lineRule="auto" w:before="103"/>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90"/>
        <w:jc w:val="left"/>
        <w:rPr>
          <w:b w:val="0"/>
          <w:bCs w:val="0"/>
        </w:rPr>
      </w:pPr>
      <w:r>
        <w:rPr/>
        <w:t>（</w:t>
      </w: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90"/>
        <w:jc w:val="left"/>
      </w:pPr>
      <w:r>
        <w:rPr>
          <w:rFonts w:ascii="Times New Roman" w:hAnsi="Times New Roman" w:cs="Times New Roman" w:eastAsia="Times New Roman" w:hint="default"/>
        </w:rPr>
        <w:t>1</w:t>
      </w:r>
      <w:r>
        <w:rPr/>
        <w:t>）报告期主营业务收入及主营业务利润的构成</w:t>
      </w:r>
    </w:p>
    <w:p>
      <w:pPr>
        <w:pStyle w:val="BodyText"/>
        <w:spacing w:line="240" w:lineRule="auto" w:before="102"/>
        <w:ind w:left="0" w:right="19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主营业务利润</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911,171,541.19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250,492,314.59</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295,377,553.70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55,308,364.62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380,784,965.37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104,985,589.22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235,009,022.12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90,198,360.75</w:t>
            </w:r>
          </w:p>
        </w:tc>
      </w:tr>
      <w:tr>
        <w:trPr>
          <w:trHeight w:val="402"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690,572,799.88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150,837,000.58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220,598,741.31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101,858,165.70</w:t>
            </w:r>
          </w:p>
        </w:tc>
      </w:tr>
    </w:tbl>
    <w:p>
      <w:pPr>
        <w:pStyle w:val="BodyText"/>
        <w:spacing w:line="240" w:lineRule="auto" w:before="51"/>
        <w:ind w:right="90"/>
        <w:jc w:val="left"/>
      </w:pPr>
      <w:r>
        <w:rPr>
          <w:rFonts w:ascii="Times New Roman" w:hAnsi="Times New Roman" w:cs="Times New Roman" w:eastAsia="Times New Roman" w:hint="default"/>
        </w:rPr>
        <w:t>2</w:t>
      </w:r>
      <w:r>
        <w:rPr/>
        <w:t>）占比</w:t>
      </w:r>
      <w:r>
        <w:rPr>
          <w:spacing w:val="-46"/>
        </w:rPr>
        <w:t> </w:t>
      </w:r>
      <w:r>
        <w:rPr>
          <w:rFonts w:ascii="Times New Roman" w:hAnsi="Times New Roman" w:cs="Times New Roman" w:eastAsia="Times New Roman" w:hint="default"/>
        </w:rPr>
        <w:t>10%</w:t>
      </w:r>
      <w:r>
        <w:rPr/>
        <w:t>以上的产品、行业或地区情况</w:t>
      </w:r>
    </w:p>
    <w:p>
      <w:pPr>
        <w:spacing w:after="0" w:line="240" w:lineRule="auto"/>
        <w:jc w:val="left"/>
        <w:sectPr>
          <w:pgSz w:w="11910" w:h="16840"/>
          <w:pgMar w:header="747" w:footer="982" w:top="1060" w:bottom="1180" w:left="980" w:right="94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911,171,541.19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660,679,226.60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超细纤维合成革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295,377,553.70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240,069,189.08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超细纤维底坯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380,784,965.37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275,799,376.15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0.24%</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绒面革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235,009,022.12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144,810,661.37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690,572,799.88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539,735,799.30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220,598,741.31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118,740,575.61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r>
    </w:tbl>
    <w:p>
      <w:pPr>
        <w:pStyle w:val="BodyText"/>
        <w:spacing w:line="240" w:lineRule="auto" w:before="51"/>
        <w:ind w:right="0"/>
        <w:jc w:val="left"/>
      </w:pPr>
      <w:r>
        <w:rPr>
          <w:rFonts w:ascii="Times New Roman" w:hAnsi="Times New Roman" w:cs="Times New Roman" w:eastAsia="Times New Roman" w:hint="default"/>
        </w:rPr>
        <w:t>3</w:t>
      </w:r>
      <w:r>
        <w:rPr/>
        <w:t>）公司主营业务数据统计口径在报告期发生调整的情况下，公司最近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）资产、负债状况分析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）资产项目重大变动情况</w:t>
      </w:r>
    </w:p>
    <w:p>
      <w:pPr>
        <w:pStyle w:val="BodyText"/>
        <w:spacing w:line="240" w:lineRule="auto" w:before="102"/>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191,309,402.3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276,804,028.73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96,951,195.79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58,867,630.34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1.42%</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201,787,680.1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170,208,905.24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11.74%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-0.33%</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685,783,537.5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38.79%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627,090,224.94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17,989,197.69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13,204,290.08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0.91%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29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2</w:t>
      </w:r>
      <w:r>
        <w:rPr/>
        <w:t>）负债项目重大变动情况</w:t>
      </w:r>
    </w:p>
    <w:p>
      <w:pPr>
        <w:pStyle w:val="BodyText"/>
        <w:spacing w:line="240" w:lineRule="auto" w:before="102"/>
        <w:ind w:left="0" w:right="15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占总资产比</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例</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9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rFonts w:ascii="Times New Roman" w:hAnsi="Times New Roman" w:cs="Times New Roman" w:eastAsia="Times New Roman" w:hint="default"/>
        </w:rPr>
        <w:t>3</w:t>
      </w:r>
      <w:r>
        <w:rPr/>
        <w:t>）以公允价值计量的资产和负债</w:t>
      </w:r>
    </w:p>
    <w:p>
      <w:pPr>
        <w:pStyle w:val="BodyText"/>
        <w:spacing w:line="240" w:lineRule="auto" w:before="103"/>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）公司竞争能力重大变化分析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0" w:firstLine="360"/>
        <w:jc w:val="left"/>
      </w:pPr>
      <w:r>
        <w:rPr>
          <w:rFonts w:ascii="Times New Roman" w:hAnsi="Times New Roman" w:cs="Times New Roman" w:eastAsia="Times New Roman" w:hint="default"/>
          <w:spacing w:val="-4"/>
        </w:rPr>
        <w:t>2014</w:t>
      </w:r>
      <w:r>
        <w:rPr>
          <w:spacing w:val="-4"/>
        </w:rPr>
        <w:t>年公司共申请专利</w:t>
      </w:r>
      <w:r>
        <w:rPr>
          <w:rFonts w:ascii="Times New Roman" w:hAnsi="Times New Roman" w:cs="Times New Roman" w:eastAsia="Times New Roman" w:hint="default"/>
          <w:spacing w:val="-4"/>
        </w:rPr>
        <w:t>5</w:t>
      </w:r>
      <w:r>
        <w:rPr>
          <w:spacing w:val="-4"/>
        </w:rPr>
        <w:t>项（其中发明专利申请</w:t>
      </w:r>
      <w:r>
        <w:rPr>
          <w:rFonts w:ascii="Times New Roman" w:hAnsi="Times New Roman" w:cs="Times New Roman" w:eastAsia="Times New Roman" w:hint="default"/>
          <w:spacing w:val="-4"/>
        </w:rPr>
        <w:t>4</w:t>
      </w:r>
      <w:r>
        <w:rPr>
          <w:spacing w:val="-4"/>
        </w:rPr>
        <w:t>项，实用新型专利申请</w:t>
      </w:r>
      <w:r>
        <w:rPr>
          <w:rFonts w:ascii="Times New Roman" w:hAnsi="Times New Roman" w:cs="Times New Roman" w:eastAsia="Times New Roman" w:hint="default"/>
          <w:spacing w:val="-4"/>
        </w:rPr>
        <w:t>1</w:t>
      </w:r>
      <w:r>
        <w:rPr>
          <w:spacing w:val="-4"/>
        </w:rPr>
        <w:t>项）。共获得授权</w:t>
      </w:r>
      <w:r>
        <w:rPr>
          <w:rFonts w:ascii="Times New Roman" w:hAnsi="Times New Roman" w:cs="Times New Roman" w:eastAsia="Times New Roman" w:hint="default"/>
          <w:spacing w:val="-4"/>
        </w:rPr>
        <w:t>6</w:t>
      </w:r>
      <w:r>
        <w:rPr>
          <w:spacing w:val="-4"/>
        </w:rPr>
        <w:t>项（其中发明专利</w:t>
      </w:r>
      <w:r>
        <w:rPr>
          <w:rFonts w:ascii="Times New Roman" w:hAnsi="Times New Roman" w:cs="Times New Roman" w:eastAsia="Times New Roman" w:hint="default"/>
          <w:spacing w:val="-4"/>
        </w:rPr>
        <w:t>5</w:t>
      </w:r>
      <w:r>
        <w:rPr>
          <w:spacing w:val="-4"/>
        </w:rPr>
        <w:t>项，实用</w:t>
      </w:r>
      <w:r>
        <w:rPr/>
        <w:t> </w:t>
      </w:r>
      <w:r>
        <w:rPr>
          <w:spacing w:val="-5"/>
        </w:rPr>
        <w:t>新型专利</w:t>
      </w:r>
      <w:r>
        <w:rPr>
          <w:rFonts w:ascii="Times New Roman" w:hAnsi="Times New Roman" w:cs="Times New Roman" w:eastAsia="Times New Roman" w:hint="default"/>
          <w:spacing w:val="-5"/>
        </w:rPr>
        <w:t>1</w:t>
      </w:r>
      <w:r>
        <w:rPr>
          <w:spacing w:val="-5"/>
        </w:rPr>
        <w:t>项）。截至</w:t>
      </w:r>
      <w:r>
        <w:rPr>
          <w:rFonts w:ascii="Times New Roman" w:hAnsi="Times New Roman" w:cs="Times New Roman" w:eastAsia="Times New Roman" w:hint="default"/>
          <w:spacing w:val="-5"/>
        </w:rPr>
        <w:t>2014</w:t>
      </w:r>
      <w:r>
        <w:rPr>
          <w:spacing w:val="-5"/>
        </w:rPr>
        <w:t>年底，公司共自主申请专利</w:t>
      </w:r>
      <w:r>
        <w:rPr>
          <w:rFonts w:ascii="Times New Roman" w:hAnsi="Times New Roman" w:cs="Times New Roman" w:eastAsia="Times New Roman" w:hint="default"/>
          <w:spacing w:val="-5"/>
        </w:rPr>
        <w:t>58</w:t>
      </w:r>
      <w:r>
        <w:rPr>
          <w:spacing w:val="-5"/>
        </w:rPr>
        <w:t>项，公司共拥有自主知识产权的授权专利数量已经达到了</w:t>
      </w:r>
      <w:r>
        <w:rPr>
          <w:rFonts w:ascii="Times New Roman" w:hAnsi="Times New Roman" w:cs="Times New Roman" w:eastAsia="Times New Roman" w:hint="default"/>
          <w:spacing w:val="-5"/>
        </w:rPr>
        <w:t>31</w:t>
      </w:r>
      <w:r>
        <w:rPr>
          <w:spacing w:val="-5"/>
        </w:rPr>
        <w:t>项，其中：</w:t>
      </w:r>
      <w:r>
        <w:rPr>
          <w:spacing w:val="-56"/>
        </w:rPr>
        <w:t> </w:t>
      </w:r>
      <w:r>
        <w:rPr>
          <w:spacing w:val="-56"/>
        </w:rPr>
      </w:r>
      <w:r>
        <w:rPr/>
        <w:t>发明专利</w:t>
      </w:r>
      <w:r>
        <w:rPr>
          <w:rFonts w:ascii="Times New Roman" w:hAnsi="Times New Roman" w:cs="Times New Roman" w:eastAsia="Times New Roman" w:hint="default"/>
        </w:rPr>
        <w:t>20</w:t>
      </w:r>
      <w:r>
        <w:rPr/>
        <w:t>项、实用新型专利</w:t>
      </w:r>
      <w:r>
        <w:rPr>
          <w:rFonts w:ascii="Times New Roman" w:hAnsi="Times New Roman" w:cs="Times New Roman" w:eastAsia="Times New Roman" w:hint="default"/>
        </w:rPr>
        <w:t>11</w:t>
      </w:r>
      <w:r>
        <w:rPr/>
        <w:t>项。</w:t>
      </w:r>
      <w:r>
        <w:rPr>
          <w:rFonts w:ascii="Times New Roman" w:hAnsi="Times New Roman" w:cs="Times New Roman" w:eastAsia="Times New Roman" w:hint="default"/>
        </w:rPr>
        <w:t>2014</w:t>
      </w:r>
      <w:r>
        <w:rPr/>
        <w:t>年公司获得授权的专利情况如下：</w:t>
      </w:r>
    </w:p>
    <w:tbl>
      <w:tblPr>
        <w:tblW w:w="0" w:type="auto"/>
        <w:jc w:val="left"/>
        <w:tblInd w:w="146" w:type="dxa"/>
        <w:tblLayout w:type="fixed"/>
        <w:tblCellMar>
          <w:top w:w="0" w:type="dxa"/>
          <w:left w:w="0" w:type="dxa"/>
          <w:bottom w:w="0" w:type="dxa"/>
          <w:right w:w="0" w:type="dxa"/>
        </w:tblCellMar>
        <w:tblLook w:val="01E0"/>
      </w:tblPr>
      <w:tblGrid>
        <w:gridCol w:w="493"/>
        <w:gridCol w:w="4367"/>
        <w:gridCol w:w="1936"/>
        <w:gridCol w:w="1856"/>
        <w:gridCol w:w="1096"/>
      </w:tblGrid>
      <w:tr>
        <w:trPr>
          <w:trHeight w:val="34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序号</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专利名称</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申请</w:t>
            </w:r>
            <w:r>
              <w:rPr>
                <w:rFonts w:ascii="Times New Roman" w:hAnsi="Times New Roman" w:cs="Times New Roman" w:eastAsia="Times New Roman" w:hint="default"/>
                <w:sz w:val="18"/>
                <w:szCs w:val="18"/>
              </w:rPr>
              <w:t>/</w:t>
            </w:r>
            <w:r>
              <w:rPr>
                <w:rFonts w:ascii="宋体" w:hAnsi="宋体" w:cs="宋体" w:eastAsia="宋体" w:hint="default"/>
                <w:sz w:val="18"/>
                <w:szCs w:val="18"/>
              </w:rPr>
              <w:t>专利号</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授权日期</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专利类型</w:t>
            </w:r>
          </w:p>
        </w:tc>
      </w:tr>
      <w:tr>
        <w:trPr>
          <w:trHeight w:val="34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一种彩色定岛复合短纤维及其生产方法</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ZL201110047108.2</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48"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拒水拒油超细纤维合成革及其制备方法</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ZL201210326078.3</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4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用于电容感应触摸屏的超细纤维绒面革及其制作方法</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ZL201210331257.6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16</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4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耐磨超细纤维绒面革及其制备方法</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ZL201210500558.7</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47"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导电聚氨酯超细纤维绒面革及其制造方法</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ZL201210331259.5</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13</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发明</w:t>
            </w:r>
          </w:p>
        </w:tc>
      </w:tr>
      <w:tr>
        <w:trPr>
          <w:trHeight w:val="348" w:hRule="exact"/>
        </w:trPr>
        <w:tc>
          <w:tcPr>
            <w:tcW w:w="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w:t>
            </w:r>
          </w:p>
        </w:tc>
        <w:tc>
          <w:tcPr>
            <w:tcW w:w="4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具有多层轨道结构的烘干定型设备</w:t>
            </w:r>
          </w:p>
        </w:tc>
        <w:tc>
          <w:tcPr>
            <w:tcW w:w="1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ZL201420307026.6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实用新型</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5</w:t>
      </w:r>
      <w:r>
        <w:rPr/>
        <w:t>）投资状况分析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）对外投资情况</w:t>
      </w:r>
    </w:p>
    <w:p>
      <w:pPr>
        <w:pStyle w:val="BodyText"/>
        <w:spacing w:line="240" w:lineRule="auto" w:before="102"/>
        <w:ind w:right="0"/>
        <w:jc w:val="left"/>
      </w:pPr>
      <w:r>
        <w:rPr/>
        <w:t>√ 适用 □ 不适用</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4"/>
        <w:gridCol w:w="1057"/>
        <w:gridCol w:w="671"/>
        <w:gridCol w:w="1595"/>
        <w:gridCol w:w="924"/>
        <w:gridCol w:w="138"/>
        <w:gridCol w:w="1063"/>
        <w:gridCol w:w="930"/>
        <w:gridCol w:w="1057"/>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88"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3" w:right="0"/>
              <w:jc w:val="left"/>
              <w:rPr>
                <w:rFonts w:ascii="Times New Roman" w:hAnsi="Times New Roman" w:cs="Times New Roman" w:eastAsia="Times New Roman" w:hint="default"/>
                <w:sz w:val="18"/>
                <w:szCs w:val="18"/>
              </w:rPr>
            </w:pPr>
            <w:r>
              <w:rPr>
                <w:rFonts w:ascii="Times New Roman"/>
                <w:sz w:val="18"/>
              </w:rPr>
              <w:t>150,000,000.00</w:t>
            </w:r>
          </w:p>
        </w:tc>
        <w:tc>
          <w:tcPr>
            <w:tcW w:w="31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3188" w:type="dxa"/>
            <w:gridSpan w:val="4"/>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713" w:hRule="exact"/>
        </w:trPr>
        <w:tc>
          <w:tcPr>
            <w:tcW w:w="2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53" w:right="71" w:hanging="180"/>
              <w:jc w:val="left"/>
              <w:rPr>
                <w:rFonts w:ascii="宋体" w:hAnsi="宋体" w:cs="宋体" w:eastAsia="宋体" w:hint="default"/>
                <w:sz w:val="18"/>
                <w:szCs w:val="18"/>
              </w:rPr>
            </w:pPr>
            <w:r>
              <w:rPr>
                <w:rFonts w:ascii="宋体" w:hAnsi="宋体" w:cs="宋体" w:eastAsia="宋体" w:hint="default"/>
                <w:sz w:val="18"/>
                <w:szCs w:val="18"/>
              </w:rPr>
              <w:t>上市公司占被投资 公司权益比例</w:t>
            </w:r>
          </w:p>
        </w:tc>
        <w:tc>
          <w:tcPr>
            <w:tcW w:w="106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3" w:firstLine="76"/>
              <w:jc w:val="left"/>
              <w:rPr>
                <w:rFonts w:ascii="宋体" w:hAnsi="宋体" w:cs="宋体" w:eastAsia="宋体" w:hint="default"/>
                <w:sz w:val="18"/>
                <w:szCs w:val="18"/>
              </w:rPr>
            </w:pPr>
            <w:r>
              <w:rPr>
                <w:rFonts w:ascii="宋体" w:hAnsi="宋体" w:cs="宋体" w:eastAsia="宋体" w:hint="default"/>
                <w:sz w:val="18"/>
                <w:szCs w:val="18"/>
              </w:rPr>
              <w:t>本期投资 盈亏（元）</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是否涉诉</w:t>
            </w:r>
          </w:p>
        </w:tc>
      </w:tr>
      <w:tr>
        <w:trPr>
          <w:trHeight w:val="714"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江苏华峰超纤材料有限公 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超纤产品的制造销售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-562,462.41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c>
          <w:tcPr>
            <w:tcW w:w="17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3"/>
              <w:jc w:val="both"/>
              <w:rPr>
                <w:rFonts w:ascii="宋体" w:hAnsi="宋体" w:cs="宋体" w:eastAsia="宋体" w:hint="default"/>
                <w:sz w:val="18"/>
                <w:szCs w:val="18"/>
              </w:rPr>
            </w:pPr>
            <w:r>
              <w:rPr>
                <w:rFonts w:ascii="宋体" w:hAnsi="宋体" w:cs="宋体" w:eastAsia="宋体" w:hint="default"/>
                <w:sz w:val="18"/>
                <w:szCs w:val="18"/>
              </w:rPr>
              <w:t>聚氨酯、尼龙、塑料 制品、化工纤维、化 工原料销售</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-1,196,067.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02</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rFonts w:ascii="Times New Roman" w:hAnsi="Times New Roman" w:cs="Times New Roman" w:eastAsia="Times New Roman" w:hint="default"/>
        </w:rPr>
        <w:t>2</w:t>
      </w:r>
      <w:r>
        <w:rPr/>
        <w:t>）募集资金使用情况</w:t>
      </w:r>
    </w:p>
    <w:p>
      <w:pPr>
        <w:pStyle w:val="BodyText"/>
        <w:spacing w:line="240" w:lineRule="auto" w:before="102"/>
        <w:ind w:left="153" w:right="0"/>
        <w:jc w:val="left"/>
      </w:pPr>
      <w:r>
        <w:rPr/>
        <w:t>√ 适用 □ 不适用</w:t>
      </w:r>
    </w:p>
    <w:p>
      <w:pPr>
        <w:pStyle w:val="BodyText"/>
        <w:spacing w:line="240" w:lineRule="auto" w:before="117"/>
        <w:ind w:left="153" w:right="0"/>
        <w:jc w:val="left"/>
      </w:pPr>
      <w:r>
        <w:rPr>
          <w:rFonts w:ascii="Times New Roman" w:hAnsi="Times New Roman" w:cs="Times New Roman" w:eastAsia="Times New Roman" w:hint="default"/>
        </w:rPr>
        <w:t>1.</w:t>
      </w:r>
      <w:r>
        <w:rPr/>
        <w:t>募集资金总体使用情况</w:t>
      </w:r>
    </w:p>
    <w:p>
      <w:pPr>
        <w:pStyle w:val="BodyText"/>
        <w:spacing w:line="240" w:lineRule="auto" w:before="102"/>
        <w:ind w:left="153" w:right="0"/>
        <w:jc w:val="left"/>
      </w:pPr>
      <w:r>
        <w:rPr/>
        <w:t>√ 适用 □ 不适用</w:t>
      </w:r>
    </w:p>
    <w:p>
      <w:pPr>
        <w:spacing w:after="0" w:line="240" w:lineRule="auto"/>
        <w:jc w:val="left"/>
        <w:sectPr>
          <w:pgSz w:w="11910" w:h="16840"/>
          <w:pgMar w:header="747" w:footer="982" w:top="1060" w:bottom="1180" w:left="980" w:right="90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100"/>
        <w:gridCol w:w="5467"/>
      </w:tblGrid>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75,081.72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15,640.2</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78,197.48</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pStyle w:val="BodyText"/>
        <w:spacing w:line="240" w:lineRule="auto" w:before="51"/>
        <w:ind w:right="-9"/>
        <w:jc w:val="left"/>
      </w:pPr>
      <w:r>
        <w:rPr>
          <w:rFonts w:ascii="Times New Roman" w:hAnsi="Times New Roman" w:cs="Times New Roman" w:eastAsia="Times New Roman" w:hint="default"/>
          <w:spacing w:val="-1"/>
        </w:rPr>
        <w:t>2.</w:t>
      </w:r>
      <w:r>
        <w:rPr>
          <w:spacing w:val="-1"/>
        </w:rPr>
        <w:t>募集资金承诺项目情况</w:t>
      </w:r>
    </w:p>
    <w:p>
      <w:pPr>
        <w:pStyle w:val="BodyText"/>
        <w:spacing w:line="240" w:lineRule="auto" w:before="102"/>
        <w:ind w:left="153" w:right="-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980"/>
          <w:cols w:num="2" w:equalWidth="0">
            <w:col w:w="2089" w:space="6650"/>
            <w:col w:w="12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22"/>
        <w:gridCol w:w="644"/>
        <w:gridCol w:w="90"/>
        <w:gridCol w:w="720"/>
        <w:gridCol w:w="721"/>
        <w:gridCol w:w="720"/>
        <w:gridCol w:w="706"/>
        <w:gridCol w:w="739"/>
        <w:gridCol w:w="720"/>
        <w:gridCol w:w="722"/>
        <w:gridCol w:w="722"/>
        <w:gridCol w:w="721"/>
        <w:gridCol w:w="722"/>
      </w:tblGrid>
      <w:tr>
        <w:trPr>
          <w:trHeight w:val="1650"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61" w:right="79"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66" w:right="55"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83"/>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3"/>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3" w:right="84"/>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5" w:right="68"/>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7" w:right="7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48"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6" w:right="8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86" w:right="84"/>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227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43"/>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 定岛超细纤维聚氨 酯合成革生产投资 建设项目中的（一 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 </w:t>
            </w:r>
            <w:r>
              <w:rPr>
                <w:rFonts w:ascii="宋体" w:hAnsi="宋体" w:cs="宋体" w:eastAsia="宋体" w:hint="default"/>
                <w:sz w:val="18"/>
                <w:szCs w:val="18"/>
              </w:rPr>
              <w:t>年定岛超细纤维聚 氨酯合成革项目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19,060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21,706</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21,600.7</w:t>
            </w:r>
          </w:p>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z w:val="18"/>
              </w:rPr>
              <w:t>8</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1,305.74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7"/>
              <w:jc w:val="left"/>
              <w:rPr>
                <w:rFonts w:ascii="宋体" w:hAnsi="宋体" w:cs="宋体" w:eastAsia="宋体" w:hint="default"/>
                <w:sz w:val="18"/>
                <w:szCs w:val="18"/>
              </w:rPr>
            </w:pPr>
            <w:r>
              <w:rPr>
                <w:rFonts w:ascii="宋体" w:hAnsi="宋体" w:cs="宋体" w:eastAsia="宋体" w:hint="default"/>
                <w:sz w:val="18"/>
                <w:szCs w:val="18"/>
              </w:rPr>
              <w:t>企业技术中心技改 项目</w:t>
            </w: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3,000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1,484</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106.37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7.17%</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4"/>
              <w:jc w:val="center"/>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center"/>
              <w:rPr>
                <w:rFonts w:ascii="Times New Roman" w:hAnsi="Times New Roman" w:cs="Times New Roman" w:eastAsia="Times New Roman" w:hint="default"/>
                <w:sz w:val="18"/>
                <w:szCs w:val="18"/>
              </w:rPr>
            </w:pPr>
            <w:r>
              <w:rPr>
                <w:rFonts w:ascii="Times New Roman"/>
                <w:sz w:val="18"/>
              </w:rPr>
              <w:t>--</w:t>
            </w:r>
          </w:p>
        </w:tc>
        <w:tc>
          <w:tcPr>
            <w:tcW w:w="8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Times New Roman" w:hAnsi="Times New Roman" w:cs="Times New Roman" w:eastAsia="Times New Roman" w:hint="default"/>
                <w:sz w:val="18"/>
                <w:szCs w:val="18"/>
              </w:rPr>
            </w:pPr>
            <w:r>
              <w:rPr>
                <w:rFonts w:ascii="Times New Roman"/>
                <w:sz w:val="18"/>
              </w:rPr>
              <w:t>22,060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23,190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
              <w:jc w:val="right"/>
              <w:rPr>
                <w:rFonts w:ascii="Times New Roman" w:hAnsi="Times New Roman" w:cs="Times New Roman" w:eastAsia="Times New Roman" w:hint="default"/>
                <w:sz w:val="18"/>
                <w:szCs w:val="18"/>
              </w:rPr>
            </w:pPr>
            <w:r>
              <w:rPr>
                <w:rFonts w:ascii="Times New Roman"/>
                <w:sz w:val="18"/>
              </w:rPr>
              <w:t>21,707.1</w:t>
            </w:r>
          </w:p>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z w:val="18"/>
              </w:rPr>
              <w:t>5</w:t>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1,305.74</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70"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2274"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万平方米定 岛超细纤维聚氨酯 合成革生产投资建 设项目中的（二期）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 岛超细纤维聚氨酯 合成革项目</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15,960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15,960</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54"/>
              <w:jc w:val="right"/>
              <w:rPr>
                <w:rFonts w:ascii="Times New Roman" w:hAnsi="Times New Roman" w:cs="Times New Roman" w:eastAsia="Times New Roman" w:hint="default"/>
                <w:sz w:val="18"/>
                <w:szCs w:val="18"/>
              </w:rPr>
            </w:pPr>
            <w:r>
              <w:rPr>
                <w:rFonts w:ascii="Times New Roman"/>
                <w:sz w:val="18"/>
              </w:rPr>
              <w:t>9,690.7</w:t>
            </w:r>
          </w:p>
          <w:p>
            <w:pPr>
              <w:pStyle w:val="TableParagraph"/>
              <w:spacing w:line="240" w:lineRule="auto" w:before="106"/>
              <w:ind w:right="55"/>
              <w:jc w:val="right"/>
              <w:rPr>
                <w:rFonts w:ascii="Times New Roman" w:hAnsi="Times New Roman" w:cs="Times New Roman" w:eastAsia="Times New Roman" w:hint="default"/>
                <w:sz w:val="18"/>
                <w:szCs w:val="18"/>
              </w:rPr>
            </w:pPr>
            <w:r>
              <w:rPr>
                <w:rFonts w:ascii="Times New Roman"/>
                <w:sz w:val="18"/>
              </w:rPr>
              <w:t>7</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1,305.74</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21"/>
              <w:jc w:val="center"/>
              <w:rPr>
                <w:rFonts w:ascii="宋体" w:hAnsi="宋体" w:cs="宋体" w:eastAsia="宋体" w:hint="default"/>
                <w:sz w:val="18"/>
                <w:szCs w:val="18"/>
              </w:rPr>
            </w:pP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w:t>
            </w:r>
          </w:p>
        </w:tc>
        <w:tc>
          <w:tcPr>
            <w:tcW w:w="7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6,639.52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6,639.52</w:t>
            </w:r>
          </w:p>
        </w:tc>
        <w:tc>
          <w:tcPr>
            <w:tcW w:w="720"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54"/>
              <w:jc w:val="right"/>
              <w:rPr>
                <w:rFonts w:ascii="Times New Roman" w:hAnsi="Times New Roman" w:cs="Times New Roman" w:eastAsia="Times New Roman" w:hint="default"/>
                <w:sz w:val="18"/>
                <w:szCs w:val="18"/>
              </w:rPr>
            </w:pPr>
            <w:r>
              <w:rPr>
                <w:rFonts w:ascii="Times New Roman"/>
                <w:sz w:val="18"/>
              </w:rPr>
              <w:t>5,966.5</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8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1,494.66</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5,300.3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33"/>
        <w:gridCol w:w="722"/>
        <w:gridCol w:w="720"/>
        <w:gridCol w:w="721"/>
        <w:gridCol w:w="720"/>
        <w:gridCol w:w="672"/>
        <w:gridCol w:w="773"/>
        <w:gridCol w:w="720"/>
        <w:gridCol w:w="722"/>
        <w:gridCol w:w="722"/>
        <w:gridCol w:w="721"/>
        <w:gridCol w:w="722"/>
      </w:tblGrid>
      <w:tr>
        <w:trPr>
          <w:trHeight w:val="674"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纤基材扩建项目</w:t>
            </w:r>
          </w:p>
        </w:tc>
        <w:tc>
          <w:tcPr>
            <w:tcW w:w="722"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3</w:t>
            </w: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5"/>
              <w:jc w:val="both"/>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 细纤维聚氨酯合成 革技术改造项目</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8,068</w:t>
            </w: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77.25%</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1,245.55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3,835.91</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58"/>
              <w:jc w:val="both"/>
              <w:rPr>
                <w:rFonts w:ascii="宋体" w:hAnsi="宋体" w:cs="宋体" w:eastAsia="宋体" w:hint="default"/>
                <w:sz w:val="18"/>
                <w:szCs w:val="18"/>
              </w:rPr>
            </w:pPr>
            <w:r>
              <w:rPr>
                <w:rFonts w:ascii="Times New Roman" w:hAnsi="Times New Roman" w:cs="Times New Roman" w:eastAsia="Times New Roman" w:hint="default"/>
                <w:sz w:val="18"/>
                <w:szCs w:val="18"/>
              </w:rPr>
              <w:t>1440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 超纤基布项目（二 期）</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12,813</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12,813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9,159.75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615.28</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615.28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归还银行贷款（如 有）</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w:t>
            </w: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6,480.45</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773"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43,480.5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15,640.2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56,490.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3,970.77</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11,057.2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65,540.5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66,670.5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6" w:right="0"/>
              <w:jc w:val="left"/>
              <w:rPr>
                <w:rFonts w:ascii="Times New Roman" w:hAnsi="Times New Roman" w:cs="Times New Roman" w:eastAsia="Times New Roman" w:hint="default"/>
                <w:sz w:val="18"/>
                <w:szCs w:val="18"/>
              </w:rPr>
            </w:pPr>
            <w:r>
              <w:rPr>
                <w:rFonts w:ascii="Times New Roman"/>
                <w:sz w:val="18"/>
              </w:rPr>
              <w:t>15,640.2</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78,197.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7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4,586.05</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12,362.9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94"/>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公司各募投项目本年度未达到预计效益，主要系各募投项目产能未充分释放所致。</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9"/>
              <w:ind w:left="22" w:right="23"/>
              <w:jc w:val="left"/>
              <w:rPr>
                <w:rFonts w:ascii="宋体" w:hAnsi="宋体" w:cs="宋体" w:eastAsia="宋体" w:hint="default"/>
                <w:sz w:val="18"/>
                <w:szCs w:val="18"/>
              </w:rPr>
            </w:pPr>
            <w:r>
              <w:rPr>
                <w:rFonts w:ascii="宋体" w:hAnsi="宋体" w:cs="宋体" w:eastAsia="宋体" w:hint="default"/>
                <w:spacing w:val="-5"/>
                <w:sz w:val="18"/>
                <w:szCs w:val="18"/>
              </w:rPr>
              <w:t>超募资金的金额、用</w:t>
            </w:r>
            <w:r>
              <w:rPr>
                <w:rFonts w:ascii="宋体" w:hAnsi="宋体" w:cs="宋体" w:eastAsia="宋体" w:hint="default"/>
                <w:sz w:val="18"/>
                <w:szCs w:val="18"/>
              </w:rPr>
              <w:t> 途及使用进展情况</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8"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年度，本公司使用超募资金 </w:t>
            </w:r>
            <w:r>
              <w:rPr>
                <w:rFonts w:ascii="Times New Roman" w:hAnsi="Times New Roman" w:cs="Times New Roman" w:eastAsia="Times New Roman" w:hint="default"/>
                <w:sz w:val="18"/>
                <w:szCs w:val="18"/>
              </w:rPr>
              <w:t>125,244,389.11 </w:t>
            </w:r>
            <w:r>
              <w:rPr>
                <w:rFonts w:ascii="宋体" w:hAnsi="宋体" w:cs="宋体" w:eastAsia="宋体" w:hint="default"/>
                <w:sz w:val="18"/>
                <w:szCs w:val="18"/>
              </w:rPr>
              <w:t>元，使用情况如下：</w:t>
            </w:r>
            <w:r>
              <w:rPr>
                <w:rFonts w:ascii="Times New Roman" w:hAnsi="Times New Roman" w:cs="Times New Roman" w:eastAsia="Times New Roman" w:hint="default"/>
                <w:sz w:val="18"/>
                <w:szCs w:val="18"/>
              </w:rPr>
              <w:t>1</w:t>
            </w:r>
            <w:r>
              <w:rPr>
                <w:rFonts w:ascii="宋体" w:hAnsi="宋体" w:cs="宋体" w:eastAsia="宋体" w:hint="default"/>
                <w:sz w:val="18"/>
                <w:szCs w:val="18"/>
              </w:rPr>
              <w:t>、已将超募资金</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91,597,518.45</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元投入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万</w:t>
            </w:r>
            <w:r>
              <w:rPr>
                <w:rFonts w:ascii="宋体" w:hAnsi="宋体" w:cs="宋体" w:eastAsia="宋体" w:hint="default"/>
                <w:sz w:val="18"/>
                <w:szCs w:val="18"/>
              </w:rPr>
              <w:t>平方米超纤基布项目（二期</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第二届董事会第十七次会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议审议通过，公司决定使用超募资金及利息共计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64,804,</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54.61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元永久性补充流动资金</w:t>
            </w:r>
            <w:r>
              <w:rPr>
                <w:rFonts w:ascii="宋体" w:hAnsi="宋体" w:cs="宋体" w:eastAsia="宋体" w:hint="default"/>
                <w:spacing w:val="-90"/>
                <w:sz w:val="18"/>
                <w:szCs w:val="18"/>
              </w:rPr>
              <w:t>。</w:t>
            </w:r>
            <w:r>
              <w:rPr>
                <w:rFonts w:ascii="宋体" w:hAnsi="宋体" w:cs="宋体" w:eastAsia="宋体" w:hint="default"/>
                <w:sz w:val="18"/>
                <w:szCs w:val="18"/>
              </w:rPr>
              <w:t>（注：其中超</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33,646,</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70.66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元，募集资金存放专项账户累计利息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31,157,58</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58"/>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33" w:type="dxa"/>
            <w:vMerge/>
            <w:tcBorders>
              <w:left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633" w:type="dxa"/>
            <w:vMerge/>
            <w:tcBorders>
              <w:left w:val="single" w:sz="4" w:space="0" w:color="000000"/>
              <w:bottom w:val="single" w:sz="4" w:space="0" w:color="000000"/>
              <w:right w:val="single" w:sz="4" w:space="0" w:color="000000"/>
            </w:tcBorders>
            <w:shd w:val="clear" w:color="auto" w:fill="D3D3D3"/>
          </w:tcPr>
          <w:p>
            <w:pPr/>
          </w:p>
        </w:tc>
        <w:tc>
          <w:tcPr>
            <w:tcW w:w="7937" w:type="dxa"/>
            <w:gridSpan w:val="11"/>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项目实施出现募集</w:t>
            </w:r>
          </w:p>
        </w:tc>
        <w:tc>
          <w:tcPr>
            <w:tcW w:w="7937"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9"/>
          <w:szCs w:val="19"/>
        </w:rPr>
      </w:pPr>
    </w:p>
    <w:p>
      <w:pPr>
        <w:pStyle w:val="BodyText"/>
        <w:spacing w:line="240" w:lineRule="auto"/>
        <w:ind w:left="0" w:right="155"/>
        <w:jc w:val="right"/>
      </w:pPr>
      <w:r>
        <w:rPr/>
        <w:pict>
          <v:shape style="position:absolute;margin-left:56.459999pt;margin-top:-49.847389pt;width:479.25pt;height:388.4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33"/>
                    <w:gridCol w:w="7937"/>
                  </w:tblGrid>
                  <w:tr>
                    <w:trPr>
                      <w:trHeight w:val="6018"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58"/>
                          <w:jc w:val="left"/>
                          <w:rPr>
                            <w:rFonts w:ascii="宋体" w:hAnsi="宋体" w:cs="宋体" w:eastAsia="宋体" w:hint="default"/>
                            <w:sz w:val="18"/>
                            <w:szCs w:val="18"/>
                          </w:rPr>
                        </w:pPr>
                        <w:r>
                          <w:rPr>
                            <w:rFonts w:ascii="宋体" w:hAnsi="宋体" w:cs="宋体" w:eastAsia="宋体" w:hint="default"/>
                            <w:sz w:val="18"/>
                            <w:szCs w:val="18"/>
                          </w:rPr>
                          <w:t>资金结余的金额及 原因</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、公司计划使用超募资金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66,395,181.00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元实施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年超纤基材扩建项目，已于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w:t>
                        </w:r>
                      </w:p>
                      <w:p>
                        <w:pPr>
                          <w:pStyle w:val="TableParagraph"/>
                          <w:spacing w:line="300" w:lineRule="auto" w:before="63"/>
                          <w:ind w:left="22" w:right="7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日达到可使用状态，截止本报告期末，累计支出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59,665,256.19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6,729,924.81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元，略有 结余；</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pacing w:val="-90"/>
                            <w:sz w:val="18"/>
                            <w:szCs w:val="18"/>
                          </w:rPr>
                          <w:t>、</w:t>
                        </w:r>
                        <w:r>
                          <w:rPr>
                            <w:rFonts w:ascii="宋体" w:hAnsi="宋体" w:cs="宋体" w:eastAsia="宋体" w:hint="default"/>
                            <w:sz w:val="18"/>
                            <w:szCs w:val="18"/>
                          </w:rPr>
                          <w:t>公司计划使用超募资金</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80,680,000.00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元</w:t>
                        </w:r>
                        <w:r>
                          <w:rPr>
                            <w:rFonts w:ascii="宋体" w:hAnsi="宋体" w:cs="宋体" w:eastAsia="宋体" w:hint="default"/>
                            <w:spacing w:val="-2"/>
                            <w:sz w:val="18"/>
                            <w:szCs w:val="18"/>
                          </w:rPr>
                          <w:t>实</w:t>
                        </w:r>
                        <w:r>
                          <w:rPr>
                            <w:rFonts w:ascii="宋体" w:hAnsi="宋体" w:cs="宋体" w:eastAsia="宋体" w:hint="default"/>
                            <w:sz w:val="18"/>
                            <w:szCs w:val="18"/>
                          </w:rPr>
                          <w:t>施</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万平</w:t>
                        </w:r>
                        <w:r>
                          <w:rPr>
                            <w:rFonts w:ascii="宋体" w:hAnsi="宋体" w:cs="宋体" w:eastAsia="宋体" w:hint="default"/>
                            <w:spacing w:val="1"/>
                            <w:sz w:val="18"/>
                            <w:szCs w:val="18"/>
                          </w:rPr>
                          <w:t>方</w:t>
                        </w:r>
                        <w:r>
                          <w:rPr>
                            <w:rFonts w:ascii="宋体" w:hAnsi="宋体" w:cs="宋体" w:eastAsia="宋体" w:hint="default"/>
                            <w:sz w:val="18"/>
                            <w:szCs w:val="18"/>
                          </w:rPr>
                          <w:t>米</w:t>
                        </w:r>
                        <w:r>
                          <w:rPr>
                            <w:rFonts w:ascii="Times New Roman" w:hAnsi="Times New Roman" w:cs="Times New Roman" w:eastAsia="Times New Roman" w:hint="default"/>
                            <w:sz w:val="18"/>
                            <w:szCs w:val="18"/>
                          </w:rPr>
                          <w:t>/</w:t>
                        </w:r>
                        <w:r>
                          <w:rPr>
                            <w:rFonts w:ascii="宋体" w:hAnsi="宋体" w:cs="宋体" w:eastAsia="宋体" w:hint="default"/>
                            <w:sz w:val="18"/>
                            <w:szCs w:val="18"/>
                          </w:rPr>
                          <w:t>年超细纤维聚氨酯合成革技术改造项目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日达到可使用状态，截止本报告期末，累计支出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62,322,518.92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18,357,481.08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元，结余较多；</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4"/>
                            <w:sz w:val="18"/>
                            <w:szCs w:val="18"/>
                          </w:rPr>
                          <w:t>、</w:t>
                        </w:r>
                        <w:r>
                          <w:rPr>
                            <w:rFonts w:ascii="宋体" w:hAnsi="宋体" w:cs="宋体" w:eastAsia="宋体" w:hint="default"/>
                            <w:sz w:val="18"/>
                            <w:szCs w:val="18"/>
                          </w:rPr>
                          <w:t>公司计划使用募集资金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217,060,00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元实施年产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万平方米定岛超细纤维聚氨酯合成革生产投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资建设项目中的（一期）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年定岛超细纤维聚氨酯合成革项目，已于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达到可使用状态，截止本报告期末，累计支出</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216,007,757.11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元，剩余</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1,052,242.90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元，略有结余；</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、公司计划使用募集资金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14,840,000.00 </w:t>
                        </w:r>
                        <w:r>
                          <w:rPr>
                            <w:rFonts w:ascii="宋体" w:hAnsi="宋体" w:cs="宋体" w:eastAsia="宋体" w:hint="default"/>
                            <w:spacing w:val="-3"/>
                            <w:sz w:val="18"/>
                            <w:szCs w:val="18"/>
                          </w:rPr>
                          <w:t>元实施企业技术中心技改项目，已于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日达到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可使用状态，截止本报告期末，累计支出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1,063,721.00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元，剩余</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13,776,279.00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元，结余原因为企业在</w:t>
                        </w:r>
                      </w:p>
                      <w:p>
                        <w:pPr>
                          <w:pStyle w:val="TableParagraph"/>
                          <w:spacing w:line="300" w:lineRule="auto" w:before="63"/>
                          <w:ind w:left="22" w:right="27"/>
                          <w:jc w:val="left"/>
                          <w:rPr>
                            <w:rFonts w:ascii="宋体" w:hAnsi="宋体" w:cs="宋体" w:eastAsia="宋体" w:hint="default"/>
                            <w:sz w:val="18"/>
                            <w:szCs w:val="18"/>
                          </w:rPr>
                        </w:pPr>
                        <w:r>
                          <w:rPr>
                            <w:rFonts w:ascii="宋体" w:hAnsi="宋体" w:cs="宋体" w:eastAsia="宋体" w:hint="default"/>
                            <w:sz w:val="18"/>
                            <w:szCs w:val="18"/>
                          </w:rPr>
                          <w:t>上市之前已经用自有资金支付设备款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5,922,244.00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元，目前已基本实现功能要求，该项目拟不再进行 资金投入。</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pacing w:val="-84"/>
                            <w:sz w:val="18"/>
                            <w:szCs w:val="18"/>
                          </w:rPr>
                          <w:t>、</w:t>
                        </w:r>
                        <w:r>
                          <w:rPr>
                            <w:rFonts w:ascii="宋体" w:hAnsi="宋体" w:cs="宋体" w:eastAsia="宋体" w:hint="default"/>
                            <w:sz w:val="18"/>
                            <w:szCs w:val="18"/>
                          </w:rPr>
                          <w:t>公司计划使用超募资金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159,600,00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元实施年产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 </w:t>
                        </w:r>
                        <w:r>
                          <w:rPr>
                            <w:rFonts w:ascii="宋体" w:hAnsi="宋体" w:cs="宋体" w:eastAsia="宋体" w:hint="default"/>
                            <w:sz w:val="18"/>
                            <w:szCs w:val="18"/>
                          </w:rPr>
                          <w:t>万平方米定岛超细纤维聚氨酯合成革生产投</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资建设项目中的（二期）</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万平方米</w:t>
                        </w:r>
                        <w:r>
                          <w:rPr>
                            <w:rFonts w:ascii="Times New Roman" w:hAnsi="Times New Roman" w:cs="Times New Roman" w:eastAsia="Times New Roman" w:hint="default"/>
                            <w:sz w:val="18"/>
                            <w:szCs w:val="18"/>
                          </w:rPr>
                          <w:t>/</w:t>
                        </w:r>
                        <w:r>
                          <w:rPr>
                            <w:rFonts w:ascii="宋体" w:hAnsi="宋体" w:cs="宋体" w:eastAsia="宋体" w:hint="default"/>
                            <w:sz w:val="18"/>
                            <w:szCs w:val="18"/>
                          </w:rPr>
                          <w:t>年定岛超细纤维聚氨酯合成革项目，已于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达到可使用状态，截止本报告期末，累计支出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96,907,652.93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62,692,347.07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元，结余较多；</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、公司计划使用超募资金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128,130,00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元实施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平</w:t>
                        </w:r>
                        <w:r>
                          <w:rPr>
                            <w:rFonts w:ascii="宋体" w:hAnsi="宋体" w:cs="宋体" w:eastAsia="宋体" w:hint="default"/>
                            <w:sz w:val="18"/>
                            <w:szCs w:val="18"/>
                          </w:rPr>
                          <w:t>方米超纤基布项目（二期</w:t>
                        </w:r>
                        <w:r>
                          <w:rPr>
                            <w:rFonts w:ascii="宋体" w:hAnsi="宋体" w:cs="宋体" w:eastAsia="宋体" w:hint="default"/>
                            <w:spacing w:val="-90"/>
                            <w:sz w:val="18"/>
                            <w:szCs w:val="18"/>
                          </w:rPr>
                          <w:t>）</w:t>
                        </w: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日达到可使用状态，本着节省投资的原则，截止本报告期末，累计支出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123,203,423.19</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元，剩</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4,926,576.81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元，略有结余。</w:t>
                        </w:r>
                      </w:p>
                    </w:tc>
                  </w:tr>
                  <w:tr>
                    <w:trPr>
                      <w:trHeight w:val="714"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截止报告期末，公司募集资金已全部使用完毕。</w:t>
                        </w:r>
                      </w:p>
                    </w:tc>
                  </w:tr>
                  <w:tr>
                    <w:trPr>
                      <w:trHeight w:val="1026" w:hRule="exact"/>
                    </w:trPr>
                    <w:tc>
                      <w:tcPr>
                        <w:tcW w:w="16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58"/>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82" w:top="1060" w:bottom="1180" w:left="980" w:right="980"/>
        </w:sectPr>
      </w:pPr>
    </w:p>
    <w:p>
      <w:pPr>
        <w:pStyle w:val="BodyText"/>
        <w:spacing w:line="240" w:lineRule="auto" w:before="44"/>
        <w:ind w:right="-19"/>
        <w:jc w:val="left"/>
      </w:pPr>
      <w:r>
        <w:rPr>
          <w:rFonts w:ascii="Times New Roman" w:hAnsi="Times New Roman" w:cs="Times New Roman" w:eastAsia="Times New Roman" w:hint="default"/>
        </w:rPr>
        <w:t>3.</w:t>
      </w:r>
      <w:r>
        <w:rPr/>
        <w:t>募集资金变更项目情况</w:t>
      </w:r>
    </w:p>
    <w:p>
      <w:pPr>
        <w:pStyle w:val="BodyText"/>
        <w:spacing w:line="360" w:lineRule="auto" w:before="103"/>
        <w:ind w:left="153" w:right="-19"/>
        <w:jc w:val="left"/>
      </w:pPr>
      <w:r>
        <w:rPr/>
        <w:t>□ 适用 √ 不适用 公司报告期不存在募集资金变更项目情况。 </w:t>
      </w:r>
      <w:r>
        <w:rPr>
          <w:rFonts w:ascii="Times New Roman" w:hAnsi="Times New Roman" w:cs="Times New Roman" w:eastAsia="Times New Roman" w:hint="default"/>
        </w:rPr>
        <w:t>3</w:t>
      </w:r>
      <w:r>
        <w:rPr/>
        <w:t>）非募集资金投资的重大项目情况</w:t>
      </w:r>
    </w:p>
    <w:p>
      <w:pPr>
        <w:pStyle w:val="BodyText"/>
        <w:spacing w:line="240" w:lineRule="auto" w:before="2"/>
        <w:ind w:left="153" w:right="-19"/>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6"/>
        <w:ind w:left="153" w:right="0"/>
        <w:jc w:val="left"/>
      </w:pPr>
      <w:r>
        <w:rPr/>
        <w:t>单位：万元</w:t>
      </w:r>
    </w:p>
    <w:p>
      <w:pPr>
        <w:spacing w:after="0" w:line="240" w:lineRule="auto"/>
        <w:jc w:val="left"/>
        <w:sectPr>
          <w:type w:val="continuous"/>
          <w:pgSz w:w="11910" w:h="16840"/>
          <w:pgMar w:top="1060" w:bottom="1180" w:left="980" w:right="980"/>
          <w:cols w:num="2" w:equalWidth="0">
            <w:col w:w="3574" w:space="5164"/>
            <w:col w:w="121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1026"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 w:right="53"/>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357" w:hRule="exact"/>
        </w:trPr>
        <w:tc>
          <w:tcPr>
            <w:tcW w:w="119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1560" w:hRule="exact"/>
        </w:trPr>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2" w:lineRule="auto"/>
              <w:ind w:left="22" w:right="38"/>
              <w:jc w:val="both"/>
              <w:rPr>
                <w:rFonts w:ascii="宋体" w:hAnsi="宋体" w:cs="宋体" w:eastAsia="宋体" w:hint="default"/>
                <w:sz w:val="18"/>
                <w:szCs w:val="18"/>
              </w:rPr>
            </w:pPr>
            <w:r>
              <w:rPr>
                <w:rFonts w:ascii="宋体" w:hAnsi="宋体" w:cs="宋体" w:eastAsia="宋体" w:hint="default"/>
                <w:sz w:val="18"/>
                <w:szCs w:val="18"/>
              </w:rPr>
              <w:t>新建年产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 </w:t>
            </w:r>
            <w:r>
              <w:rPr>
                <w:rFonts w:ascii="宋体" w:hAnsi="宋体" w:cs="宋体" w:eastAsia="宋体" w:hint="default"/>
                <w:sz w:val="18"/>
                <w:szCs w:val="18"/>
              </w:rPr>
              <w:t>万米产业用非 织造布超纤材 料项目</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418,116.47</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24,989</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24,989</w:t>
            </w:r>
          </w:p>
        </w:tc>
        <w:tc>
          <w:tcPr>
            <w:tcW w:w="1195" w:type="dxa"/>
            <w:vMerge/>
            <w:tcBorders>
              <w:left w:val="single" w:sz="4" w:space="0" w:color="000000"/>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2014-021  </w:t>
            </w:r>
            <w:r>
              <w:rPr>
                <w:rFonts w:ascii="宋体" w:hAnsi="宋体" w:cs="宋体" w:eastAsia="宋体" w:hint="default"/>
                <w:sz w:val="18"/>
                <w:szCs w:val="18"/>
              </w:rPr>
              <w:t>关于</w:t>
            </w:r>
          </w:p>
          <w:p>
            <w:pPr>
              <w:pStyle w:val="TableParagraph"/>
              <w:spacing w:line="312" w:lineRule="auto" w:before="63"/>
              <w:ind w:left="22" w:right="20"/>
              <w:jc w:val="left"/>
              <w:rPr>
                <w:rFonts w:ascii="宋体" w:hAnsi="宋体" w:cs="宋体" w:eastAsia="宋体" w:hint="default"/>
                <w:sz w:val="18"/>
                <w:szCs w:val="18"/>
              </w:rPr>
            </w:pPr>
            <w:r>
              <w:rPr>
                <w:rFonts w:ascii="宋体" w:hAnsi="宋体" w:cs="宋体" w:eastAsia="宋体" w:hint="default"/>
                <w:sz w:val="18"/>
                <w:szCs w:val="18"/>
              </w:rPr>
              <w:t>子公司新建年 产</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万米产 业用非织造布 超纤材料项目</w:t>
            </w:r>
          </w:p>
        </w:tc>
      </w:tr>
      <w:tr>
        <w:trPr>
          <w:trHeight w:val="357" w:hRule="exact"/>
        </w:trPr>
        <w:tc>
          <w:tcPr>
            <w:tcW w:w="119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的公告</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418,116.47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24,989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24,989</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）持有其他上市公司股权情况</w:t>
      </w:r>
    </w:p>
    <w:p>
      <w:pPr>
        <w:spacing w:after="0" w:line="240" w:lineRule="auto"/>
        <w:jc w:val="left"/>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 适用 √ 不适用</w:t>
      </w:r>
    </w:p>
    <w:p>
      <w:pPr>
        <w:pStyle w:val="BodyText"/>
        <w:spacing w:line="240" w:lineRule="auto" w:before="116"/>
        <w:ind w:left="153" w:right="0"/>
        <w:jc w:val="left"/>
      </w:pPr>
      <w:r>
        <w:rPr>
          <w:rFonts w:ascii="Times New Roman" w:hAnsi="Times New Roman" w:cs="Times New Roman" w:eastAsia="Times New Roman" w:hint="default"/>
        </w:rPr>
        <w:t>5</w:t>
      </w:r>
      <w:r>
        <w:rPr/>
        <w:t>）持有金融企业股权情况</w:t>
      </w:r>
    </w:p>
    <w:p>
      <w:pPr>
        <w:pStyle w:val="BodyText"/>
        <w:spacing w:line="357" w:lineRule="auto" w:before="103"/>
        <w:ind w:left="153" w:right="7071"/>
        <w:jc w:val="left"/>
      </w:pPr>
      <w:r>
        <w:rPr/>
        <w:t>□ 适用 √ 不适用 公司报告期未持有金融企业股权。 </w:t>
      </w:r>
      <w:r>
        <w:rPr>
          <w:rFonts w:ascii="Times New Roman" w:hAnsi="Times New Roman" w:cs="Times New Roman" w:eastAsia="Times New Roman" w:hint="default"/>
        </w:rPr>
        <w:t>6</w:t>
      </w:r>
      <w:r>
        <w:rPr/>
        <w:t>）买卖其他上市公司股份的情况</w:t>
      </w:r>
    </w:p>
    <w:p>
      <w:pPr>
        <w:pStyle w:val="BodyText"/>
        <w:spacing w:line="240" w:lineRule="auto" w:before="6"/>
        <w:ind w:left="153" w:right="0"/>
        <w:jc w:val="left"/>
      </w:pPr>
      <w:r>
        <w:rPr/>
        <w:t>□ 适用 √ 不适用</w:t>
      </w:r>
    </w:p>
    <w:p>
      <w:pPr>
        <w:pStyle w:val="BodyText"/>
        <w:spacing w:line="240" w:lineRule="auto" w:before="116"/>
        <w:ind w:left="153" w:right="0"/>
        <w:jc w:val="left"/>
      </w:pPr>
      <w:r>
        <w:rPr>
          <w:rFonts w:ascii="Times New Roman" w:hAnsi="Times New Roman" w:cs="Times New Roman" w:eastAsia="Times New Roman" w:hint="default"/>
        </w:rPr>
        <w:t>7</w:t>
      </w:r>
      <w:r>
        <w:rPr/>
        <w:t>）以公允价值计量的金融资产</w:t>
      </w:r>
    </w:p>
    <w:p>
      <w:pPr>
        <w:pStyle w:val="BodyText"/>
        <w:spacing w:line="240" w:lineRule="auto" w:before="102"/>
        <w:ind w:left="153" w:right="0"/>
        <w:jc w:val="left"/>
      </w:pPr>
      <w:r>
        <w:rPr/>
        <w:t>□ 适用 √ 不适用</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60" w:lineRule="auto" w:before="44"/>
        <w:ind w:left="153" w:right="-19"/>
        <w:jc w:val="left"/>
      </w:pPr>
      <w:r>
        <w:rPr/>
        <w:t>√ 适用 □ 不适用 主要子公司、参股公司情况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2" w:equalWidth="0">
            <w:col w:w="2315" w:space="6604"/>
            <w:col w:w="103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46"/>
        <w:gridCol w:w="1075"/>
        <w:gridCol w:w="942"/>
        <w:gridCol w:w="943"/>
        <w:gridCol w:w="943"/>
        <w:gridCol w:w="944"/>
        <w:gridCol w:w="942"/>
        <w:gridCol w:w="943"/>
        <w:gridCol w:w="809"/>
        <w:gridCol w:w="1078"/>
      </w:tblGrid>
      <w:tr>
        <w:trPr>
          <w:trHeight w:val="713" w:hRule="exact"/>
        </w:trPr>
        <w:tc>
          <w:tcPr>
            <w:tcW w:w="9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0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5" w:right="107" w:hanging="90"/>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1"/>
              <w:jc w:val="both"/>
              <w:rPr>
                <w:rFonts w:ascii="宋体" w:hAnsi="宋体" w:cs="宋体" w:eastAsia="宋体" w:hint="default"/>
                <w:sz w:val="18"/>
                <w:szCs w:val="18"/>
              </w:rPr>
            </w:pPr>
            <w:r>
              <w:rPr>
                <w:rFonts w:ascii="宋体" w:hAnsi="宋体" w:cs="宋体" w:eastAsia="宋体" w:hint="default"/>
                <w:sz w:val="18"/>
                <w:szCs w:val="18"/>
              </w:rPr>
              <w:t>江苏华峰 超纤材料 有限公司</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超纤产品 的制造销 售</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150000000</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332,759,47</w:t>
            </w:r>
          </w:p>
          <w:p>
            <w:pPr>
              <w:pStyle w:val="TableParagraph"/>
              <w:spacing w:line="240" w:lineRule="auto" w:before="105"/>
              <w:ind w:left="596" w:right="0"/>
              <w:jc w:val="left"/>
              <w:rPr>
                <w:rFonts w:ascii="Times New Roman" w:hAnsi="Times New Roman" w:cs="Times New Roman" w:eastAsia="Times New Roman" w:hint="default"/>
                <w:sz w:val="18"/>
                <w:szCs w:val="18"/>
              </w:rPr>
            </w:pPr>
            <w:r>
              <w:rPr>
                <w:rFonts w:ascii="Times New Roman"/>
                <w:sz w:val="18"/>
              </w:rPr>
              <w:t>8.85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145,437,52</w:t>
            </w:r>
          </w:p>
          <w:p>
            <w:pPr>
              <w:pStyle w:val="TableParagraph"/>
              <w:spacing w:line="240" w:lineRule="auto" w:before="105"/>
              <w:ind w:left="595" w:right="0"/>
              <w:jc w:val="left"/>
              <w:rPr>
                <w:rFonts w:ascii="Times New Roman" w:hAnsi="Times New Roman" w:cs="Times New Roman" w:eastAsia="Times New Roman" w:hint="default"/>
                <w:sz w:val="18"/>
                <w:szCs w:val="18"/>
              </w:rPr>
            </w:pPr>
            <w:r>
              <w:rPr>
                <w:rFonts w:ascii="Times New Roman"/>
                <w:sz w:val="18"/>
              </w:rPr>
              <w:t>8.62</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-562,462.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41</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-562,462.41</w:t>
            </w:r>
          </w:p>
        </w:tc>
      </w:tr>
      <w:tr>
        <w:trPr>
          <w:trHeight w:val="358" w:hRule="exact"/>
        </w:trPr>
        <w:tc>
          <w:tcPr>
            <w:tcW w:w="946" w:type="dxa"/>
            <w:tcBorders>
              <w:top w:val="single" w:sz="4" w:space="0" w:color="000000"/>
              <w:left w:val="single" w:sz="4" w:space="0" w:color="000000"/>
              <w:bottom w:val="nil" w:sz="6" w:space="0" w:color="auto"/>
              <w:right w:val="single" w:sz="4" w:space="0" w:color="000000"/>
            </w:tcBorders>
          </w:tcPr>
          <w:p>
            <w:pPr/>
          </w:p>
        </w:tc>
        <w:tc>
          <w:tcPr>
            <w:tcW w:w="1075"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3"/>
                <w:sz w:val="18"/>
                <w:szCs w:val="18"/>
              </w:rPr>
              <w:t>聚氨酯、尼</w:t>
            </w:r>
          </w:p>
        </w:tc>
        <w:tc>
          <w:tcPr>
            <w:tcW w:w="943" w:type="dxa"/>
            <w:tcBorders>
              <w:top w:val="single" w:sz="4" w:space="0" w:color="000000"/>
              <w:left w:val="single" w:sz="4" w:space="0" w:color="000000"/>
              <w:bottom w:val="nil" w:sz="6" w:space="0" w:color="auto"/>
              <w:right w:val="single" w:sz="4" w:space="0" w:color="000000"/>
            </w:tcBorders>
          </w:tcPr>
          <w:p>
            <w:pPr/>
          </w:p>
        </w:tc>
        <w:tc>
          <w:tcPr>
            <w:tcW w:w="944" w:type="dxa"/>
            <w:tcBorders>
              <w:top w:val="single" w:sz="4" w:space="0" w:color="000000"/>
              <w:left w:val="single" w:sz="4" w:space="0" w:color="000000"/>
              <w:bottom w:val="nil" w:sz="6" w:space="0" w:color="auto"/>
              <w:right w:val="single" w:sz="4" w:space="0" w:color="000000"/>
            </w:tcBorders>
          </w:tcPr>
          <w:p>
            <w:pPr/>
          </w:p>
        </w:tc>
        <w:tc>
          <w:tcPr>
            <w:tcW w:w="942" w:type="dxa"/>
            <w:tcBorders>
              <w:top w:val="single" w:sz="4" w:space="0" w:color="000000"/>
              <w:left w:val="single" w:sz="4" w:space="0" w:color="000000"/>
              <w:bottom w:val="nil" w:sz="6" w:space="0" w:color="auto"/>
              <w:right w:val="single" w:sz="4" w:space="0" w:color="000000"/>
            </w:tcBorders>
          </w:tcPr>
          <w:p>
            <w:pPr/>
          </w:p>
        </w:tc>
        <w:tc>
          <w:tcPr>
            <w:tcW w:w="943" w:type="dxa"/>
            <w:tcBorders>
              <w:top w:val="single" w:sz="4" w:space="0" w:color="000000"/>
              <w:left w:val="single" w:sz="4" w:space="0" w:color="000000"/>
              <w:bottom w:val="nil" w:sz="6" w:space="0" w:color="auto"/>
              <w:right w:val="single" w:sz="4" w:space="0" w:color="000000"/>
            </w:tcBorders>
          </w:tcPr>
          <w:p>
            <w:pPr/>
          </w:p>
        </w:tc>
        <w:tc>
          <w:tcPr>
            <w:tcW w:w="809" w:type="dxa"/>
            <w:tcBorders>
              <w:top w:val="single" w:sz="4" w:space="0" w:color="000000"/>
              <w:left w:val="single" w:sz="4" w:space="0" w:color="000000"/>
              <w:bottom w:val="nil" w:sz="6" w:space="0" w:color="auto"/>
              <w:right w:val="single" w:sz="4" w:space="0" w:color="000000"/>
            </w:tcBorders>
          </w:tcPr>
          <w:p>
            <w:pPr/>
          </w:p>
        </w:tc>
        <w:tc>
          <w:tcPr>
            <w:tcW w:w="107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946"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1"/>
              <w:jc w:val="both"/>
              <w:rPr>
                <w:rFonts w:ascii="宋体" w:hAnsi="宋体" w:cs="宋体" w:eastAsia="宋体" w:hint="default"/>
                <w:sz w:val="18"/>
                <w:szCs w:val="18"/>
              </w:rPr>
            </w:pPr>
            <w:r>
              <w:rPr>
                <w:rFonts w:ascii="宋体" w:hAnsi="宋体" w:cs="宋体" w:eastAsia="宋体" w:hint="default"/>
                <w:sz w:val="18"/>
                <w:szCs w:val="18"/>
              </w:rPr>
              <w:t>江苏华峰 化学有限 公司</w:t>
            </w:r>
          </w:p>
        </w:tc>
        <w:tc>
          <w:tcPr>
            <w:tcW w:w="1075"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3"/>
              <w:jc w:val="both"/>
              <w:rPr>
                <w:rFonts w:ascii="宋体" w:hAnsi="宋体" w:cs="宋体" w:eastAsia="宋体" w:hint="default"/>
                <w:sz w:val="18"/>
                <w:szCs w:val="18"/>
              </w:rPr>
            </w:pPr>
            <w:r>
              <w:rPr>
                <w:rFonts w:ascii="宋体" w:hAnsi="宋体" w:cs="宋体" w:eastAsia="宋体" w:hint="default"/>
                <w:spacing w:val="-3"/>
                <w:sz w:val="18"/>
                <w:szCs w:val="18"/>
              </w:rPr>
              <w:t>龙、塑料制</w:t>
            </w:r>
            <w:r>
              <w:rPr>
                <w:rFonts w:ascii="宋体" w:hAnsi="宋体" w:cs="宋体" w:eastAsia="宋体" w:hint="default"/>
                <w:sz w:val="18"/>
                <w:szCs w:val="18"/>
              </w:rPr>
              <w:t> </w:t>
            </w:r>
            <w:r>
              <w:rPr>
                <w:rFonts w:ascii="宋体" w:hAnsi="宋体" w:cs="宋体" w:eastAsia="宋体" w:hint="default"/>
                <w:spacing w:val="-3"/>
                <w:sz w:val="18"/>
                <w:szCs w:val="18"/>
              </w:rPr>
              <w:t>品、化工纤</w:t>
            </w:r>
            <w:r>
              <w:rPr>
                <w:rFonts w:ascii="宋体" w:hAnsi="宋体" w:cs="宋体" w:eastAsia="宋体" w:hint="default"/>
                <w:sz w:val="18"/>
                <w:szCs w:val="18"/>
              </w:rPr>
              <w:t> </w:t>
            </w:r>
            <w:r>
              <w:rPr>
                <w:rFonts w:ascii="宋体" w:hAnsi="宋体" w:cs="宋体" w:eastAsia="宋体" w:hint="default"/>
                <w:spacing w:val="-3"/>
                <w:sz w:val="18"/>
                <w:szCs w:val="18"/>
              </w:rPr>
              <w:t>维、化工原</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2" w:right="0"/>
              <w:jc w:val="left"/>
              <w:rPr>
                <w:rFonts w:ascii="Times New Roman" w:hAnsi="Times New Roman" w:cs="Times New Roman" w:eastAsia="Times New Roman" w:hint="default"/>
                <w:sz w:val="18"/>
                <w:szCs w:val="18"/>
              </w:rPr>
            </w:pPr>
            <w:r>
              <w:rPr>
                <w:rFonts w:ascii="Times New Roman"/>
                <w:sz w:val="18"/>
              </w:rPr>
              <w:t>60000000</w:t>
            </w:r>
          </w:p>
        </w:tc>
        <w:tc>
          <w:tcPr>
            <w:tcW w:w="94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56,364,153.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98</w:t>
            </w:r>
          </w:p>
        </w:tc>
        <w:tc>
          <w:tcPr>
            <w:tcW w:w="94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54,218,881.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94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19"/>
              <w:jc w:val="right"/>
              <w:rPr>
                <w:rFonts w:ascii="Times New Roman" w:hAnsi="Times New Roman" w:cs="Times New Roman" w:eastAsia="Times New Roman" w:hint="default"/>
                <w:sz w:val="18"/>
                <w:szCs w:val="18"/>
              </w:rPr>
            </w:pPr>
            <w:r>
              <w:rPr>
                <w:rFonts w:ascii="Times New Roman"/>
                <w:sz w:val="18"/>
              </w:rPr>
              <w:t>0.00</w:t>
            </w:r>
          </w:p>
        </w:tc>
        <w:tc>
          <w:tcPr>
            <w:tcW w:w="80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-1,196,06</w:t>
            </w:r>
          </w:p>
          <w:p>
            <w:pPr>
              <w:pStyle w:val="TableParagraph"/>
              <w:spacing w:line="240" w:lineRule="auto" w:before="105"/>
              <w:ind w:left="460" w:right="0"/>
              <w:jc w:val="left"/>
              <w:rPr>
                <w:rFonts w:ascii="Times New Roman" w:hAnsi="Times New Roman" w:cs="Times New Roman" w:eastAsia="Times New Roman" w:hint="default"/>
                <w:sz w:val="18"/>
                <w:szCs w:val="18"/>
              </w:rPr>
            </w:pPr>
            <w:r>
              <w:rPr>
                <w:rFonts w:ascii="Times New Roman"/>
                <w:sz w:val="18"/>
              </w:rPr>
              <w:t>7.02</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19" w:right="0"/>
              <w:jc w:val="center"/>
              <w:rPr>
                <w:rFonts w:ascii="Times New Roman" w:hAnsi="Times New Roman" w:cs="Times New Roman" w:eastAsia="Times New Roman" w:hint="default"/>
                <w:sz w:val="18"/>
                <w:szCs w:val="18"/>
              </w:rPr>
            </w:pPr>
            <w:r>
              <w:rPr>
                <w:rFonts w:ascii="Times New Roman"/>
                <w:sz w:val="18"/>
              </w:rPr>
              <w:t>-1,196,067.02</w:t>
            </w:r>
          </w:p>
        </w:tc>
      </w:tr>
      <w:tr>
        <w:trPr>
          <w:trHeight w:val="356" w:hRule="exact"/>
        </w:trPr>
        <w:tc>
          <w:tcPr>
            <w:tcW w:w="946" w:type="dxa"/>
            <w:tcBorders>
              <w:top w:val="nil" w:sz="6" w:space="0" w:color="auto"/>
              <w:left w:val="single" w:sz="4" w:space="0" w:color="000000"/>
              <w:bottom w:val="single" w:sz="4" w:space="0" w:color="000000"/>
              <w:right w:val="single" w:sz="4" w:space="0" w:color="000000"/>
            </w:tcBorders>
          </w:tcPr>
          <w:p>
            <w:pPr/>
          </w:p>
        </w:tc>
        <w:tc>
          <w:tcPr>
            <w:tcW w:w="1075"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料销售</w:t>
            </w:r>
          </w:p>
        </w:tc>
        <w:tc>
          <w:tcPr>
            <w:tcW w:w="943" w:type="dxa"/>
            <w:tcBorders>
              <w:top w:val="nil" w:sz="6" w:space="0" w:color="auto"/>
              <w:left w:val="single" w:sz="4" w:space="0" w:color="000000"/>
              <w:bottom w:val="single" w:sz="4" w:space="0" w:color="000000"/>
              <w:right w:val="single" w:sz="4" w:space="0" w:color="000000"/>
            </w:tcBorders>
          </w:tcPr>
          <w:p>
            <w:pPr/>
          </w:p>
        </w:tc>
        <w:tc>
          <w:tcPr>
            <w:tcW w:w="944" w:type="dxa"/>
            <w:tcBorders>
              <w:top w:val="nil" w:sz="6" w:space="0" w:color="auto"/>
              <w:left w:val="single" w:sz="4" w:space="0" w:color="000000"/>
              <w:bottom w:val="single" w:sz="4" w:space="0" w:color="000000"/>
              <w:right w:val="single" w:sz="4" w:space="0" w:color="000000"/>
            </w:tcBorders>
          </w:tcPr>
          <w:p>
            <w:pPr/>
          </w:p>
        </w:tc>
        <w:tc>
          <w:tcPr>
            <w:tcW w:w="942" w:type="dxa"/>
            <w:tcBorders>
              <w:top w:val="nil" w:sz="6" w:space="0" w:color="auto"/>
              <w:left w:val="single" w:sz="4" w:space="0" w:color="000000"/>
              <w:bottom w:val="single" w:sz="4" w:space="0" w:color="000000"/>
              <w:right w:val="single" w:sz="4" w:space="0" w:color="000000"/>
            </w:tcBorders>
          </w:tcPr>
          <w:p>
            <w:pPr/>
          </w:p>
        </w:tc>
        <w:tc>
          <w:tcPr>
            <w:tcW w:w="943" w:type="dxa"/>
            <w:tcBorders>
              <w:top w:val="nil" w:sz="6" w:space="0" w:color="auto"/>
              <w:left w:val="single" w:sz="4" w:space="0" w:color="000000"/>
              <w:bottom w:val="single" w:sz="4" w:space="0" w:color="000000"/>
              <w:right w:val="single" w:sz="4" w:space="0" w:color="000000"/>
            </w:tcBorders>
          </w:tcPr>
          <w:p>
            <w:pPr/>
          </w:p>
        </w:tc>
        <w:tc>
          <w:tcPr>
            <w:tcW w:w="809" w:type="dxa"/>
            <w:tcBorders>
              <w:top w:val="nil" w:sz="6" w:space="0" w:color="auto"/>
              <w:left w:val="single" w:sz="4" w:space="0" w:color="000000"/>
              <w:bottom w:val="single" w:sz="4" w:space="0" w:color="000000"/>
              <w:right w:val="single" w:sz="4" w:space="0" w:color="000000"/>
            </w:tcBorders>
          </w:tcPr>
          <w:p>
            <w:pPr/>
          </w:p>
        </w:tc>
        <w:tc>
          <w:tcPr>
            <w:tcW w:w="1078" w:type="dxa"/>
            <w:tcBorders>
              <w:top w:val="nil" w:sz="6" w:space="0" w:color="auto"/>
              <w:left w:val="single" w:sz="4" w:space="0" w:color="000000"/>
              <w:bottom w:val="single" w:sz="4" w:space="0" w:color="000000"/>
              <w:right w:val="single" w:sz="4" w:space="0" w:color="000000"/>
            </w:tcBorders>
          </w:tcPr>
          <w:p>
            <w:pPr/>
          </w:p>
        </w:tc>
      </w:tr>
    </w:tbl>
    <w:p>
      <w:pPr>
        <w:pStyle w:val="BodyText"/>
        <w:spacing w:line="348" w:lineRule="auto" w:before="51"/>
        <w:ind w:left="153" w:right="4191"/>
        <w:jc w:val="left"/>
      </w:pPr>
      <w:r>
        <w:rPr/>
        <w:t>主要子公司、参股公司情况说明 上述子公司截止</w:t>
      </w:r>
      <w:r>
        <w:rPr>
          <w:rFonts w:ascii="Times New Roman" w:hAnsi="Times New Roman" w:cs="Times New Roman" w:eastAsia="Times New Roman" w:hint="default"/>
        </w:rPr>
        <w:t>2014</w:t>
      </w:r>
      <w:r>
        <w:rPr/>
        <w:t>年末仍在筹划建设期中，尚未开展生产经营活动。 报告期内取得和处置子公司的情况</w:t>
      </w:r>
    </w:p>
    <w:p>
      <w:pPr>
        <w:pStyle w:val="BodyText"/>
        <w:spacing w:line="240" w:lineRule="auto" w:before="3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1"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10" w:right="109"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23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有利于江苏华峰超纤材料有</w:t>
            </w:r>
          </w:p>
        </w:tc>
        <w:tc>
          <w:tcPr>
            <w:tcW w:w="2392" w:type="dxa"/>
            <w:tcBorders>
              <w:top w:val="single" w:sz="4" w:space="0" w:color="000000"/>
              <w:left w:val="single" w:sz="4" w:space="0" w:color="000000"/>
              <w:bottom w:val="nil" w:sz="6" w:space="0" w:color="auto"/>
              <w:right w:val="single" w:sz="4" w:space="0" w:color="000000"/>
            </w:tcBorders>
          </w:tcPr>
          <w:p>
            <w:pPr/>
          </w:p>
        </w:tc>
        <w:tc>
          <w:tcPr>
            <w:tcW w:w="2392"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c>
          <w:tcPr>
            <w:tcW w:w="2393"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108"/>
              <w:jc w:val="left"/>
              <w:rPr>
                <w:rFonts w:ascii="宋体" w:hAnsi="宋体" w:cs="宋体" w:eastAsia="宋体" w:hint="default"/>
                <w:sz w:val="18"/>
                <w:szCs w:val="18"/>
              </w:rPr>
            </w:pPr>
            <w:r>
              <w:rPr>
                <w:rFonts w:ascii="宋体" w:hAnsi="宋体" w:cs="宋体" w:eastAsia="宋体" w:hint="default"/>
                <w:sz w:val="18"/>
                <w:szCs w:val="18"/>
              </w:rPr>
              <w:t>限公司新建年产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万米产 业用非织造布超纤材料项目</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23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建设</w:t>
            </w:r>
          </w:p>
        </w:tc>
        <w:tc>
          <w:tcPr>
            <w:tcW w:w="2392" w:type="dxa"/>
            <w:tcBorders>
              <w:top w:val="nil" w:sz="6" w:space="0" w:color="auto"/>
              <w:left w:val="single" w:sz="4" w:space="0" w:color="000000"/>
              <w:bottom w:val="single" w:sz="4" w:space="0" w:color="000000"/>
              <w:right w:val="single" w:sz="4" w:space="0" w:color="000000"/>
            </w:tcBorders>
          </w:tcPr>
          <w:p>
            <w:pPr/>
          </w:p>
        </w:tc>
        <w:tc>
          <w:tcPr>
            <w:tcW w:w="2392"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7</w:t>
      </w:r>
      <w:r>
        <w:rPr/>
        <w:t>）公司控制的特殊目的主体情况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二、公司未来发展的展望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6" w:right="248" w:hanging="218"/>
        <w:jc w:val="left"/>
      </w:pPr>
      <w:r>
        <w:rPr/>
        <w:t>（一）公司所处行业的发展趋势 超细纤维聚氨酯合成革是在充分剖析天然皮革的微观结构和性能的基础上开发出的完全可以替代天然皮革的高档人工</w:t>
      </w:r>
    </w:p>
    <w:p>
      <w:pPr>
        <w:pStyle w:val="BodyText"/>
        <w:spacing w:line="309" w:lineRule="auto" w:before="19"/>
        <w:ind w:left="153" w:right="169"/>
        <w:jc w:val="both"/>
      </w:pPr>
      <w:r>
        <w:rPr>
          <w:spacing w:val="-2"/>
        </w:rPr>
        <w:t>制革，其核心技术是海岛型超细纤维加工技术。由于海岛型超细纤维与天然皮革所具有的超细胶元纤维极其相似，使其在强</w:t>
      </w:r>
      <w:r>
        <w:rPr>
          <w:spacing w:val="-66"/>
        </w:rPr>
        <w:t> </w:t>
      </w:r>
      <w:r>
        <w:rPr>
          <w:spacing w:val="-66"/>
        </w:rPr>
      </w:r>
      <w:r>
        <w:rPr>
          <w:spacing w:val="-2"/>
        </w:rPr>
        <w:t>度、舒适性、透气透湿性和手感上与天然皮革相媲美，甚至在耐化学性、抗皱性、耐磨性、可加工适应性以及质量均一性等</w:t>
      </w:r>
      <w:r>
        <w:rPr>
          <w:spacing w:val="-68"/>
        </w:rPr>
        <w:t> </w:t>
      </w:r>
      <w:r>
        <w:rPr>
          <w:spacing w:val="-68"/>
        </w:rPr>
      </w:r>
      <w:r>
        <w:rPr/>
        <w:t>方面更优于天然皮革，是人工制革的第三代产品，是</w:t>
      </w:r>
      <w:r>
        <w:rPr>
          <w:rFonts w:ascii="Times New Roman" w:hAnsi="Times New Roman" w:cs="Times New Roman" w:eastAsia="Times New Roman" w:hint="default"/>
        </w:rPr>
        <w:t>PVC</w:t>
      </w:r>
      <w:r>
        <w:rPr/>
        <w:t>人造革和普通</w:t>
      </w:r>
      <w:r>
        <w:rPr>
          <w:rFonts w:ascii="Times New Roman" w:hAnsi="Times New Roman" w:cs="Times New Roman" w:eastAsia="Times New Roman" w:hint="default"/>
        </w:rPr>
        <w:t>PU</w:t>
      </w:r>
      <w:r>
        <w:rPr/>
        <w:t>合成革的升级产品。虽然受到宏观经济的影响， </w:t>
      </w:r>
      <w:r>
        <w:rPr>
          <w:rFonts w:ascii="Times New Roman" w:hAnsi="Times New Roman" w:cs="Times New Roman" w:eastAsia="Times New Roman" w:hint="default"/>
          <w:spacing w:val="-2"/>
        </w:rPr>
        <w:t>2013</w:t>
      </w:r>
      <w:r>
        <w:rPr>
          <w:spacing w:val="-2"/>
        </w:rPr>
        <w:t>年超纤市场整体表现低迷，但</w:t>
      </w:r>
      <w:r>
        <w:rPr>
          <w:rFonts w:ascii="Times New Roman" w:hAnsi="Times New Roman" w:cs="Times New Roman" w:eastAsia="Times New Roman" w:hint="default"/>
          <w:spacing w:val="-2"/>
        </w:rPr>
        <w:t>2014</w:t>
      </w:r>
      <w:r>
        <w:rPr>
          <w:spacing w:val="-2"/>
        </w:rPr>
        <w:t>年公司通过新产品的开发和新领域的开拓，开始了产品的转型，随着人们生活水平的</w:t>
      </w:r>
      <w:r>
        <w:rPr>
          <w:spacing w:val="-58"/>
        </w:rPr>
        <w:t> </w:t>
      </w:r>
      <w:r>
        <w:rPr>
          <w:spacing w:val="-58"/>
        </w:rPr>
      </w:r>
      <w:r>
        <w:rPr/>
        <w:t>提高导致对人造革合成革产品消费需求的提升，我们认为超纤产品仍有极大的发展空间。</w:t>
      </w:r>
    </w:p>
    <w:p>
      <w:pPr>
        <w:pStyle w:val="BodyText"/>
        <w:spacing w:line="240" w:lineRule="auto" w:before="24"/>
        <w:ind w:left="444" w:right="248"/>
        <w:jc w:val="left"/>
      </w:pPr>
      <w:r>
        <w:rPr/>
        <w:t>（二）公司未来发展战略规划及</w:t>
      </w:r>
      <w:r>
        <w:rPr>
          <w:rFonts w:ascii="Times New Roman" w:hAnsi="Times New Roman" w:cs="Times New Roman" w:eastAsia="Times New Roman" w:hint="default"/>
        </w:rPr>
        <w:t>2015</w:t>
      </w:r>
      <w:r>
        <w:rPr/>
        <w:t>年经营计划</w:t>
      </w:r>
    </w:p>
    <w:p>
      <w:pPr>
        <w:pStyle w:val="BodyText"/>
        <w:spacing w:line="300" w:lineRule="auto" w:before="63"/>
        <w:ind w:left="454" w:right="101" w:firstLine="7"/>
        <w:jc w:val="left"/>
      </w:pPr>
      <w:r>
        <w:rPr>
          <w:rFonts w:ascii="Times New Roman" w:hAnsi="Times New Roman" w:cs="Times New Roman" w:eastAsia="Times New Roman" w:hint="default"/>
        </w:rPr>
        <w:t>1</w:t>
      </w:r>
      <w:r>
        <w:rPr/>
        <w:t>、未来发展战略规划 </w:t>
      </w:r>
      <w:r>
        <w:rPr>
          <w:spacing w:val="-1"/>
        </w:rPr>
        <w:t>根据公司长期发展战略规划，公司未来将继续以做大做强超细纤维聚氨酯合成革产业为首要目标，紧抓子公司启东项目</w:t>
      </w:r>
    </w:p>
    <w:p>
      <w:pPr>
        <w:pStyle w:val="BodyText"/>
        <w:spacing w:line="316" w:lineRule="auto" w:before="31"/>
        <w:ind w:left="153" w:right="168"/>
        <w:jc w:val="both"/>
      </w:pPr>
      <w:r>
        <w:rPr>
          <w:spacing w:val="-2"/>
        </w:rPr>
        <w:t>的建设，快速扩大生产规模；坚持科技创新的核心理念，实施科技兴企战略，促进科技成果的转化；对内加强企业技术中心</w:t>
      </w:r>
      <w:r>
        <w:rPr>
          <w:spacing w:val="-66"/>
        </w:rPr>
        <w:t> </w:t>
      </w:r>
      <w:r>
        <w:rPr>
          <w:spacing w:val="-66"/>
        </w:rPr>
      </w:r>
      <w:r>
        <w:rPr>
          <w:spacing w:val="-2"/>
        </w:rPr>
        <w:t>的建设和研发队伍的壮大，对外增加与科研院校的合作，在产品性能、质量、品种、稳定性等方面领先于国内同行，不断提</w:t>
      </w:r>
      <w:r>
        <w:rPr>
          <w:spacing w:val="-67"/>
        </w:rPr>
        <w:t> </w:t>
      </w:r>
      <w:r>
        <w:rPr>
          <w:spacing w:val="-67"/>
        </w:rPr>
      </w:r>
      <w:r>
        <w:rPr/>
        <w:t>高超细纤维聚氨酯合成革的产品档次，追赶日本同行，提高国内超细纤维聚氨酯合成革行业的水平。</w:t>
      </w:r>
    </w:p>
    <w:p>
      <w:pPr>
        <w:pStyle w:val="BodyText"/>
        <w:spacing w:line="240" w:lineRule="auto" w:before="19"/>
        <w:ind w:left="454" w:right="24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2015</w:t>
      </w:r>
      <w:r>
        <w:rPr/>
        <w:t>年经营计划</w:t>
      </w:r>
    </w:p>
    <w:p>
      <w:pPr>
        <w:pStyle w:val="BodyText"/>
        <w:spacing w:line="300" w:lineRule="auto" w:before="103"/>
        <w:ind w:left="153" w:right="101" w:firstLine="36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9"/>
        </w:rPr>
        <w:t> </w:t>
      </w:r>
      <w:r>
        <w:rPr/>
        <w:t>年，我们要继续坚持科学、务实、创新工作态度，发扬</w:t>
      </w:r>
      <w:r>
        <w:rPr>
          <w:rFonts w:ascii="Times New Roman" w:hAnsi="Times New Roman" w:cs="Times New Roman" w:eastAsia="Times New Roman" w:hint="default"/>
        </w:rPr>
        <w:t>“</w:t>
      </w:r>
      <w:r>
        <w:rPr/>
        <w:t>艰苦奋斗，团结拼搏</w:t>
      </w:r>
      <w:r>
        <w:rPr>
          <w:rFonts w:ascii="Times New Roman" w:hAnsi="Times New Roman" w:cs="Times New Roman" w:eastAsia="Times New Roman" w:hint="default"/>
        </w:rPr>
        <w:t>”</w:t>
      </w:r>
      <w:r>
        <w:rPr/>
        <w:t>的创业精神，全力以赴完成董事会 下达的各项生产工作任务。</w:t>
      </w:r>
    </w:p>
    <w:p>
      <w:pPr>
        <w:pStyle w:val="BodyText"/>
        <w:spacing w:line="338" w:lineRule="auto" w:before="72"/>
        <w:ind w:left="513" w:right="5831"/>
        <w:jc w:val="left"/>
      </w:pPr>
      <w:r>
        <w:rPr/>
        <w:t>主要做好以下五个方面的工作</w:t>
      </w:r>
      <w:r>
        <w:rPr>
          <w:rFonts w:ascii="Times New Roman" w:hAnsi="Times New Roman" w:cs="Times New Roman" w:eastAsia="Times New Roman" w:hint="default"/>
        </w:rPr>
        <w:t>: </w:t>
      </w:r>
      <w:r>
        <w:rPr/>
        <w:t>一是全力以赴地做好启东项目的推进与实施。</w:t>
      </w:r>
    </w:p>
    <w:p>
      <w:pPr>
        <w:pStyle w:val="BodyText"/>
        <w:spacing w:line="338" w:lineRule="auto" w:before="42"/>
        <w:ind w:left="513" w:right="101"/>
        <w:jc w:val="left"/>
      </w:pPr>
      <w:r>
        <w:rPr/>
        <w:t>二是对现有上海基地厂区的部分生产设备实施更新与改造</w:t>
      </w:r>
      <w:r>
        <w:rPr>
          <w:rFonts w:ascii="Times New Roman" w:hAnsi="Times New Roman" w:cs="Times New Roman" w:eastAsia="Times New Roman" w:hint="default"/>
        </w:rPr>
        <w:t>,</w:t>
      </w:r>
      <w:r>
        <w:rPr/>
        <w:t>最大限度地提高效能，确保完成全年的生产任务。 三是继续深入开展质量月、安全月活动，大胆采用新技术、新工艺，全面实施</w:t>
      </w:r>
      <w:r>
        <w:rPr>
          <w:rFonts w:ascii="Times New Roman" w:hAnsi="Times New Roman" w:cs="Times New Roman" w:eastAsia="Times New Roman" w:hint="default"/>
        </w:rPr>
        <w:t>“</w:t>
      </w:r>
      <w:r>
        <w:rPr/>
        <w:t>提质量、降成本、增效益</w:t>
      </w:r>
      <w:r>
        <w:rPr>
          <w:rFonts w:ascii="Times New Roman" w:hAnsi="Times New Roman" w:cs="Times New Roman" w:eastAsia="Times New Roman" w:hint="default"/>
        </w:rPr>
        <w:t>”</w:t>
      </w:r>
      <w:r>
        <w:rPr/>
        <w:t>工程。 四是推进信息化建设，加快</w:t>
      </w:r>
      <w:r>
        <w:rPr>
          <w:spacing w:val="-47"/>
        </w:rPr>
        <w:t> </w:t>
      </w:r>
      <w:r>
        <w:rPr>
          <w:rFonts w:ascii="Times New Roman" w:hAnsi="Times New Roman" w:cs="Times New Roman" w:eastAsia="Times New Roman" w:hint="default"/>
        </w:rPr>
        <w:t>MES</w:t>
      </w:r>
      <w:r>
        <w:rPr>
          <w:rFonts w:ascii="Times New Roman" w:hAnsi="Times New Roman" w:cs="Times New Roman" w:eastAsia="Times New Roman" w:hint="default"/>
          <w:spacing w:val="-3"/>
        </w:rPr>
        <w:t> </w:t>
      </w:r>
      <w:r>
        <w:rPr/>
        <w:t>系统和</w:t>
      </w:r>
      <w:r>
        <w:rPr>
          <w:spacing w:val="-47"/>
        </w:rPr>
        <w:t> </w:t>
      </w:r>
      <w:r>
        <w:rPr>
          <w:rFonts w:ascii="Times New Roman" w:hAnsi="Times New Roman" w:cs="Times New Roman" w:eastAsia="Times New Roman" w:hint="default"/>
        </w:rPr>
        <w:t>ERP</w:t>
      </w:r>
      <w:r>
        <w:rPr>
          <w:rFonts w:ascii="Times New Roman" w:hAnsi="Times New Roman" w:cs="Times New Roman" w:eastAsia="Times New Roman" w:hint="default"/>
          <w:spacing w:val="-3"/>
        </w:rPr>
        <w:t> </w:t>
      </w:r>
      <w:r>
        <w:rPr/>
        <w:t>系统的推进步伐，以此带动管理创新工作，完善精细化管理和绩效考核。 </w:t>
      </w:r>
      <w:r>
        <w:rPr>
          <w:spacing w:val="-2"/>
        </w:rPr>
        <w:t>五是一如既往地推进企业文化创新，创新党建和群团工作，进一步弘扬社会主义核心价值观和</w:t>
      </w:r>
      <w:r>
        <w:rPr>
          <w:rFonts w:ascii="Times New Roman" w:hAnsi="Times New Roman" w:cs="Times New Roman" w:eastAsia="Times New Roman" w:hint="default"/>
          <w:spacing w:val="-2"/>
        </w:rPr>
        <w:t>“</w:t>
      </w:r>
      <w:r>
        <w:rPr>
          <w:spacing w:val="-2"/>
        </w:rPr>
        <w:t>四个共同</w:t>
      </w:r>
      <w:r>
        <w:rPr>
          <w:rFonts w:ascii="Times New Roman" w:hAnsi="Times New Roman" w:cs="Times New Roman" w:eastAsia="Times New Roman" w:hint="default"/>
          <w:spacing w:val="-2"/>
        </w:rPr>
        <w:t>”</w:t>
      </w:r>
      <w:r>
        <w:rPr>
          <w:spacing w:val="-2"/>
        </w:rPr>
        <w:t>理念，坚持以</w:t>
      </w:r>
    </w:p>
    <w:p>
      <w:pPr>
        <w:pStyle w:val="BodyText"/>
        <w:spacing w:line="218" w:lineRule="exact"/>
        <w:ind w:right="0"/>
        <w:jc w:val="both"/>
      </w:pPr>
      <w:r>
        <w:rPr/>
        <w:t>人为本，关心员工生活。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Heading2"/>
        <w:spacing w:line="240" w:lineRule="auto"/>
        <w:ind w:right="0"/>
        <w:jc w:val="both"/>
        <w:rPr>
          <w:b w:val="0"/>
          <w:bCs w:val="0"/>
        </w:rPr>
      </w:pPr>
      <w:r>
        <w:rPr/>
        <w:t>三、董事会、监事会对会计师事务所本报告期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四、董事会关于报告期会计政策、会计估计变更或重要前期差错更正的说明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101"/>
        <w:jc w:val="left"/>
      </w:pPr>
      <w:r>
        <w:rPr/>
        <w:t>经董事会审议通过，本公司已执行财政部于</w:t>
      </w:r>
      <w:r>
        <w:rPr>
          <w:spacing w:val="-4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年颁布的下列新的及修订的企业会计准则：《企业会计准则—基本准</w:t>
      </w:r>
    </w:p>
    <w:p>
      <w:pPr>
        <w:pStyle w:val="BodyText"/>
        <w:spacing w:line="240" w:lineRule="auto" w:before="63"/>
        <w:ind w:left="153" w:right="0"/>
        <w:jc w:val="both"/>
      </w:pPr>
      <w:r>
        <w:rPr>
          <w:spacing w:val="-6"/>
        </w:rPr>
        <w:t>则》（修订）、《企业会计准则第</w:t>
      </w:r>
      <w:r>
        <w:rPr>
          <w:spacing w:val="-4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4"/>
        </w:rPr>
        <w:t>号——长期股权投资》（修订）、《企业会计准则第</w:t>
      </w:r>
      <w:r>
        <w:rPr>
          <w:spacing w:val="-44"/>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6"/>
        </w:rPr>
        <w:t>号——职工薪酬》（修订）、《企</w:t>
      </w:r>
    </w:p>
    <w:p>
      <w:pPr>
        <w:pStyle w:val="BodyText"/>
        <w:spacing w:line="240" w:lineRule="auto" w:before="63"/>
        <w:ind w:right="0"/>
        <w:jc w:val="both"/>
      </w:pPr>
      <w:r>
        <w:rPr/>
        <w:t>业会计准则第</w:t>
      </w:r>
      <w:r>
        <w:rPr>
          <w:spacing w:val="-67"/>
        </w:rPr>
        <w:t> </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号——财务报表列报》（修订）、《企业会计准则第</w:t>
      </w:r>
      <w:r>
        <w:rPr>
          <w:spacing w:val="-67"/>
        </w:rPr>
        <w:t> </w:t>
      </w:r>
      <w:r>
        <w:rPr>
          <w:rFonts w:ascii="Times New Roman" w:hAnsi="Times New Roman" w:cs="Times New Roman" w:eastAsia="Times New Roman" w:hint="default"/>
        </w:rPr>
        <w:t>33</w:t>
      </w:r>
      <w:r>
        <w:rPr>
          <w:rFonts w:ascii="Times New Roman" w:hAnsi="Times New Roman" w:cs="Times New Roman" w:eastAsia="Times New Roman" w:hint="default"/>
          <w:spacing w:val="-22"/>
        </w:rPr>
        <w:t> </w:t>
      </w:r>
      <w:r>
        <w:rPr/>
        <w:t>号——合并财务报表》（修订）、《企业会计准则</w:t>
      </w:r>
    </w:p>
    <w:p>
      <w:pPr>
        <w:pStyle w:val="BodyText"/>
        <w:spacing w:line="240" w:lineRule="auto" w:before="63"/>
        <w:ind w:right="0"/>
        <w:jc w:val="both"/>
      </w:pPr>
      <w:r>
        <w:rPr/>
        <w:t>第</w:t>
      </w:r>
      <w:r>
        <w:rPr>
          <w:spacing w:val="-45"/>
        </w:rPr>
        <w:t> </w:t>
      </w:r>
      <w:r>
        <w:rPr>
          <w:rFonts w:ascii="Times New Roman" w:hAnsi="Times New Roman" w:cs="Times New Roman" w:eastAsia="Times New Roman" w:hint="default"/>
        </w:rPr>
        <w:t>37 </w:t>
      </w:r>
      <w:r>
        <w:rPr/>
        <w:t>号——金融工具列报》（修订）、《企业会计准则第</w:t>
      </w:r>
      <w:r>
        <w:rPr>
          <w:spacing w:val="-45"/>
        </w:rPr>
        <w:t> </w:t>
      </w:r>
      <w:r>
        <w:rPr>
          <w:rFonts w:ascii="Times New Roman" w:hAnsi="Times New Roman" w:cs="Times New Roman" w:eastAsia="Times New Roman" w:hint="default"/>
        </w:rPr>
        <w:t>39 </w:t>
      </w:r>
      <w:r>
        <w:rPr/>
        <w:t>号——公允价值计量》、《企业会计准则第</w:t>
      </w:r>
      <w:r>
        <w:rPr>
          <w:spacing w:val="-45"/>
        </w:rPr>
        <w:t> </w:t>
      </w:r>
      <w:r>
        <w:rPr>
          <w:rFonts w:ascii="Times New Roman" w:hAnsi="Times New Roman" w:cs="Times New Roman" w:eastAsia="Times New Roman" w:hint="default"/>
        </w:rPr>
        <w:t>40 </w:t>
      </w:r>
      <w:r>
        <w:rPr/>
        <w:t>号——合营安</w:t>
      </w:r>
    </w:p>
    <w:p>
      <w:pPr>
        <w:pStyle w:val="BodyText"/>
        <w:spacing w:line="240" w:lineRule="auto" w:before="64"/>
        <w:ind w:left="153" w:right="0"/>
        <w:jc w:val="both"/>
      </w:pPr>
      <w:r>
        <w:rPr/>
        <w:t>排》、《企业会计准则第</w:t>
      </w:r>
      <w:r>
        <w:rPr>
          <w:spacing w:val="-46"/>
        </w:rPr>
        <w:t> </w:t>
      </w:r>
      <w:r>
        <w:rPr>
          <w:rFonts w:ascii="Times New Roman" w:hAnsi="Times New Roman" w:cs="Times New Roman" w:eastAsia="Times New Roman" w:hint="default"/>
        </w:rPr>
        <w:t>41 </w:t>
      </w:r>
      <w:r>
        <w:rPr/>
        <w:t>号——在其他主体中权益的披露》。</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五、公司利润分配及分红派息情况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报告期内利润分配政策特别是现金分红政策的制定、执行或调整情况</w:t>
      </w:r>
    </w:p>
    <w:p>
      <w:pPr>
        <w:spacing w:after="0" w:line="240" w:lineRule="auto"/>
        <w:jc w:val="both"/>
        <w:sectPr>
          <w:pgSz w:w="11910" w:h="16840"/>
          <w:pgMar w:header="747" w:footer="982" w:top="1060" w:bottom="1180" w:left="980" w:right="96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both"/>
      </w:pPr>
      <w:r>
        <w:rPr/>
        <w:t>√ 适用 □ 不适用</w:t>
      </w:r>
    </w:p>
    <w:p>
      <w:pPr>
        <w:pStyle w:val="BodyText"/>
        <w:spacing w:line="300" w:lineRule="auto" w:before="115"/>
        <w:ind w:left="153" w:right="158"/>
        <w:jc w:val="both"/>
      </w:pPr>
      <w:r>
        <w:rPr/>
        <w:t>报告期内，公司未调整利润分配政策，严格执行现金分红政策的相关规定，于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日召开的第二届董事会第十四次 会议、第二届监事会第十三次会议审议通过了《</w:t>
      </w:r>
      <w:r>
        <w:rPr>
          <w:rFonts w:ascii="Times New Roman" w:hAnsi="Times New Roman" w:cs="Times New Roman" w:eastAsia="Times New Roman" w:hint="default"/>
        </w:rPr>
        <w:t>2013</w:t>
      </w:r>
      <w:r>
        <w:rPr/>
        <w:t>年度利润分配预案》，独立董事发表了同意的独立意见。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 </w:t>
      </w:r>
      <w:r>
        <w:rPr/>
        <w:t>日，</w:t>
      </w:r>
      <w:r>
        <w:rPr>
          <w:rFonts w:ascii="Times New Roman" w:hAnsi="Times New Roman" w:cs="Times New Roman" w:eastAsia="Times New Roman" w:hint="default"/>
        </w:rPr>
        <w:t>2013</w:t>
      </w:r>
      <w:r>
        <w:rPr/>
        <w:t>年度股东大会审议通过了上述方案，即以总股本</w:t>
      </w:r>
      <w:r>
        <w:rPr>
          <w:rFonts w:ascii="Times New Roman" w:hAnsi="Times New Roman" w:cs="Times New Roman" w:eastAsia="Times New Roman" w:hint="default"/>
        </w:rPr>
        <w:t>15,800</w:t>
      </w:r>
      <w:r>
        <w:rPr/>
        <w:t>万股为基数，向全体股东按每</w:t>
      </w:r>
      <w:r>
        <w:rPr>
          <w:rFonts w:ascii="Times New Roman" w:hAnsi="Times New Roman" w:cs="Times New Roman" w:eastAsia="Times New Roman" w:hint="default"/>
        </w:rPr>
        <w:t>10</w:t>
      </w:r>
      <w:r>
        <w:rPr/>
        <w:t>股派</w:t>
      </w:r>
      <w:r>
        <w:rPr>
          <w:rFonts w:ascii="Times New Roman" w:hAnsi="Times New Roman" w:cs="Times New Roman" w:eastAsia="Times New Roman" w:hint="default"/>
        </w:rPr>
        <w:t>1</w:t>
      </w:r>
      <w:r>
        <w:rPr/>
        <w:t>元人民币（含税）， 合计派发现金股利</w:t>
      </w:r>
      <w:r>
        <w:rPr>
          <w:rFonts w:ascii="Times New Roman" w:hAnsi="Times New Roman" w:cs="Times New Roman" w:eastAsia="Times New Roman" w:hint="default"/>
        </w:rPr>
        <w:t>15,800,000</w:t>
      </w:r>
      <w:r>
        <w:rPr/>
        <w:t>元（含税）。以上利润分配方案已于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月实施完毕。</w:t>
      </w:r>
    </w:p>
    <w:p>
      <w:pPr>
        <w:spacing w:line="240" w:lineRule="auto" w:before="1"/>
        <w:rPr>
          <w:rFonts w:ascii="宋体" w:hAnsi="宋体" w:cs="宋体" w:eastAsia="宋体"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报告期内，公司未调整现金分红政策</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57" w:lineRule="auto" w:before="117"/>
        <w:ind w:left="153" w:right="3291"/>
        <w:jc w:val="left"/>
      </w:pPr>
      <w:r>
        <w:rPr/>
        <w:t>√ 是 □ 否 □ 不适用 公司报告期利润分配预案及资本公积金转增股本预案符合公司章程等的相关规定。 本年度利润分配及资本公积金转增股本预案</w:t>
      </w:r>
    </w:p>
    <w:tbl>
      <w:tblPr>
        <w:tblW w:w="0" w:type="auto"/>
        <w:jc w:val="left"/>
        <w:tblInd w:w="149" w:type="dxa"/>
        <w:tblLayout w:type="fixed"/>
        <w:tblCellMar>
          <w:top w:w="0" w:type="dxa"/>
          <w:left w:w="0" w:type="dxa"/>
          <w:bottom w:w="0" w:type="dxa"/>
          <w:right w:w="0" w:type="dxa"/>
        </w:tblCellMar>
        <w:tblLook w:val="01E0"/>
      </w:tblPr>
      <w:tblGrid>
        <w:gridCol w:w="3718"/>
        <w:gridCol w:w="5850"/>
      </w:tblGrid>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12,640,000.00</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427,734,693.37</w:t>
            </w:r>
          </w:p>
        </w:tc>
      </w:tr>
      <w:tr>
        <w:trPr>
          <w:trHeight w:val="402" w:hRule="exact"/>
        </w:trPr>
        <w:tc>
          <w:tcPr>
            <w:tcW w:w="37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962"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经立信会计师事务所（特殊普通合伙）审计，</w:t>
            </w:r>
            <w:r>
              <w:rPr>
                <w:rFonts w:ascii="Times New Roman" w:hAnsi="Times New Roman" w:cs="Times New Roman" w:eastAsia="Times New Roman" w:hint="default"/>
                <w:spacing w:val="-7"/>
                <w:sz w:val="18"/>
                <w:szCs w:val="18"/>
              </w:rPr>
              <w:t>2014 </w:t>
            </w:r>
            <w:r>
              <w:rPr>
                <w:rFonts w:ascii="宋体" w:hAnsi="宋体" w:cs="宋体" w:eastAsia="宋体" w:hint="default"/>
                <w:sz w:val="18"/>
                <w:szCs w:val="18"/>
              </w:rPr>
              <w:t>年度公司合并报表实现归属于母公司所有者的净利润</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115,493,664.07</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pacing w:val="-15"/>
                <w:sz w:val="18"/>
                <w:szCs w:val="18"/>
              </w:rPr>
              <w:t>元，按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提取法定盈余公积后，当年实现的可分配利润为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103,824,198.00</w:t>
            </w:r>
            <w:r>
              <w:rPr>
                <w:rFonts w:ascii="Times New Roman" w:hAnsi="Times New Roman" w:cs="Times New Roman" w:eastAsia="Times New Roman" w:hint="default"/>
                <w:spacing w:val="-9"/>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年末累计未分配利润为</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427,734,693.37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元，资本公积为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779,077,441.94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元。考虑到公司近几年业务发展迅速，成长性良好，为增加公司流动性，以及考虑子公司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存在重大投资及重大现金支出，董事会提议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年度利润分配预案为：拟以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158,000,000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股为基数，每</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0.80 </w:t>
            </w:r>
            <w:r>
              <w:rPr>
                <w:rFonts w:ascii="宋体" w:hAnsi="宋体" w:cs="宋体" w:eastAsia="宋体" w:hint="default"/>
                <w:sz w:val="18"/>
                <w:szCs w:val="18"/>
              </w:rPr>
              <w:t>元（含税）现金股利，合计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12,640,000.00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元，同时以资本公积金向全体股东每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股，共计转增</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237,000,000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股。本次利润分配及资本公积金转增股本后公司总股本变更为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395,000,000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pStyle w:val="BodyText"/>
        <w:spacing w:line="240" w:lineRule="auto" w:before="68"/>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年（含报告期）的利润分配方案及资本公积金转增股本方案情况</w:t>
      </w:r>
    </w:p>
    <w:p>
      <w:pPr>
        <w:pStyle w:val="BodyText"/>
        <w:spacing w:line="240" w:lineRule="auto" w:before="102"/>
        <w:ind w:right="0"/>
        <w:jc w:val="left"/>
      </w:pPr>
      <w:r>
        <w:rPr>
          <w:rFonts w:ascii="Times New Roman" w:hAnsi="Times New Roman" w:cs="Times New Roman" w:eastAsia="Times New Roman" w:hint="default"/>
        </w:rPr>
        <w:t>2012</w:t>
      </w:r>
      <w:r>
        <w:rPr/>
        <w:t>年度</w:t>
      </w:r>
    </w:p>
    <w:p>
      <w:pPr>
        <w:pStyle w:val="BodyText"/>
        <w:spacing w:line="240" w:lineRule="auto" w:before="63"/>
        <w:ind w:left="461" w:right="0"/>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日第二届董事会第九次会议、第二届监事会第九次会议审议通过了《</w:t>
      </w:r>
      <w:r>
        <w:rPr>
          <w:rFonts w:ascii="Times New Roman" w:hAnsi="Times New Roman" w:cs="Times New Roman" w:eastAsia="Times New Roman" w:hint="default"/>
        </w:rPr>
        <w:t>2012</w:t>
      </w:r>
      <w:r>
        <w:rPr/>
        <w:t>年度利润分配预案》，独立董事</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0" w:lineRule="auto" w:before="44"/>
        <w:ind w:left="153" w:right="190"/>
        <w:jc w:val="both"/>
      </w:pPr>
      <w:r>
        <w:rPr/>
        <w:t>发表了同意的独立意见。</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2012</w:t>
      </w:r>
      <w:r>
        <w:rPr/>
        <w:t>年度股东大会审议通过了上述方案，即以总股本</w:t>
      </w:r>
      <w:r>
        <w:rPr>
          <w:rFonts w:ascii="Times New Roman" w:hAnsi="Times New Roman" w:cs="Times New Roman" w:eastAsia="Times New Roman" w:hint="default"/>
        </w:rPr>
        <w:t>15,800</w:t>
      </w:r>
      <w:r>
        <w:rPr/>
        <w:t>万股为基数，向全体 </w:t>
      </w:r>
      <w:r>
        <w:rPr>
          <w:spacing w:val="-1"/>
        </w:rPr>
        <w:t>股东按每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w:t>
      </w:r>
      <w:r>
        <w:rPr>
          <w:spacing w:val="-1"/>
        </w:rPr>
        <w:t>元人民币（含税），合计派发现金股利</w:t>
      </w:r>
      <w:r>
        <w:rPr>
          <w:rFonts w:ascii="Times New Roman" w:hAnsi="Times New Roman" w:cs="Times New Roman" w:eastAsia="Times New Roman" w:hint="default"/>
          <w:spacing w:val="-1"/>
        </w:rPr>
        <w:t>15,800,000.00</w:t>
      </w:r>
      <w:r>
        <w:rPr>
          <w:spacing w:val="-1"/>
        </w:rPr>
        <w:t>元（含税）。以上利润分配方案已于</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7</w:t>
      </w:r>
      <w:r>
        <w:rPr>
          <w:spacing w:val="-1"/>
        </w:rPr>
        <w:t>月实施完</w:t>
      </w:r>
      <w:r>
        <w:rPr>
          <w:spacing w:val="-65"/>
        </w:rPr>
        <w:t> </w:t>
      </w:r>
      <w:r>
        <w:rPr/>
        <w:t>毕。</w:t>
      </w:r>
    </w:p>
    <w:p>
      <w:pPr>
        <w:pStyle w:val="BodyText"/>
        <w:spacing w:line="240" w:lineRule="auto" w:before="31"/>
        <w:ind w:left="153" w:right="0"/>
        <w:jc w:val="both"/>
      </w:pPr>
      <w:r>
        <w:rPr>
          <w:rFonts w:ascii="Times New Roman" w:hAnsi="Times New Roman" w:cs="Times New Roman" w:eastAsia="Times New Roman" w:hint="default"/>
        </w:rPr>
        <w:t>2013</w:t>
      </w:r>
      <w:r>
        <w:rPr/>
        <w:t>年度</w:t>
      </w:r>
    </w:p>
    <w:p>
      <w:pPr>
        <w:pStyle w:val="BodyText"/>
        <w:spacing w:line="300" w:lineRule="auto" w:before="63"/>
        <w:ind w:left="153" w:right="190" w:firstLine="307"/>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日第二届董事会第十四次会议、第二届监事会第十三次会议审议通过了《</w:t>
      </w:r>
      <w:r>
        <w:rPr>
          <w:rFonts w:ascii="Times New Roman" w:hAnsi="Times New Roman" w:cs="Times New Roman" w:eastAsia="Times New Roman" w:hint="default"/>
        </w:rPr>
        <w:t>2013</w:t>
      </w:r>
      <w:r>
        <w:rPr/>
        <w:t>年度利润分配预案》，独立 董事发表了同意的独立意见。</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w:t>
      </w:r>
      <w:r>
        <w:rPr>
          <w:rFonts w:ascii="Times New Roman" w:hAnsi="Times New Roman" w:cs="Times New Roman" w:eastAsia="Times New Roman" w:hint="default"/>
        </w:rPr>
        <w:t>2013</w:t>
      </w:r>
      <w:r>
        <w:rPr/>
        <w:t>年度股东大会审议通过了上述方案，即以总股本</w:t>
      </w:r>
      <w:r>
        <w:rPr>
          <w:rFonts w:ascii="Times New Roman" w:hAnsi="Times New Roman" w:cs="Times New Roman" w:eastAsia="Times New Roman" w:hint="default"/>
        </w:rPr>
        <w:t>15,800</w:t>
      </w:r>
      <w:r>
        <w:rPr/>
        <w:t>万股为基数，向 </w:t>
      </w:r>
      <w:r>
        <w:rPr>
          <w:spacing w:val="-1"/>
        </w:rPr>
        <w:t>全体股东按每</w:t>
      </w:r>
      <w:r>
        <w:rPr>
          <w:rFonts w:ascii="Times New Roman" w:hAnsi="Times New Roman" w:cs="Times New Roman" w:eastAsia="Times New Roman" w:hint="default"/>
          <w:spacing w:val="-1"/>
        </w:rPr>
        <w:t>10</w:t>
      </w:r>
      <w:r>
        <w:rPr>
          <w:spacing w:val="-1"/>
        </w:rPr>
        <w:t>股派</w:t>
      </w:r>
      <w:r>
        <w:rPr>
          <w:rFonts w:ascii="Times New Roman" w:hAnsi="Times New Roman" w:cs="Times New Roman" w:eastAsia="Times New Roman" w:hint="default"/>
          <w:spacing w:val="-1"/>
        </w:rPr>
        <w:t>1</w:t>
      </w:r>
      <w:r>
        <w:rPr>
          <w:spacing w:val="-1"/>
        </w:rPr>
        <w:t>元人民币（含税），合计派发现金股利</w:t>
      </w:r>
      <w:r>
        <w:rPr>
          <w:rFonts w:ascii="Times New Roman" w:hAnsi="Times New Roman" w:cs="Times New Roman" w:eastAsia="Times New Roman" w:hint="default"/>
          <w:spacing w:val="-1"/>
        </w:rPr>
        <w:t>15,800,000.00</w:t>
      </w:r>
      <w:r>
        <w:rPr>
          <w:spacing w:val="-1"/>
        </w:rPr>
        <w:t>元（含税）。以上利润分配方案已于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7</w:t>
      </w:r>
      <w:r>
        <w:rPr>
          <w:spacing w:val="-1"/>
        </w:rPr>
        <w:t>月实</w:t>
      </w:r>
      <w:r>
        <w:rPr>
          <w:spacing w:val="-63"/>
        </w:rPr>
        <w:t> </w:t>
      </w:r>
      <w:r>
        <w:rPr/>
        <w:t>施完毕。</w:t>
      </w:r>
    </w:p>
    <w:p>
      <w:pPr>
        <w:pStyle w:val="BodyText"/>
        <w:spacing w:line="240" w:lineRule="auto" w:before="31"/>
        <w:ind w:left="153" w:right="0"/>
        <w:jc w:val="both"/>
      </w:pPr>
      <w:r>
        <w:rPr>
          <w:rFonts w:ascii="Times New Roman" w:hAnsi="Times New Roman" w:cs="Times New Roman" w:eastAsia="Times New Roman" w:hint="default"/>
        </w:rPr>
        <w:t>2014</w:t>
      </w:r>
      <w:r>
        <w:rPr/>
        <w:t>年度</w:t>
      </w:r>
    </w:p>
    <w:p>
      <w:pPr>
        <w:pStyle w:val="BodyText"/>
        <w:spacing w:line="300" w:lineRule="auto" w:before="63"/>
        <w:ind w:left="153" w:right="90" w:firstLine="343"/>
        <w:jc w:val="left"/>
      </w:pP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26</w:t>
      </w:r>
      <w:r>
        <w:rPr>
          <w:spacing w:val="-2"/>
        </w:rPr>
        <w:t>日第二届董事会第二十二次会议、第二届监事会第二十次会议审议通过，考虑到公司近几年业务发展迅速，</w:t>
      </w:r>
      <w:r>
        <w:rPr/>
        <w:t> </w:t>
      </w:r>
      <w:r>
        <w:rPr>
          <w:spacing w:val="-2"/>
        </w:rPr>
        <w:t>成长性良好，为增加公司流动性，以及考虑子公司存在重大投资及重大现金支出，董事会提议</w:t>
      </w:r>
      <w:r>
        <w:rPr>
          <w:rFonts w:ascii="Times New Roman" w:hAnsi="Times New Roman" w:cs="Times New Roman" w:eastAsia="Times New Roman" w:hint="default"/>
          <w:spacing w:val="-2"/>
        </w:rPr>
        <w:t>2014</w:t>
      </w:r>
      <w:r>
        <w:rPr>
          <w:spacing w:val="-2"/>
        </w:rPr>
        <w:t>年度利润分配预案为：拟</w:t>
      </w:r>
      <w:r>
        <w:rPr>
          <w:spacing w:val="-62"/>
        </w:rPr>
        <w:t> </w:t>
      </w:r>
      <w:r>
        <w:rPr>
          <w:spacing w:val="-62"/>
        </w:rPr>
      </w:r>
      <w:r>
        <w:rPr/>
        <w:t>以</w:t>
      </w:r>
      <w:r>
        <w:rPr>
          <w:rFonts w:ascii="Times New Roman" w:hAnsi="Times New Roman" w:cs="Times New Roman" w:eastAsia="Times New Roman" w:hint="default"/>
        </w:rPr>
        <w:t>2014</w:t>
      </w:r>
      <w:r>
        <w:rPr/>
        <w:t>年末总股本</w:t>
      </w:r>
      <w:r>
        <w:rPr>
          <w:rFonts w:ascii="Times New Roman" w:hAnsi="Times New Roman" w:cs="Times New Roman" w:eastAsia="Times New Roman" w:hint="default"/>
        </w:rPr>
        <w:t>158,000,000</w:t>
      </w:r>
      <w:r>
        <w:rPr/>
        <w:t>股为基数，每</w:t>
      </w:r>
      <w:r>
        <w:rPr>
          <w:rFonts w:ascii="Times New Roman" w:hAnsi="Times New Roman" w:cs="Times New Roman" w:eastAsia="Times New Roman" w:hint="default"/>
        </w:rPr>
        <w:t>10</w:t>
      </w:r>
      <w:r>
        <w:rPr/>
        <w:t>股派送</w:t>
      </w:r>
      <w:r>
        <w:rPr>
          <w:rFonts w:ascii="Times New Roman" w:hAnsi="Times New Roman" w:cs="Times New Roman" w:eastAsia="Times New Roman" w:hint="default"/>
        </w:rPr>
        <w:t>0.80</w:t>
      </w:r>
      <w:r>
        <w:rPr/>
        <w:t>元（含税）现金股利，合计</w:t>
      </w:r>
      <w:r>
        <w:rPr>
          <w:rFonts w:ascii="Times New Roman" w:hAnsi="Times New Roman" w:cs="Times New Roman" w:eastAsia="Times New Roman" w:hint="default"/>
        </w:rPr>
        <w:t>12,640,000.00</w:t>
      </w:r>
      <w:r>
        <w:rPr/>
        <w:t>元，同时以资本公积金向 </w:t>
      </w:r>
      <w:r>
        <w:rPr>
          <w:spacing w:val="10"/>
        </w:rPr>
        <w:t>全体股东每</w:t>
      </w:r>
      <w:r>
        <w:rPr>
          <w:rFonts w:ascii="Times New Roman" w:hAnsi="Times New Roman" w:cs="Times New Roman" w:eastAsia="Times New Roman" w:hint="default"/>
          <w:spacing w:val="10"/>
        </w:rPr>
        <w:t>10</w:t>
      </w:r>
      <w:r>
        <w:rPr>
          <w:spacing w:val="10"/>
        </w:rPr>
        <w:t>股转增</w:t>
      </w:r>
      <w:r>
        <w:rPr>
          <w:rFonts w:ascii="Times New Roman" w:hAnsi="Times New Roman" w:cs="Times New Roman" w:eastAsia="Times New Roman" w:hint="default"/>
          <w:spacing w:val="10"/>
        </w:rPr>
        <w:t>15</w:t>
      </w:r>
      <w:r>
        <w:rPr>
          <w:spacing w:val="10"/>
        </w:rPr>
        <w:t>股，共计转增股本</w:t>
      </w:r>
      <w:r>
        <w:rPr>
          <w:rFonts w:ascii="Times New Roman" w:hAnsi="Times New Roman" w:cs="Times New Roman" w:eastAsia="Times New Roman" w:hint="default"/>
          <w:spacing w:val="10"/>
        </w:rPr>
        <w:t>237,000,000</w:t>
      </w:r>
      <w:r>
        <w:rPr>
          <w:spacing w:val="10"/>
        </w:rPr>
        <w:t>股。本次利润分配及资本公积金转增股本后公司总股本变更为</w:t>
      </w:r>
      <w:r>
        <w:rPr>
          <w:spacing w:val="-35"/>
        </w:rPr>
        <w:t> </w:t>
      </w:r>
      <w:r>
        <w:rPr>
          <w:spacing w:val="-35"/>
        </w:rPr>
      </w:r>
      <w:r>
        <w:rPr>
          <w:rFonts w:ascii="Times New Roman" w:hAnsi="Times New Roman" w:cs="Times New Roman" w:eastAsia="Times New Roman" w:hint="default"/>
        </w:rPr>
        <w:t>395,000,000</w:t>
      </w:r>
      <w:r>
        <w:rPr/>
        <w:t>股。</w:t>
      </w:r>
    </w:p>
    <w:p>
      <w:pPr>
        <w:spacing w:line="240" w:lineRule="auto" w:before="7"/>
        <w:rPr>
          <w:rFonts w:ascii="宋体" w:hAnsi="宋体" w:cs="宋体" w:eastAsia="宋体" w:hint="default"/>
          <w:sz w:val="24"/>
          <w:szCs w:val="24"/>
        </w:rPr>
      </w:pPr>
    </w:p>
    <w:p>
      <w:pPr>
        <w:pStyle w:val="BodyText"/>
        <w:spacing w:line="240" w:lineRule="auto" w:before="44"/>
        <w:ind w:left="153" w:right="90"/>
        <w:jc w:val="left"/>
      </w:pPr>
      <w:r>
        <w:rPr/>
        <w:t>公司近三年现金分红情况表</w:t>
      </w:r>
    </w:p>
    <w:p>
      <w:pPr>
        <w:pStyle w:val="BodyText"/>
        <w:spacing w:line="240" w:lineRule="auto" w:before="117"/>
        <w:ind w:left="0" w:right="19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17"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分红年度合并报表中归属于 上市公司普通股股东的净利 润</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 w:right="109"/>
              <w:jc w:val="center"/>
              <w:rPr>
                <w:rFonts w:ascii="宋体" w:hAnsi="宋体" w:cs="宋体" w:eastAsia="宋体" w:hint="default"/>
                <w:sz w:val="18"/>
                <w:szCs w:val="18"/>
              </w:rPr>
            </w:pPr>
            <w:r>
              <w:rPr>
                <w:rFonts w:ascii="宋体" w:hAnsi="宋体" w:cs="宋体" w:eastAsia="宋体" w:hint="default"/>
                <w:sz w:val="18"/>
                <w:szCs w:val="18"/>
              </w:rPr>
              <w:t>占合并报表中归属于上市公 司普通股股东的净利润的比 率</w:t>
            </w:r>
          </w:p>
        </w:tc>
      </w:tr>
      <w:tr>
        <w:trPr>
          <w:trHeight w:val="392" w:hRule="exact"/>
        </w:trPr>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393"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c>
          <w:tcPr>
            <w:tcW w:w="2392" w:type="dxa"/>
            <w:vMerge/>
            <w:tcBorders>
              <w:left w:val="single" w:sz="4" w:space="0" w:color="000000"/>
              <w:right w:val="single" w:sz="4" w:space="0" w:color="000000"/>
            </w:tcBorders>
            <w:shd w:val="clear" w:color="auto" w:fill="D3D3D3"/>
          </w:tcPr>
          <w:p>
            <w:pP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88,178,458.31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84,217,820.70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18.76%</w:t>
            </w:r>
          </w:p>
        </w:tc>
      </w:tr>
    </w:tbl>
    <w:p>
      <w:pPr>
        <w:pStyle w:val="BodyText"/>
        <w:spacing w:line="240" w:lineRule="auto" w:before="51"/>
        <w:ind w:right="0"/>
        <w:jc w:val="both"/>
      </w:pPr>
      <w:r>
        <w:rPr/>
        <w:t>公司报告期内盈利且母公司未分配利润为正但未提出现金红利分配预案</w:t>
      </w:r>
    </w:p>
    <w:p>
      <w:pPr>
        <w:pStyle w:val="BodyText"/>
        <w:spacing w:line="240" w:lineRule="auto" w:before="117"/>
        <w:ind w:left="153" w:right="0"/>
        <w:jc w:val="both"/>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both"/>
        <w:rPr>
          <w:b w:val="0"/>
          <w:bCs w:val="0"/>
        </w:rPr>
      </w:pPr>
      <w:r>
        <w:rPr/>
        <w:t>六、内幕信息知情人管理制度的建立和执行情况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90" w:hanging="291"/>
        <w:jc w:val="left"/>
      </w:pPr>
      <w:r>
        <w:rPr/>
        <w:t>（一）内幕信息知情人管理制度的建设情况 </w:t>
      </w:r>
      <w:r>
        <w:rPr>
          <w:spacing w:val="-1"/>
        </w:rPr>
        <w:t>公司自创业板上市以来，非常注重公司治理水平的不断提高和完善，尤其是内幕交易防控工作，现行与内幕交易防控相</w:t>
      </w:r>
    </w:p>
    <w:p>
      <w:pPr>
        <w:pStyle w:val="BodyText"/>
        <w:spacing w:line="316" w:lineRule="auto" w:before="19"/>
        <w:ind w:left="153" w:right="191"/>
        <w:jc w:val="both"/>
      </w:pPr>
      <w:r>
        <w:rPr>
          <w:spacing w:val="-2"/>
        </w:rPr>
        <w:t>关的制度主要包括：《内幕信息知情人登记制度》、《对外信息报送和使用管理制度》等多项制度，从制度层面加强内幕信</w:t>
      </w:r>
      <w:r>
        <w:rPr>
          <w:spacing w:val="-65"/>
        </w:rPr>
        <w:t> </w:t>
      </w:r>
      <w:r>
        <w:rPr>
          <w:spacing w:val="-65"/>
        </w:rPr>
      </w:r>
      <w:r>
        <w:rPr>
          <w:spacing w:val="-2"/>
        </w:rPr>
        <w:t>息的管理。上述制度的建立对公司内幕信息的流转进行了严格的规定，制定了备案登记和保密措施，加强了法定范围人员买</w:t>
      </w:r>
      <w:r>
        <w:rPr>
          <w:spacing w:val="-66"/>
        </w:rPr>
        <w:t> </w:t>
      </w:r>
      <w:r>
        <w:rPr>
          <w:spacing w:val="-66"/>
        </w:rPr>
      </w:r>
      <w:r>
        <w:rPr/>
        <w:t>卖股票的管理，规范公司信息外报流程。</w:t>
      </w:r>
    </w:p>
    <w:p>
      <w:pPr>
        <w:pStyle w:val="BodyText"/>
        <w:spacing w:line="240" w:lineRule="auto" w:before="19"/>
        <w:ind w:left="153" w:right="0"/>
        <w:jc w:val="both"/>
      </w:pPr>
      <w:r>
        <w:rPr/>
        <w:t>（二）内幕信息知情人管理制度的执行情况</w:t>
      </w:r>
    </w:p>
    <w:p>
      <w:pPr>
        <w:pStyle w:val="BodyText"/>
        <w:spacing w:line="300" w:lineRule="auto" w:before="76"/>
        <w:ind w:left="444" w:right="90"/>
        <w:jc w:val="left"/>
      </w:pPr>
      <w:r>
        <w:rPr>
          <w:rFonts w:ascii="Times New Roman" w:hAnsi="Times New Roman" w:cs="Times New Roman" w:eastAsia="Times New Roman" w:hint="default"/>
        </w:rPr>
        <w:t>1</w:t>
      </w:r>
      <w:r>
        <w:rPr/>
        <w:t>、定期报告披露期间的信息保密工作 </w:t>
      </w:r>
      <w:r>
        <w:rPr>
          <w:spacing w:val="-1"/>
        </w:rPr>
        <w:t>报告期内，每当进入定期报告制作时段，公司即严格执行内幕信息保密制度，严格规范信息传递流程，在定期报告披露</w:t>
      </w:r>
    </w:p>
    <w:p>
      <w:pPr>
        <w:pStyle w:val="BodyText"/>
        <w:spacing w:line="240" w:lineRule="auto" w:before="31"/>
        <w:ind w:left="153" w:right="0"/>
        <w:jc w:val="both"/>
      </w:pPr>
      <w:r>
        <w:rPr/>
        <w:t>期间，对于未公开信息，公司严格控制知情人范围。</w:t>
      </w:r>
    </w:p>
    <w:p>
      <w:pPr>
        <w:pStyle w:val="BodyText"/>
        <w:spacing w:line="300" w:lineRule="auto" w:before="76"/>
        <w:ind w:left="444" w:right="90"/>
        <w:jc w:val="left"/>
      </w:pPr>
      <w:r>
        <w:rPr>
          <w:rFonts w:ascii="Times New Roman" w:hAnsi="Times New Roman" w:cs="Times New Roman" w:eastAsia="Times New Roman" w:hint="default"/>
        </w:rPr>
        <w:t>2</w:t>
      </w:r>
      <w:r>
        <w:rPr/>
        <w:t>、投资者调研期间的信息保密工作 </w:t>
      </w:r>
      <w:r>
        <w:rPr>
          <w:spacing w:val="-1"/>
        </w:rPr>
        <w:t>在定期报告及重大事项披露期间，公司严格做到避免接待投资者的调研，努力做好定期报告及重大事项披露期间的信息</w:t>
      </w:r>
    </w:p>
    <w:p>
      <w:pPr>
        <w:pStyle w:val="BodyText"/>
        <w:spacing w:line="240" w:lineRule="auto" w:before="31"/>
        <w:ind w:left="153" w:right="0"/>
        <w:jc w:val="both"/>
      </w:pPr>
      <w:r>
        <w:rPr/>
        <w:t>保密工作。在日常接待投资者调研时，公司也认真履行相关的信息保密工作程序。</w:t>
      </w:r>
    </w:p>
    <w:p>
      <w:pPr>
        <w:pStyle w:val="BodyText"/>
        <w:spacing w:line="300" w:lineRule="auto" w:before="76"/>
        <w:ind w:left="444" w:right="90"/>
        <w:jc w:val="left"/>
      </w:pPr>
      <w:r>
        <w:rPr>
          <w:rFonts w:ascii="Times New Roman" w:hAnsi="Times New Roman" w:cs="Times New Roman" w:eastAsia="Times New Roman" w:hint="default"/>
        </w:rPr>
        <w:t>3</w:t>
      </w:r>
      <w:r>
        <w:rPr/>
        <w:t>、其他重大事件的信息保密工作 </w:t>
      </w:r>
      <w:r>
        <w:rPr>
          <w:spacing w:val="-1"/>
        </w:rPr>
        <w:t>在报告期内，如遇其他未披露重大事项，公司及相关信息披露义务人严格采取保密措施，签订相关保密协议，以保证信</w:t>
      </w:r>
    </w:p>
    <w:p>
      <w:pPr>
        <w:pStyle w:val="BodyText"/>
        <w:spacing w:line="240" w:lineRule="auto" w:before="31"/>
        <w:ind w:left="153" w:right="0"/>
        <w:jc w:val="both"/>
      </w:pPr>
      <w:r>
        <w:rPr/>
        <w:t>息处于可控范围。</w:t>
      </w:r>
    </w:p>
    <w:p>
      <w:pPr>
        <w:spacing w:after="0" w:line="240" w:lineRule="auto"/>
        <w:jc w:val="both"/>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444" w:right="0" w:hanging="291"/>
        <w:jc w:val="left"/>
      </w:pPr>
      <w:r>
        <w:rPr/>
        <w:t>（三）报告期内自查内幕信息知情人涉嫌内幕交易以及监管部门的查处和整改情况 </w:t>
      </w:r>
      <w:r>
        <w:rPr>
          <w:spacing w:val="-1"/>
        </w:rPr>
        <w:t>报告期内公司严格按照《内幕信息知情人登记制度》的规定，做好公司定期报告及重大事项在商议筹划、论证咨询、合</w:t>
      </w:r>
    </w:p>
    <w:p>
      <w:pPr>
        <w:pStyle w:val="BodyText"/>
        <w:spacing w:line="316" w:lineRule="auto" w:before="19"/>
        <w:ind w:left="153" w:right="0"/>
        <w:jc w:val="left"/>
      </w:pPr>
      <w:r>
        <w:rPr>
          <w:spacing w:val="-2"/>
        </w:rPr>
        <w:t>同订立等阶段及信息报告、传递、编制、决议、披露等各个环节的登记及审核管理，公司及相关人员未发生因涉嫌内幕交易</w:t>
      </w:r>
      <w:r>
        <w:rPr>
          <w:spacing w:val="-66"/>
        </w:rPr>
        <w:t> </w:t>
      </w:r>
      <w:r>
        <w:rPr>
          <w:spacing w:val="-66"/>
        </w:rPr>
      </w:r>
      <w:r>
        <w:rPr/>
        <w:t>被监管部门采取监管措施及行政处罚的情况。</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r>
        <w:rPr/>
        <w:t>七、报告期内接待调研、沟通、采访等活动登记表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6"/>
        <w:gridCol w:w="1498"/>
        <w:gridCol w:w="1496"/>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58"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东方证券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外贸业务发展状况，今后 发展规划</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宏源证券、兴业证 券、海通证券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行业发展状况、行业格局</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华泰证券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盈利能力情况、行业格局</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中信建投</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52"/>
              <w:jc w:val="left"/>
              <w:rPr>
                <w:rFonts w:ascii="宋体" w:hAnsi="宋体" w:cs="宋体" w:eastAsia="宋体" w:hint="default"/>
                <w:sz w:val="18"/>
                <w:szCs w:val="18"/>
              </w:rPr>
            </w:pPr>
            <w:r>
              <w:rPr>
                <w:rFonts w:ascii="宋体" w:hAnsi="宋体" w:cs="宋体" w:eastAsia="宋体" w:hint="default"/>
                <w:sz w:val="18"/>
                <w:szCs w:val="18"/>
              </w:rPr>
              <w:t>行业发展情况和发展趋 势、新产品情况</w:t>
            </w:r>
          </w:p>
        </w:tc>
      </w:tr>
      <w:tr>
        <w:trPr>
          <w:trHeight w:val="714"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安信证券、东方证 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产品需求情况、行业扩产 情况、公司技术优势</w:t>
            </w:r>
          </w:p>
        </w:tc>
      </w:tr>
      <w:tr>
        <w:trPr>
          <w:trHeight w:val="40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平安证券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产能情况、新产品情况</w:t>
            </w:r>
          </w:p>
        </w:tc>
      </w:tr>
      <w:tr>
        <w:trPr>
          <w:trHeight w:val="715"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招商证券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启东项目情况、公司产品 情况</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421"/>
        <w:jc w:val="center"/>
        <w:rPr>
          <w:b w:val="0"/>
          <w:bCs w:val="0"/>
        </w:rPr>
      </w:pPr>
      <w:bookmarkStart w:name="_TOC_250005" w:id="5"/>
      <w:r>
        <w:rPr/>
        <w:t>第五节</w:t>
      </w:r>
      <w:r>
        <w:rPr>
          <w:spacing w:val="-5"/>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8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本年度公司无重大诉讼、仲裁事项。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二、上市公司发生控股股东及其关联方非经营性占用资金情况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36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公司报告期不存在上市公司发生控股股东及其关联方非经营性占用资金情况。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四、资产交易事项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2"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7"/>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864"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1561"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09"/>
              <w:jc w:val="left"/>
              <w:rPr>
                <w:rFonts w:ascii="宋体" w:hAnsi="宋体" w:cs="宋体" w:eastAsia="宋体" w:hint="default"/>
                <w:sz w:val="18"/>
                <w:szCs w:val="18"/>
              </w:rPr>
            </w:pPr>
            <w:r>
              <w:rPr>
                <w:rFonts w:ascii="宋体" w:hAnsi="宋体" w:cs="宋体" w:eastAsia="宋体" w:hint="default"/>
                <w:sz w:val="18"/>
                <w:szCs w:val="18"/>
              </w:rPr>
              <w:t>华峰集团 有限公司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江苏华峰 化学有限 公司</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5,827.42</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股权收购 </w:t>
            </w:r>
            <w:r>
              <w:rPr>
                <w:rFonts w:ascii="宋体" w:hAnsi="宋体" w:cs="宋体" w:eastAsia="宋体" w:hint="default"/>
                <w:spacing w:val="-18"/>
                <w:sz w:val="18"/>
                <w:szCs w:val="18"/>
              </w:rPr>
              <w:t>已完成、营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业执照已 变更</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有利于公 司启东项 目建设</w:t>
            </w: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-120.1</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11" w:right="0"/>
              <w:jc w:val="left"/>
              <w:rPr>
                <w:rFonts w:ascii="Times New Roman" w:hAnsi="Times New Roman" w:cs="Times New Roman" w:eastAsia="Times New Roman" w:hint="default"/>
                <w:sz w:val="18"/>
                <w:szCs w:val="18"/>
              </w:rPr>
            </w:pPr>
            <w:r>
              <w:rPr>
                <w:rFonts w:ascii="Times New Roman"/>
                <w:sz w:val="18"/>
              </w:rPr>
              <w:t>-1.04%</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同一实际 控制人</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both"/>
              <w:rPr>
                <w:rFonts w:ascii="宋体" w:hAnsi="宋体" w:cs="宋体" w:eastAsia="宋体" w:hint="default"/>
                <w:sz w:val="18"/>
                <w:szCs w:val="18"/>
              </w:rPr>
            </w:pPr>
            <w:r>
              <w:rPr>
                <w:rFonts w:ascii="宋体" w:hAnsi="宋体" w:cs="宋体" w:eastAsia="宋体" w:hint="default"/>
                <w:sz w:val="18"/>
                <w:szCs w:val="18"/>
              </w:rPr>
              <w:t>网</w:t>
            </w:r>
          </w:p>
          <w:p>
            <w:pPr>
              <w:pStyle w:val="TableParagraph"/>
              <w:spacing w:line="240" w:lineRule="auto" w:before="116"/>
              <w:ind w:left="22" w:right="0"/>
              <w:jc w:val="both"/>
              <w:rPr>
                <w:rFonts w:ascii="Times New Roman" w:hAnsi="Times New Roman" w:cs="Times New Roman" w:eastAsia="Times New Roman" w:hint="default"/>
                <w:sz w:val="18"/>
                <w:szCs w:val="18"/>
              </w:rPr>
            </w:pPr>
            <w:r>
              <w:rPr>
                <w:rFonts w:ascii="Times New Roman"/>
                <w:sz w:val="18"/>
              </w:rPr>
              <w:t>2014-053</w:t>
            </w:r>
          </w:p>
          <w:p>
            <w:pPr>
              <w:pStyle w:val="TableParagraph"/>
              <w:spacing w:line="316" w:lineRule="auto" w:before="65"/>
              <w:ind w:left="22" w:right="115"/>
              <w:jc w:val="both"/>
              <w:rPr>
                <w:rFonts w:ascii="宋体" w:hAnsi="宋体" w:cs="宋体" w:eastAsia="宋体" w:hint="default"/>
                <w:sz w:val="18"/>
                <w:szCs w:val="18"/>
              </w:rPr>
            </w:pPr>
            <w:r>
              <w:rPr>
                <w:rFonts w:ascii="宋体" w:hAnsi="宋体" w:cs="宋体" w:eastAsia="宋体" w:hint="default"/>
                <w:sz w:val="18"/>
                <w:szCs w:val="18"/>
              </w:rPr>
              <w:t>关于全资 子公司收 购关联公</w:t>
            </w:r>
          </w:p>
        </w:tc>
      </w:tr>
      <w:tr>
        <w:trPr>
          <w:trHeight w:val="356" w:hRule="exact"/>
        </w:trPr>
        <w:tc>
          <w:tcPr>
            <w:tcW w:w="864"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司的公告</w:t>
            </w:r>
          </w:p>
        </w:tc>
      </w:tr>
    </w:tbl>
    <w:p>
      <w:pPr>
        <w:pStyle w:val="BodyText"/>
        <w:spacing w:line="357" w:lineRule="auto" w:before="51"/>
        <w:ind w:left="444" w:right="0" w:hanging="291"/>
        <w:jc w:val="left"/>
      </w:pPr>
      <w:r>
        <w:rPr/>
        <w:t>收购资产情况说明 </w:t>
      </w:r>
      <w:r>
        <w:rPr>
          <w:spacing w:val="-1"/>
        </w:rPr>
        <w:t>江苏超纤项目用地已落实，各项准备工作正有序推进之中，由于项目启动将新增大量员工，为保证项目顺利进行，董事</w:t>
      </w:r>
    </w:p>
    <w:p>
      <w:pPr>
        <w:pStyle w:val="BodyText"/>
        <w:spacing w:line="237" w:lineRule="exact"/>
        <w:ind w:left="153" w:right="0"/>
        <w:jc w:val="left"/>
      </w:pPr>
      <w:r>
        <w:rPr/>
        <w:t>会审议同意全资子公司收购关联公司江苏华峰化学有限公司</w:t>
      </w:r>
      <w:r>
        <w:rPr>
          <w:rFonts w:ascii="Times New Roman" w:hAnsi="Times New Roman" w:cs="Times New Roman" w:eastAsia="Times New Roman" w:hint="default"/>
        </w:rPr>
        <w:t>100%</w:t>
      </w:r>
      <w:r>
        <w:rPr/>
        <w:t>的股权相关工作。本次交易完成后，利用江苏华峰化学有</w:t>
      </w:r>
    </w:p>
    <w:p>
      <w:pPr>
        <w:pStyle w:val="BodyText"/>
        <w:spacing w:line="316" w:lineRule="auto" w:before="63"/>
        <w:ind w:left="153" w:right="0"/>
        <w:jc w:val="left"/>
      </w:pPr>
      <w:r>
        <w:rPr>
          <w:spacing w:val="-2"/>
        </w:rPr>
        <w:t>限公司目前的土地及房屋解决江苏超纤员工食宿等后勤保障问题，有助于节省时间成本并对项目建设提供支持。可避免潜在</w:t>
      </w:r>
      <w:r>
        <w:rPr>
          <w:spacing w:val="-64"/>
        </w:rPr>
        <w:t> </w:t>
      </w:r>
      <w:r>
        <w:rPr>
          <w:spacing w:val="-64"/>
        </w:rPr>
      </w:r>
      <w:r>
        <w:rPr/>
        <w:t>的经常性关联交易。本次交易不会对上市公司业绩产生较大影响。</w:t>
      </w:r>
    </w:p>
    <w:p>
      <w:pPr>
        <w:pStyle w:val="BodyText"/>
        <w:spacing w:line="240" w:lineRule="auto" w:before="19"/>
        <w:ind w:left="444" w:right="0"/>
        <w:jc w:val="left"/>
      </w:pPr>
      <w:r>
        <w:rPr/>
        <w:t>根据银信资产评估有限公司出具的银信评报字（</w:t>
      </w:r>
      <w:r>
        <w:rPr>
          <w:rFonts w:ascii="Times New Roman" w:hAnsi="Times New Roman" w:cs="Times New Roman" w:eastAsia="Times New Roman" w:hint="default"/>
        </w:rPr>
        <w:t>2014</w:t>
      </w:r>
      <w:r>
        <w:rPr/>
        <w:t>）沪第</w:t>
      </w:r>
      <w:r>
        <w:rPr>
          <w:rFonts w:ascii="Times New Roman" w:hAnsi="Times New Roman" w:cs="Times New Roman" w:eastAsia="Times New Roman" w:hint="default"/>
        </w:rPr>
        <w:t>0809</w:t>
      </w:r>
      <w:r>
        <w:rPr/>
        <w:t>号评估报告，截止</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日，江苏华峰化学有限</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公司评估后的总资产价值</w:t>
      </w:r>
      <w:r>
        <w:rPr>
          <w:rFonts w:ascii="Times New Roman" w:hAnsi="Times New Roman" w:cs="Times New Roman" w:eastAsia="Times New Roman" w:hint="default"/>
        </w:rPr>
        <w:t>5,833.61</w:t>
      </w:r>
      <w:r>
        <w:rPr/>
        <w:t>万元，总负债</w:t>
      </w:r>
      <w:r>
        <w:rPr>
          <w:rFonts w:ascii="Times New Roman" w:hAnsi="Times New Roman" w:cs="Times New Roman" w:eastAsia="Times New Roman" w:hint="default"/>
        </w:rPr>
        <w:t>6.2</w:t>
      </w:r>
      <w:r>
        <w:rPr/>
        <w:t>万元，股东全部权益价值为</w:t>
      </w:r>
      <w:r>
        <w:rPr>
          <w:rFonts w:ascii="Times New Roman" w:hAnsi="Times New Roman" w:cs="Times New Roman" w:eastAsia="Times New Roman" w:hint="default"/>
        </w:rPr>
        <w:t>5,827.42</w:t>
      </w:r>
      <w:r>
        <w:rPr/>
        <w:t>万元，评估增值</w:t>
      </w:r>
      <w:r>
        <w:rPr>
          <w:rFonts w:ascii="Times New Roman" w:hAnsi="Times New Roman" w:cs="Times New Roman" w:eastAsia="Times New Roman" w:hint="default"/>
        </w:rPr>
        <w:t>342.07</w:t>
      </w:r>
      <w:r>
        <w:rPr/>
        <w:t>万元，增值率</w:t>
      </w:r>
    </w:p>
    <w:p>
      <w:pPr>
        <w:pStyle w:val="BodyText"/>
        <w:spacing w:line="240" w:lineRule="auto" w:before="63"/>
        <w:ind w:left="153" w:right="0"/>
        <w:jc w:val="left"/>
      </w:pPr>
      <w:r>
        <w:rPr>
          <w:rFonts w:ascii="Times New Roman" w:hAnsi="Times New Roman" w:cs="Times New Roman" w:eastAsia="Times New Roman" w:hint="default"/>
        </w:rPr>
        <w:t>6.24%</w:t>
      </w:r>
      <w:r>
        <w:rPr/>
        <w:t>。</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7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公司报告期未出售资产。</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公司报告期未发生企业合并情况。</w:t>
      </w:r>
    </w:p>
    <w:p>
      <w:pPr>
        <w:spacing w:line="240" w:lineRule="auto" w:before="12"/>
        <w:rPr>
          <w:rFonts w:ascii="宋体" w:hAnsi="宋体" w:cs="宋体" w:eastAsia="宋体" w:hint="default"/>
          <w:sz w:val="20"/>
          <w:szCs w:val="20"/>
        </w:rPr>
      </w:pPr>
    </w:p>
    <w:p>
      <w:pPr>
        <w:pStyle w:val="Heading3"/>
        <w:spacing w:line="259" w:lineRule="auto"/>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74"/>
        </w:rPr>
        <w:t> </w:t>
      </w:r>
      <w:r>
        <w:rPr>
          <w:spacing w:val="-74"/>
        </w:rPr>
      </w:r>
      <w:r>
        <w:rPr/>
        <w:t>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五、公司股权激励的实施情况及其影响</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3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59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48"/>
        <w:gridCol w:w="764"/>
        <w:gridCol w:w="748"/>
        <w:gridCol w:w="746"/>
        <w:gridCol w:w="750"/>
        <w:gridCol w:w="743"/>
        <w:gridCol w:w="745"/>
        <w:gridCol w:w="745"/>
        <w:gridCol w:w="745"/>
        <w:gridCol w:w="745"/>
        <w:gridCol w:w="750"/>
        <w:gridCol w:w="750"/>
        <w:gridCol w:w="592"/>
      </w:tblGrid>
      <w:tr>
        <w:trPr>
          <w:trHeight w:val="1337" w:hRule="exact"/>
        </w:trPr>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6" w:right="107"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7"/>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8" w:right="9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8"/>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5" w:right="95"/>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7" w:right="96"/>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7" w:right="96"/>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20"/>
              <w:ind w:left="22" w:right="-8"/>
              <w:jc w:val="left"/>
              <w:rPr>
                <w:rFonts w:ascii="宋体" w:hAnsi="宋体" w:cs="宋体" w:eastAsia="宋体" w:hint="default"/>
                <w:sz w:val="18"/>
                <w:szCs w:val="18"/>
              </w:rPr>
            </w:pPr>
            <w:r>
              <w:rPr>
                <w:rFonts w:ascii="宋体" w:hAnsi="宋体" w:cs="宋体" w:eastAsia="宋体" w:hint="default"/>
                <w:sz w:val="18"/>
                <w:szCs w:val="18"/>
              </w:rPr>
              <w:t>（万元）</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7" w:right="96"/>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7" w:right="96"/>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9" w:right="98"/>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0" w:right="109"/>
              <w:jc w:val="left"/>
              <w:rPr>
                <w:rFonts w:ascii="宋体" w:hAnsi="宋体" w:cs="宋体" w:eastAsia="宋体" w:hint="default"/>
                <w:sz w:val="18"/>
                <w:szCs w:val="18"/>
              </w:rPr>
            </w:pPr>
            <w:r>
              <w:rPr>
                <w:rFonts w:ascii="宋体" w:hAnsi="宋体" w:cs="宋体" w:eastAsia="宋体" w:hint="default"/>
                <w:sz w:val="18"/>
                <w:szCs w:val="18"/>
              </w:rPr>
              <w:t>披露 索引</w:t>
            </w:r>
          </w:p>
        </w:tc>
      </w:tr>
      <w:tr>
        <w:trPr>
          <w:trHeight w:val="2234" w:hRule="exact"/>
        </w:trPr>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华峰集 团有限 公司</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16" w:lineRule="auto"/>
              <w:ind w:left="22" w:right="191"/>
              <w:jc w:val="both"/>
              <w:rPr>
                <w:rFonts w:ascii="宋体" w:hAnsi="宋体" w:cs="宋体" w:eastAsia="宋体" w:hint="default"/>
                <w:sz w:val="18"/>
                <w:szCs w:val="18"/>
              </w:rPr>
            </w:pPr>
            <w:r>
              <w:rPr>
                <w:rFonts w:ascii="宋体" w:hAnsi="宋体" w:cs="宋体" w:eastAsia="宋体" w:hint="default"/>
                <w:sz w:val="18"/>
                <w:szCs w:val="18"/>
              </w:rPr>
              <w:t>同一实 际控制 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73"/>
              <w:jc w:val="left"/>
              <w:rPr>
                <w:rFonts w:ascii="宋体" w:hAnsi="宋体" w:cs="宋体" w:eastAsia="宋体" w:hint="default"/>
                <w:sz w:val="18"/>
                <w:szCs w:val="18"/>
              </w:rPr>
            </w:pPr>
            <w:r>
              <w:rPr>
                <w:rFonts w:ascii="宋体" w:hAnsi="宋体" w:cs="宋体" w:eastAsia="宋体" w:hint="default"/>
                <w:sz w:val="18"/>
                <w:szCs w:val="18"/>
              </w:rPr>
              <w:t>购买股 权</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12"/>
              <w:jc w:val="both"/>
              <w:rPr>
                <w:rFonts w:ascii="宋体" w:hAnsi="宋体" w:cs="宋体" w:eastAsia="宋体" w:hint="default"/>
                <w:sz w:val="18"/>
                <w:szCs w:val="18"/>
              </w:rPr>
            </w:pPr>
            <w:r>
              <w:rPr>
                <w:rFonts w:ascii="宋体" w:hAnsi="宋体" w:cs="宋体" w:eastAsia="宋体" w:hint="default"/>
                <w:sz w:val="18"/>
                <w:szCs w:val="18"/>
              </w:rPr>
              <w:t>购买江 苏华峰 化学有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p>
            <w:pPr>
              <w:pStyle w:val="TableParagraph"/>
              <w:spacing w:line="240" w:lineRule="auto"/>
              <w:ind w:left="22" w:right="0"/>
              <w:jc w:val="both"/>
              <w:rPr>
                <w:rFonts w:ascii="宋体" w:hAnsi="宋体" w:cs="宋体" w:eastAsia="宋体" w:hint="default"/>
                <w:sz w:val="18"/>
                <w:szCs w:val="18"/>
              </w:rPr>
            </w:pPr>
            <w:r>
              <w:rPr>
                <w:rFonts w:ascii="宋体" w:hAnsi="宋体" w:cs="宋体" w:eastAsia="宋体" w:hint="default"/>
                <w:sz w:val="18"/>
                <w:szCs w:val="18"/>
              </w:rPr>
              <w:t>权</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6" w:lineRule="auto"/>
              <w:ind w:left="22" w:right="175"/>
              <w:jc w:val="both"/>
              <w:rPr>
                <w:rFonts w:ascii="宋体" w:hAnsi="宋体" w:cs="宋体" w:eastAsia="宋体" w:hint="default"/>
                <w:sz w:val="18"/>
                <w:szCs w:val="18"/>
              </w:rPr>
            </w:pPr>
            <w:r>
              <w:rPr>
                <w:rFonts w:ascii="宋体" w:hAnsi="宋体" w:cs="宋体" w:eastAsia="宋体" w:hint="default"/>
                <w:sz w:val="18"/>
                <w:szCs w:val="18"/>
              </w:rPr>
              <w:t>以评估 报告为 定价基 础</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5,485.35</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5,827.42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5,827.42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5,827.42</w:t>
            </w:r>
          </w:p>
        </w:tc>
        <w:tc>
          <w:tcPr>
            <w:tcW w:w="7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6" w:lineRule="auto"/>
              <w:ind w:left="22" w:right="170"/>
              <w:jc w:val="left"/>
              <w:rPr>
                <w:rFonts w:ascii="宋体" w:hAnsi="宋体" w:cs="宋体" w:eastAsia="宋体" w:hint="default"/>
                <w:sz w:val="18"/>
                <w:szCs w:val="18"/>
              </w:rPr>
            </w:pPr>
            <w:r>
              <w:rPr>
                <w:rFonts w:ascii="宋体" w:hAnsi="宋体" w:cs="宋体" w:eastAsia="宋体" w:hint="default"/>
                <w:sz w:val="18"/>
                <w:szCs w:val="18"/>
              </w:rPr>
              <w:t>现金结 算</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巨潮 资讯 网</w:t>
            </w:r>
          </w:p>
          <w:p>
            <w:pPr>
              <w:pStyle w:val="TableParagraph"/>
              <w:spacing w:line="240" w:lineRule="auto" w:before="58"/>
              <w:ind w:left="22" w:right="0"/>
              <w:jc w:val="left"/>
              <w:rPr>
                <w:rFonts w:ascii="Times New Roman" w:hAnsi="Times New Roman" w:cs="Times New Roman" w:eastAsia="Times New Roman" w:hint="default"/>
                <w:sz w:val="18"/>
                <w:szCs w:val="18"/>
              </w:rPr>
            </w:pPr>
            <w:r>
              <w:rPr>
                <w:rFonts w:ascii="Times New Roman"/>
                <w:sz w:val="18"/>
              </w:rPr>
              <w:t>2014-0</w:t>
            </w:r>
          </w:p>
          <w:p>
            <w:pPr>
              <w:pStyle w:val="TableParagraph"/>
              <w:spacing w:line="309" w:lineRule="auto" w:before="65"/>
              <w:ind w:left="22" w:right="152"/>
              <w:jc w:val="both"/>
              <w:rPr>
                <w:rFonts w:ascii="宋体" w:hAnsi="宋体" w:cs="宋体" w:eastAsia="宋体" w:hint="default"/>
                <w:sz w:val="18"/>
                <w:szCs w:val="18"/>
              </w:rPr>
            </w:pPr>
            <w:r>
              <w:rPr>
                <w:rFonts w:ascii="Times New Roman" w:hAnsi="Times New Roman" w:cs="Times New Roman" w:eastAsia="Times New Roman" w:hint="default"/>
                <w:sz w:val="18"/>
                <w:szCs w:val="18"/>
              </w:rPr>
              <w:t>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关 于全 资子</w:t>
            </w:r>
          </w:p>
        </w:tc>
      </w:tr>
    </w:tbl>
    <w:p>
      <w:pPr>
        <w:spacing w:after="0" w:line="309"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48"/>
        <w:gridCol w:w="764"/>
        <w:gridCol w:w="748"/>
        <w:gridCol w:w="746"/>
        <w:gridCol w:w="750"/>
        <w:gridCol w:w="743"/>
        <w:gridCol w:w="745"/>
        <w:gridCol w:w="745"/>
        <w:gridCol w:w="745"/>
        <w:gridCol w:w="745"/>
        <w:gridCol w:w="750"/>
        <w:gridCol w:w="750"/>
        <w:gridCol w:w="592"/>
      </w:tblGrid>
      <w:tr>
        <w:trPr>
          <w:trHeight w:val="1922" w:hRule="exact"/>
        </w:trPr>
        <w:tc>
          <w:tcPr>
            <w:tcW w:w="74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48"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45"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750"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97"/>
              <w:jc w:val="both"/>
              <w:rPr>
                <w:rFonts w:ascii="宋体" w:hAnsi="宋体" w:cs="宋体" w:eastAsia="宋体" w:hint="default"/>
                <w:sz w:val="18"/>
                <w:szCs w:val="18"/>
              </w:rPr>
            </w:pPr>
            <w:r>
              <w:rPr>
                <w:rFonts w:ascii="宋体" w:hAnsi="宋体" w:cs="宋体" w:eastAsia="宋体" w:hint="default"/>
                <w:sz w:val="18"/>
                <w:szCs w:val="18"/>
              </w:rPr>
              <w:t>公司 收购 关联 公司 的公 告</w:t>
            </w:r>
          </w:p>
        </w:tc>
      </w:tr>
      <w:tr>
        <w:trPr>
          <w:trHeight w:val="714" w:hRule="exact"/>
        </w:trPr>
        <w:tc>
          <w:tcPr>
            <w:tcW w:w="300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较大的原因（若有）</w:t>
            </w:r>
          </w:p>
        </w:tc>
        <w:tc>
          <w:tcPr>
            <w:tcW w:w="6565"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评估增值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万元，增值率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6.24%</w:t>
            </w:r>
          </w:p>
        </w:tc>
      </w:tr>
      <w:tr>
        <w:trPr>
          <w:trHeight w:val="1026" w:hRule="exact"/>
        </w:trPr>
        <w:tc>
          <w:tcPr>
            <w:tcW w:w="300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91"/>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565" w:type="dxa"/>
            <w:gridSpan w:val="9"/>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0"/>
              <w:jc w:val="both"/>
              <w:rPr>
                <w:rFonts w:ascii="宋体" w:hAnsi="宋体" w:cs="宋体" w:eastAsia="宋体" w:hint="default"/>
                <w:sz w:val="18"/>
                <w:szCs w:val="18"/>
              </w:rPr>
            </w:pPr>
            <w:r>
              <w:rPr>
                <w:rFonts w:ascii="宋体" w:hAnsi="宋体" w:cs="宋体" w:eastAsia="宋体" w:hint="default"/>
                <w:sz w:val="18"/>
                <w:szCs w:val="18"/>
              </w:rPr>
              <w:t>本次交易完成后，利用江苏华峰化学有限公司目前的土地及房屋解决江苏超纤员工 食宿等后勤保障问题，有助于节省时间成本并对项目建设提供支持。可避免潜在的 经常性关联交易。本次交易不会对上市公司业绩产生较大影响。</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公司报告期未发生共同对外投资的重大关联交易。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七、重大合同及其履行情况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after="0" w:line="338"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2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公司报告期不存在衍生品投资。</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43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、公司或持股</w:t>
      </w:r>
      <w:r>
        <w:rPr>
          <w:spacing w:val="-62"/>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080"/>
        <w:gridCol w:w="900"/>
        <w:gridCol w:w="4860"/>
        <w:gridCol w:w="883"/>
        <w:gridCol w:w="900"/>
        <w:gridCol w:w="900"/>
      </w:tblGrid>
      <w:tr>
        <w:trPr>
          <w:trHeight w:val="40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48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股权激励承 诺</w:t>
            </w:r>
          </w:p>
        </w:tc>
        <w:tc>
          <w:tcPr>
            <w:tcW w:w="900" w:type="dxa"/>
            <w:tcBorders>
              <w:top w:val="single" w:sz="4" w:space="0" w:color="000000"/>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收购报告书 或权益变动 报告书中所</w:t>
            </w:r>
          </w:p>
        </w:tc>
        <w:tc>
          <w:tcPr>
            <w:tcW w:w="900" w:type="dxa"/>
            <w:tcBorders>
              <w:top w:val="single" w:sz="4" w:space="0" w:color="000000"/>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2.759399pt;margin-top:177.600006pt;width:139.9pt;height:550.050pt;mso-position-horizontal-relative:page;mso-position-vertical-relative:page;z-index:-62579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14"/>
                      <w:szCs w:val="14"/>
                    </w:rPr>
                  </w:pPr>
                </w:p>
                <w:p>
                  <w:pPr>
                    <w:pStyle w:val="BodyText"/>
                    <w:spacing w:line="240" w:lineRule="auto"/>
                    <w:ind w:left="0" w:right="0"/>
                    <w:jc w:val="left"/>
                  </w:pPr>
                  <w:r>
                    <w:rPr/>
                    <w:t>自本承诺函签署之日起，</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1620" w:right="0"/>
                    <w:jc w:val="left"/>
                  </w:pPr>
                  <w:r>
                    <w:rPr/>
                    <w:t>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1620" w:right="0"/>
                    <w:jc w:val="left"/>
                  </w:pPr>
                  <w:r>
                    <w:rPr/>
                    <w:t>人）</w:t>
                  </w:r>
                </w:p>
              </w:txbxContent>
            </v:textbox>
            <w10:wrap type="none"/>
          </v:shape>
        </w:pict>
      </w:r>
      <w:r>
        <w:rPr/>
        <w:pict>
          <v:group style="position:absolute;margin-left:397.320007pt;margin-top:177.600006pt;width:45.3pt;height:550.050pt;mso-position-horizontal-relative:page;mso-position-vertical-relative:page;z-index:-625768" coordorigin="7946,3552" coordsize="906,11001">
            <v:group style="position:absolute;left:7946;top:14200;width:23;height:353" coordorigin="7946,14200" coordsize="23,353">
              <v:shape style="position:absolute;left:7946;top:14200;width:23;height:353" coordorigin="7946,14200" coordsize="23,353" path="m7946,14552l7969,14552,7969,14200,7946,14200,7946,14552xe" filled="true" fillcolor="#ffffff" stroked="false">
                <v:path arrowok="t"/>
                <v:fill type="solid"/>
              </v:shape>
            </v:group>
            <v:group style="position:absolute;left:7979;top:3552;width:874;height:11001" coordorigin="7979,3552" coordsize="874,11001">
              <v:shape style="position:absolute;left:7979;top:3552;width:874;height:11001" coordorigin="7979,3552" coordsize="874,11001" path="m7979,14552l8852,14552,8852,3552,7979,3552,7979,14552xe" filled="true" fillcolor="#ffffff" stroked="false">
                <v:path arrowok="t"/>
                <v:fill type="solid"/>
              </v:shape>
            </v:group>
            <v:group style="position:absolute;left:8002;top:8700;width:827;height:352" coordorigin="8002,8700" coordsize="827,352">
              <v:shape style="position:absolute;left:8002;top:8700;width:827;height:352" coordorigin="8002,8700" coordsize="827,352" path="m8002,9052l8828,9052,8828,8700,8002,8700,8002,9052xe" filled="true" fillcolor="#ffffff" stroked="false">
                <v:path arrowok="t"/>
                <v:fill type="solid"/>
              </v:shape>
            </v:group>
            <v:group style="position:absolute;left:8002;top:9052;width:827;height:353" coordorigin="8002,9052" coordsize="827,353">
              <v:shape style="position:absolute;left:8002;top:9052;width:827;height:353" coordorigin="8002,9052" coordsize="827,353" path="m8002,9404l8828,9404,8828,9052,8002,9052,8002,94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900"/>
        <w:gridCol w:w="4860"/>
        <w:gridCol w:w="883"/>
        <w:gridCol w:w="900"/>
        <w:gridCol w:w="900"/>
      </w:tblGrid>
      <w:tr>
        <w:trPr>
          <w:trHeight w:val="362"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作承诺</w:t>
            </w:r>
          </w:p>
        </w:tc>
        <w:tc>
          <w:tcPr>
            <w:tcW w:w="900" w:type="dxa"/>
            <w:tcBorders>
              <w:top w:val="single" w:sz="4" w:space="0" w:color="000000"/>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资产重组时 所作承诺</w:t>
            </w:r>
          </w:p>
        </w:tc>
        <w:tc>
          <w:tcPr>
            <w:tcW w:w="900" w:type="dxa"/>
            <w:tcBorders>
              <w:top w:val="single" w:sz="4" w:space="0" w:color="000000"/>
              <w:left w:val="single" w:sz="4" w:space="0" w:color="000000"/>
              <w:bottom w:val="single" w:sz="4" w:space="0" w:color="000000"/>
              <w:right w:val="single" w:sz="4" w:space="0" w:color="000000"/>
            </w:tcBorders>
          </w:tcPr>
          <w:p>
            <w:pPr/>
          </w:p>
        </w:tc>
        <w:tc>
          <w:tcPr>
            <w:tcW w:w="486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8"/>
              <w:ind w:left="22" w:right="145"/>
              <w:jc w:val="both"/>
              <w:rPr>
                <w:rFonts w:ascii="宋体" w:hAnsi="宋体" w:cs="宋体" w:eastAsia="宋体" w:hint="default"/>
                <w:sz w:val="18"/>
                <w:szCs w:val="18"/>
              </w:rPr>
            </w:pPr>
            <w:r>
              <w:rPr>
                <w:rFonts w:ascii="宋体" w:hAnsi="宋体" w:cs="宋体" w:eastAsia="宋体" w:hint="default"/>
                <w:sz w:val="18"/>
                <w:szCs w:val="18"/>
              </w:rPr>
              <w:t>首次公开发 行或再融资 时所作承诺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华峰集团 有限公司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pacing w:val="-3"/>
                <w:sz w:val="18"/>
                <w:szCs w:val="18"/>
              </w:rPr>
              <w:t>自公司股票上市之日起三十六个月内，不转让或者委托他人管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理其已直接和间接持有的本公司股份，也不由本公司回购该部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分股份。</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11010" w:hRule="exact"/>
        </w:trPr>
        <w:tc>
          <w:tcPr>
            <w:tcW w:w="1080" w:type="dxa"/>
            <w:vMerge/>
            <w:tcBorders>
              <w:left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4"/>
                <w:szCs w:val="24"/>
              </w:rPr>
            </w:pPr>
          </w:p>
          <w:p>
            <w:pPr>
              <w:pStyle w:val="TableParagraph"/>
              <w:spacing w:line="316" w:lineRule="auto"/>
              <w:ind w:left="22" w:right="-40"/>
              <w:jc w:val="left"/>
              <w:rPr>
                <w:rFonts w:ascii="宋体" w:hAnsi="宋体" w:cs="宋体" w:eastAsia="宋体" w:hint="default"/>
                <w:sz w:val="18"/>
                <w:szCs w:val="18"/>
              </w:rPr>
            </w:pPr>
            <w:r>
              <w:rPr>
                <w:rFonts w:ascii="宋体" w:hAnsi="宋体" w:cs="宋体" w:eastAsia="宋体" w:hint="default"/>
                <w:sz w:val="18"/>
                <w:szCs w:val="18"/>
              </w:rPr>
              <w:t>华峰集团 有限公司、 </w:t>
            </w:r>
            <w:r>
              <w:rPr>
                <w:rFonts w:ascii="宋体" w:hAnsi="宋体" w:cs="宋体" w:eastAsia="宋体" w:hint="default"/>
                <w:spacing w:val="-12"/>
                <w:sz w:val="18"/>
                <w:szCs w:val="18"/>
              </w:rPr>
              <w:t>尤小平、尤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金焕、尤小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华、尤小 燕、尤小 </w:t>
            </w:r>
            <w:r>
              <w:rPr>
                <w:rFonts w:ascii="宋体" w:hAnsi="宋体" w:cs="宋体" w:eastAsia="宋体" w:hint="default"/>
                <w:spacing w:val="-12"/>
                <w:sz w:val="18"/>
                <w:szCs w:val="18"/>
              </w:rPr>
              <w:t>玲、陈林真</w:t>
            </w:r>
          </w:p>
        </w:tc>
        <w:tc>
          <w:tcPr>
            <w:tcW w:w="4860" w:type="dxa"/>
            <w:tcBorders>
              <w:top w:val="single" w:sz="4" w:space="0" w:color="000000"/>
              <w:left w:val="single" w:sz="9" w:space="0" w:color="FFFFFF"/>
              <w:bottom w:val="single" w:sz="4" w:space="0" w:color="000000"/>
              <w:right w:val="single" w:sz="4" w:space="0" w:color="000000"/>
            </w:tcBorders>
          </w:tcPr>
          <w:p>
            <w:pPr>
              <w:pStyle w:val="TableParagraph"/>
              <w:spacing w:line="316" w:lineRule="auto" w:before="51"/>
              <w:ind w:left="16" w:right="-33"/>
              <w:jc w:val="left"/>
              <w:rPr>
                <w:rFonts w:ascii="宋体" w:hAnsi="宋体" w:cs="宋体" w:eastAsia="宋体" w:hint="default"/>
                <w:sz w:val="18"/>
                <w:szCs w:val="18"/>
              </w:rPr>
            </w:pPr>
            <w:r>
              <w:rPr>
                <w:rFonts w:ascii="宋体" w:hAnsi="宋体" w:cs="宋体" w:eastAsia="宋体" w:hint="default"/>
                <w:spacing w:val="-3"/>
                <w:sz w:val="18"/>
                <w:szCs w:val="18"/>
              </w:rPr>
              <w:t>一、为避免今后与公司之间可能出现的同业竞争，维护公司全</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体股东的利益和保证公司的长期稳定发展，公司的第一大股东</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华峰集团以及本公司的实际控制人尤小平、尤金焕、尤小华、 </w:t>
            </w:r>
            <w:r>
              <w:rPr>
                <w:rFonts w:ascii="宋体" w:hAnsi="宋体" w:cs="宋体" w:eastAsia="宋体" w:hint="default"/>
                <w:spacing w:val="-3"/>
                <w:sz w:val="18"/>
                <w:szCs w:val="18"/>
              </w:rPr>
              <w:t>尤小玲、尤小燕、陈林真分别向本公司出具了《关于避免同业</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5"/>
                <w:sz w:val="18"/>
                <w:szCs w:val="18"/>
              </w:rPr>
              <w:t>竞争的承诺函》，承诺函的主要内容如下：</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、于本承诺函签</w:t>
            </w:r>
            <w:r>
              <w:rPr>
                <w:rFonts w:ascii="宋体" w:hAnsi="宋体" w:cs="宋体" w:eastAsia="宋体" w:hint="default"/>
                <w:spacing w:val="-85"/>
                <w:sz w:val="18"/>
                <w:szCs w:val="18"/>
              </w:rPr>
              <w:t> </w:t>
            </w:r>
            <w:r>
              <w:rPr>
                <w:rFonts w:ascii="宋体" w:hAnsi="宋体" w:cs="宋体" w:eastAsia="宋体" w:hint="default"/>
                <w:spacing w:val="-3"/>
                <w:sz w:val="18"/>
                <w:szCs w:val="18"/>
              </w:rPr>
              <w:t>署之日，本公司、本公司（本人）直接或间接控制的除股份公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司外的其他企业及本公司（本人）参股企业均未直接或间接生</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产、开发任何与股份公司生产的产品构成竞争或可能构成竞争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的产品，未直接或间接从事任何与股份公司经营的业务构成竞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争或可能构成竞争的业务或活动；</w:t>
            </w:r>
            <w:r>
              <w:rPr>
                <w:rFonts w:ascii="宋体" w:hAnsi="宋体" w:cs="宋体" w:eastAsia="宋体" w:hint="default"/>
                <w:spacing w:val="-7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3"/>
                <w:sz w:val="18"/>
                <w:szCs w:val="18"/>
              </w:rPr>
              <w:t>本公司、本公司（本人）直接或间接控制的除股份公司外的其</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他企业及本公司（本人）参股企业将不直接或间接生产、开发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任何与股份公司生产的产品构成竞争或可能构成竞争的产品， 不直接或间接从事任何与股份公司经营的业务构成竞争或可 能构成竞争的业务或活动；</w:t>
            </w:r>
            <w:r>
              <w:rPr>
                <w:rFonts w:ascii="宋体" w:hAnsi="宋体" w:cs="宋体" w:eastAsia="宋体" w:hint="default"/>
                <w:spacing w:val="-18"/>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、自本承诺函签署之日起，如股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份公司进一步拓展其产品和业务范围，本公司、本公司（本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直接或间接控制的除股份公司外的其他企业及本公司（本人） </w:t>
            </w:r>
            <w:r>
              <w:rPr>
                <w:rFonts w:ascii="宋体" w:hAnsi="宋体" w:cs="宋体" w:eastAsia="宋体" w:hint="default"/>
                <w:spacing w:val="-3"/>
                <w:sz w:val="18"/>
                <w:szCs w:val="18"/>
              </w:rPr>
              <w:t>参股企业将不与股份公司拓展后的产品或业务相竞争；若与股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6"/>
                <w:sz w:val="18"/>
                <w:szCs w:val="18"/>
              </w:rPr>
              <w:t>份公司拓展后的产品或业务产生竞争，本公司、本公司（本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直接或间接控制的除股份公司外的其他企业及本公司（本人） </w:t>
            </w:r>
            <w:r>
              <w:rPr>
                <w:rFonts w:ascii="宋体" w:hAnsi="宋体" w:cs="宋体" w:eastAsia="宋体" w:hint="default"/>
                <w:spacing w:val="-3"/>
                <w:sz w:val="18"/>
                <w:szCs w:val="18"/>
              </w:rPr>
              <w:t>参股企业将停止生产或经营相竞争的产品或业务，或者将相竞</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争的产品或业务纳入到股份公司的生产或经营，或者将相竞争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的产品或业务转让给无关联关系的第三方；如本承诺函被证明</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是不真实或未被遵守，本公司（本人）将向股份公司赔偿一切</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直接和间接损失。二、第一大股东华峰集团以及实际控制人尤</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3"/>
                <w:sz w:val="18"/>
                <w:szCs w:val="18"/>
              </w:rPr>
              <w:t>小平、尤金焕、尤小华、陈林真、尤小玲、尤小燕已经出具了</w:t>
            </w:r>
          </w:p>
          <w:p>
            <w:pPr>
              <w:pStyle w:val="TableParagraph"/>
              <w:spacing w:line="314" w:lineRule="auto" w:before="19"/>
              <w:ind w:left="16" w:right="-33"/>
              <w:jc w:val="left"/>
              <w:rPr>
                <w:rFonts w:ascii="宋体" w:hAnsi="宋体" w:cs="宋体" w:eastAsia="宋体" w:hint="default"/>
                <w:sz w:val="18"/>
                <w:szCs w:val="18"/>
              </w:rPr>
            </w:pPr>
            <w:r>
              <w:rPr>
                <w:rFonts w:ascii="宋体" w:hAnsi="宋体" w:cs="宋体" w:eastAsia="宋体" w:hint="default"/>
                <w:spacing w:val="-4"/>
                <w:sz w:val="18"/>
                <w:szCs w:val="18"/>
              </w:rPr>
              <w:t>《减少及规范关联交易承诺函》，做出如下承诺和保证：</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宋体" w:hAnsi="宋体" w:cs="宋体" w:eastAsia="宋体" w:hint="default"/>
                <w:spacing w:val="-80"/>
                <w:sz w:val="18"/>
                <w:szCs w:val="18"/>
              </w:rPr>
              <w:t> </w:t>
            </w:r>
            <w:r>
              <w:rPr>
                <w:rFonts w:ascii="宋体" w:hAnsi="宋体" w:cs="宋体" w:eastAsia="宋体" w:hint="default"/>
                <w:spacing w:val="-3"/>
                <w:sz w:val="18"/>
                <w:szCs w:val="18"/>
              </w:rPr>
              <w:t>华峰集团、尤小平、尤金焕、尤小华、陈林真、尤小玲、尤小</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燕及其控制的其他企业将尽量避免与股份公司及其控股或控 制的子公司之间发生关联交易。 </w:t>
            </w:r>
            <w:r>
              <w:rPr>
                <w:rFonts w:ascii="Times New Roman" w:hAnsi="Times New Roman" w:cs="Times New Roman" w:eastAsia="Times New Roman" w:hint="default"/>
                <w:sz w:val="18"/>
                <w:szCs w:val="18"/>
              </w:rPr>
              <w:t>2</w:t>
            </w:r>
            <w:r>
              <w:rPr>
                <w:rFonts w:ascii="宋体" w:hAnsi="宋体" w:cs="宋体" w:eastAsia="宋体" w:hint="default"/>
                <w:sz w:val="18"/>
                <w:szCs w:val="18"/>
              </w:rPr>
              <w:t>、如果关联交易难以避免， </w:t>
            </w:r>
            <w:r>
              <w:rPr>
                <w:rFonts w:ascii="宋体" w:hAnsi="宋体" w:cs="宋体" w:eastAsia="宋体" w:hint="default"/>
                <w:spacing w:val="-3"/>
                <w:sz w:val="18"/>
                <w:szCs w:val="18"/>
              </w:rPr>
              <w:t>交易双方将严格按照正常商业行为准则进行。关联交易的定价</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政策遵循市场公平、公正、公开的原则，交易价格依据与市场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3"/>
                <w:sz w:val="18"/>
                <w:szCs w:val="18"/>
              </w:rPr>
              <w:t>独立第三方交易价格确定。无市场价格可比较或定价受到限制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的重大关联交易，按照交易的商品或劳务的成本基础上加合理</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利润的标准予以确定交易价格，以保证交易价格的公允性。</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714"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3"/>
              <w:jc w:val="left"/>
              <w:rPr>
                <w:rFonts w:ascii="宋体" w:hAnsi="宋体" w:cs="宋体" w:eastAsia="宋体" w:hint="default"/>
                <w:sz w:val="18"/>
                <w:szCs w:val="18"/>
              </w:rPr>
            </w:pPr>
            <w:r>
              <w:rPr>
                <w:rFonts w:ascii="宋体" w:hAnsi="宋体" w:cs="宋体" w:eastAsia="宋体" w:hint="default"/>
                <w:spacing w:val="-12"/>
                <w:sz w:val="18"/>
                <w:szCs w:val="18"/>
              </w:rPr>
              <w:t>尤小平、尤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金焕、尤小</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0"/>
              <w:jc w:val="left"/>
              <w:rPr>
                <w:rFonts w:ascii="宋体" w:hAnsi="宋体" w:cs="宋体" w:eastAsia="宋体" w:hint="default"/>
                <w:sz w:val="18"/>
                <w:szCs w:val="18"/>
              </w:rPr>
            </w:pPr>
            <w:r>
              <w:rPr>
                <w:rFonts w:ascii="宋体" w:hAnsi="宋体" w:cs="宋体" w:eastAsia="宋体" w:hint="default"/>
                <w:spacing w:val="-3"/>
                <w:sz w:val="18"/>
                <w:szCs w:val="18"/>
              </w:rPr>
              <w:t>本公司董事长尤小平、监事尤小玲以及其直系亲属尤金焕、尤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小华、尤小燕、陈林真（以上六人为本公司实际控制人）均特</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已履行承 诺</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9.759399pt;margin-top:442.799988pt;width:112.9pt;height:175.65pt;mso-position-horizontal-relative:page;mso-position-vertical-relative:page;z-index:-6257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firstLine="538"/>
                    <w:jc w:val="left"/>
                  </w:pPr>
                  <w:r>
                    <w:rPr/>
                    <w:t>公司承诺：</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pStyle w:val="BodyText"/>
                    <w:spacing w:line="240" w:lineRule="auto"/>
                    <w:ind w:left="0" w:right="0"/>
                    <w:jc w:val="left"/>
                  </w:pPr>
                  <w:r>
                    <w:rPr/>
                    <w:t>不损害双方利益。</w:t>
                  </w:r>
                </w:p>
              </w:txbxContent>
            </v:textbox>
            <w10:wrap type="none"/>
          </v:shape>
        </w:pict>
      </w:r>
      <w:r>
        <w:rPr/>
        <w:pict>
          <v:group style="position:absolute;margin-left:398.940002pt;margin-top:442.799988pt;width:43.7pt;height:175.65pt;mso-position-horizontal-relative:page;mso-position-vertical-relative:page;z-index:-625696" coordorigin="7979,8856" coordsize="874,3513">
            <v:group style="position:absolute;left:7979;top:8856;width:874;height:3513" coordorigin="7979,8856" coordsize="874,3513">
              <v:shape style="position:absolute;left:7979;top:8856;width:874;height:3513" coordorigin="7979,8856" coordsize="874,3513" path="m7979,12368l8852,12368,8852,8856,7979,8856,7979,12368xe" filled="true" fillcolor="#ffffff" stroked="false">
                <v:path arrowok="t"/>
                <v:fill type="solid"/>
              </v:shape>
            </v:group>
            <v:group style="position:absolute;left:8002;top:10260;width:827;height:352" coordorigin="8002,10260" coordsize="827,352">
              <v:shape style="position:absolute;left:8002;top:10260;width:827;height:352" coordorigin="8002,10260" coordsize="827,352" path="m8002,10612l8828,10612,8828,10260,8002,10260,8002,10612xe" filled="true" fillcolor="#ffffff" stroked="false">
                <v:path arrowok="t"/>
                <v:fill type="solid"/>
              </v:shape>
            </v:group>
            <v:group style="position:absolute;left:8002;top:10612;width:827;height:353" coordorigin="8002,10612" coordsize="827,353">
              <v:shape style="position:absolute;left:8002;top:10612;width:827;height:353" coordorigin="8002,10612" coordsize="827,353" path="m8002,10964l8828,10964,8828,10612,8002,10612,8002,1096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80"/>
        <w:gridCol w:w="900"/>
        <w:gridCol w:w="4860"/>
        <w:gridCol w:w="883"/>
        <w:gridCol w:w="900"/>
        <w:gridCol w:w="900"/>
      </w:tblGrid>
      <w:tr>
        <w:trPr>
          <w:trHeight w:val="2234" w:hRule="exact"/>
        </w:trPr>
        <w:tc>
          <w:tcPr>
            <w:tcW w:w="1080" w:type="dxa"/>
            <w:vMerge w:val="restart"/>
            <w:tcBorders>
              <w:top w:val="single" w:sz="4" w:space="0" w:color="000000"/>
              <w:left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华、尤小 燕、尤小 </w:t>
            </w:r>
            <w:r>
              <w:rPr>
                <w:rFonts w:ascii="宋体" w:hAnsi="宋体" w:cs="宋体" w:eastAsia="宋体" w:hint="default"/>
                <w:spacing w:val="-12"/>
                <w:sz w:val="18"/>
                <w:szCs w:val="18"/>
              </w:rPr>
              <w:t>玲、陈林真</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33"/>
              <w:jc w:val="left"/>
              <w:rPr>
                <w:rFonts w:ascii="宋体" w:hAnsi="宋体" w:cs="宋体" w:eastAsia="宋体" w:hint="default"/>
                <w:sz w:val="18"/>
                <w:szCs w:val="18"/>
              </w:rPr>
            </w:pPr>
            <w:r>
              <w:rPr>
                <w:rFonts w:ascii="宋体" w:hAnsi="宋体" w:cs="宋体" w:eastAsia="宋体" w:hint="default"/>
                <w:spacing w:val="-3"/>
                <w:sz w:val="18"/>
                <w:szCs w:val="18"/>
              </w:rPr>
              <w:t>别承诺：在前述限售期满后，在尤小平、尤小玲任职期间，每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年转让的股份不超过其直接和间接持有发行人股份总数的百 分之二十五，并且在卖出后六个月内不再买入发行人的股份， </w:t>
            </w:r>
            <w:r>
              <w:rPr>
                <w:rFonts w:ascii="宋体" w:hAnsi="宋体" w:cs="宋体" w:eastAsia="宋体" w:hint="default"/>
                <w:spacing w:val="-3"/>
                <w:sz w:val="18"/>
                <w:szCs w:val="18"/>
              </w:rPr>
              <w:t>买入后六个月内不再卖出发行人股份；尤小平、尤小玲离职后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六个月内，不转让其直接或间接持有的发行人股份；尤小平、 尤小玲离职六个月后的十二个月内转让其直接或间接持有的 发行人股份不超过其该部分股份总数的百分之五十。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2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3"/>
                <w:sz w:val="20"/>
                <w:szCs w:val="20"/>
              </w:rPr>
              <w:pict>
                <v:group style="width:43.7pt;height:111.25pt;mso-position-horizontal-relative:char;mso-position-vertical-relative:line" coordorigin="0,0" coordsize="874,2225">
                  <v:group style="position:absolute;left:0;top:0;width:874;height:2225" coordorigin="0,0" coordsize="874,2225">
                    <v:shape style="position:absolute;left:0;top:0;width:874;height:2225" coordorigin="0,0" coordsize="874,2225" path="m0,2225l874,2225,874,0,0,0,0,2225xe" filled="true" fillcolor="#ffffff" stroked="false">
                      <v:path arrowok="t"/>
                      <v:fill type="solid"/>
                    </v:shape>
                  </v:group>
                </v:group>
              </w:pict>
            </w:r>
            <w:r>
              <w:rPr>
                <w:rFonts w:ascii="Times New Roman" w:hAnsi="Times New Roman" w:cs="Times New Roman" w:eastAsia="Times New Roman" w:hint="default"/>
                <w:position w:val="-43"/>
                <w:sz w:val="20"/>
                <w:szCs w:val="20"/>
              </w:rPr>
            </w:r>
          </w:p>
        </w:tc>
        <w:tc>
          <w:tcPr>
            <w:tcW w:w="90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r>
      <w:tr>
        <w:trPr>
          <w:trHeight w:val="3834"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45"/>
              <w:jc w:val="both"/>
              <w:rPr>
                <w:rFonts w:ascii="宋体" w:hAnsi="宋体" w:cs="宋体" w:eastAsia="宋体" w:hint="default"/>
                <w:sz w:val="18"/>
                <w:szCs w:val="18"/>
              </w:rPr>
            </w:pPr>
            <w:r>
              <w:rPr>
                <w:rFonts w:ascii="宋体" w:hAnsi="宋体" w:cs="宋体" w:eastAsia="宋体" w:hint="default"/>
                <w:sz w:val="18"/>
                <w:szCs w:val="18"/>
              </w:rPr>
              <w:t>浙江华峰 氨纶股份 有限公司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3"/>
                <w:sz w:val="18"/>
                <w:szCs w:val="18"/>
              </w:rPr>
              <w:t>一、就与公司避免同业竞争，经华峰氨纶第四届董事会第八次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会议审议通过，华峰氨纶向公司出具了《承诺函》，华峰氨纶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承诺：截至本承诺函签署之日，本公司未直接或间接从事与华</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峰超纤构成竞争的任何业务；自本承诺函签署之日起，本公司</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及下属子公司将不直接或间接从事人造革合成革（包括超细纤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维聚氨酯合成革）的生产和销售。 二、就与公司减少关联交 </w:t>
            </w:r>
            <w:r>
              <w:rPr>
                <w:rFonts w:ascii="宋体" w:hAnsi="宋体" w:cs="宋体" w:eastAsia="宋体" w:hint="default"/>
                <w:spacing w:val="-3"/>
                <w:sz w:val="18"/>
                <w:szCs w:val="18"/>
              </w:rPr>
              <w:t>易，经华峰氨纶第四届董事会第八次会议审议通过，华峰氨纶</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向公司出具了《承诺函》，华峰氨纶承诺：本公司及下属子公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司将不与华峰超纤及其子公司之间发生购销商品、提供劳务等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经常性的关联交易，尽量避免发生偶发性关联交易；确属必要</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的关联交易，须遵循公平、公正的原则，严格执行关联交易决</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策程序，保证交易公允，不损害双方利益。</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1338" w:hRule="exact"/>
        </w:trPr>
        <w:tc>
          <w:tcPr>
            <w:tcW w:w="1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5"/>
              <w:jc w:val="both"/>
              <w:rPr>
                <w:rFonts w:ascii="宋体" w:hAnsi="宋体" w:cs="宋体" w:eastAsia="宋体" w:hint="default"/>
                <w:sz w:val="18"/>
                <w:szCs w:val="18"/>
              </w:rPr>
            </w:pPr>
            <w:r>
              <w:rPr>
                <w:rFonts w:ascii="宋体" w:hAnsi="宋体" w:cs="宋体" w:eastAsia="宋体" w:hint="default"/>
                <w:sz w:val="18"/>
                <w:szCs w:val="18"/>
              </w:rPr>
              <w:t>其他对公司 中小股东所 作承诺</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上海华峰 超纤材料 股份有限 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22" w:right="23"/>
              <w:jc w:val="both"/>
              <w:rPr>
                <w:rFonts w:ascii="宋体" w:hAnsi="宋体" w:cs="宋体" w:eastAsia="宋体" w:hint="default"/>
                <w:sz w:val="18"/>
                <w:szCs w:val="18"/>
              </w:rPr>
            </w:pPr>
            <w:r>
              <w:rPr>
                <w:rFonts w:ascii="宋体" w:hAnsi="宋体" w:cs="宋体" w:eastAsia="宋体" w:hint="default"/>
                <w:sz w:val="18"/>
                <w:szCs w:val="18"/>
              </w:rPr>
              <w:t>公司承诺在使用剩余超募资金永久性补充流动资金后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 </w:t>
            </w:r>
            <w:r>
              <w:rPr>
                <w:rFonts w:ascii="宋体" w:hAnsi="宋体" w:cs="宋体" w:eastAsia="宋体" w:hint="default"/>
                <w:spacing w:val="-3"/>
                <w:sz w:val="18"/>
                <w:szCs w:val="18"/>
              </w:rPr>
              <w:t>内不进行证券投资、委托理财、衍生品投资、创业投资等高风</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险投资。</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5"/>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3522" w:hRule="exact"/>
        </w:trPr>
        <w:tc>
          <w:tcPr>
            <w:tcW w:w="1080" w:type="dxa"/>
            <w:vMerge/>
            <w:tcBorders>
              <w:left w:val="single" w:sz="4" w:space="0" w:color="000000"/>
              <w:bottom w:val="single" w:sz="4" w:space="0" w:color="000000"/>
              <w:right w:val="single" w:sz="4" w:space="0" w:color="000000"/>
            </w:tcBorders>
            <w:shd w:val="clear" w:color="auto" w:fill="D3D3D3"/>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145"/>
              <w:jc w:val="both"/>
              <w:rPr>
                <w:rFonts w:ascii="宋体" w:hAnsi="宋体" w:cs="宋体" w:eastAsia="宋体" w:hint="default"/>
                <w:sz w:val="18"/>
                <w:szCs w:val="18"/>
              </w:rPr>
            </w:pPr>
            <w:r>
              <w:rPr>
                <w:rFonts w:ascii="宋体" w:hAnsi="宋体" w:cs="宋体" w:eastAsia="宋体" w:hint="default"/>
                <w:sz w:val="18"/>
                <w:szCs w:val="18"/>
              </w:rPr>
              <w:t>上海华峰 超纤材料 股份有限 公司</w:t>
            </w:r>
          </w:p>
        </w:tc>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一、就与华峰氨纶避免同业竞争，经公司第一届董事会第九次</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6"/>
                <w:sz w:val="18"/>
                <w:szCs w:val="18"/>
              </w:rPr>
              <w:t>会议审议通过，公司向华峰氨纶出具了《承诺函》，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截至本承诺函签署之日，本公司未直接或间接从事与华峰氨纶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3"/>
                <w:sz w:val="18"/>
                <w:szCs w:val="18"/>
              </w:rPr>
              <w:t>构成竞争的任何业务；自本承诺函签署之日起，本公司及下属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子公司将不直接或间接从事氨纶产品的生产和销售。 二、就 </w:t>
            </w:r>
            <w:r>
              <w:rPr>
                <w:rFonts w:ascii="宋体" w:hAnsi="宋体" w:cs="宋体" w:eastAsia="宋体" w:hint="default"/>
                <w:spacing w:val="-3"/>
                <w:sz w:val="18"/>
                <w:szCs w:val="18"/>
              </w:rPr>
              <w:t>与华峰氨纶减少关联交易，经公司第一届董事会第九次会议审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议通过，公司向华峰氨纶出具了《承诺函》，公司承诺：本公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司及下属子公司将不与华峰氨纶及其子公司之间发生购销商 </w:t>
            </w:r>
            <w:r>
              <w:rPr>
                <w:rFonts w:ascii="宋体" w:hAnsi="宋体" w:cs="宋体" w:eastAsia="宋体" w:hint="default"/>
                <w:spacing w:val="-3"/>
                <w:sz w:val="18"/>
                <w:szCs w:val="18"/>
              </w:rPr>
              <w:t>品、提供劳务等经常性的关联交易，尽量避免发生偶发性关联</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交易；确属必要的关联交易，须遵循公平、公正的原则，严格</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执行关联交易决策程序，保证交易价格公允，</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2" w:right="145"/>
              <w:jc w:val="left"/>
              <w:rPr>
                <w:rFonts w:ascii="宋体" w:hAnsi="宋体" w:cs="宋体" w:eastAsia="宋体" w:hint="default"/>
                <w:sz w:val="18"/>
                <w:szCs w:val="18"/>
              </w:rPr>
            </w:pPr>
            <w:r>
              <w:rPr>
                <w:rFonts w:ascii="宋体" w:hAnsi="宋体" w:cs="宋体" w:eastAsia="宋体" w:hint="default"/>
                <w:sz w:val="18"/>
                <w:szCs w:val="18"/>
              </w:rPr>
              <w:t>已履行承 诺</w:t>
            </w:r>
          </w:p>
        </w:tc>
      </w:tr>
      <w:tr>
        <w:trPr>
          <w:trHeight w:val="714"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left"/>
              <w:rPr>
                <w:rFonts w:ascii="宋体" w:hAnsi="宋体" w:cs="宋体" w:eastAsia="宋体" w:hint="default"/>
                <w:sz w:val="18"/>
                <w:szCs w:val="18"/>
              </w:rPr>
            </w:pPr>
            <w:r>
              <w:rPr>
                <w:rFonts w:ascii="宋体" w:hAnsi="宋体" w:cs="宋体" w:eastAsia="宋体" w:hint="default"/>
                <w:sz w:val="18"/>
                <w:szCs w:val="18"/>
              </w:rPr>
              <w:t>承诺是否及 时履行</w:t>
            </w:r>
          </w:p>
        </w:tc>
        <w:tc>
          <w:tcPr>
            <w:tcW w:w="84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5"/>
              <w:jc w:val="both"/>
              <w:rPr>
                <w:rFonts w:ascii="宋体" w:hAnsi="宋体" w:cs="宋体" w:eastAsia="宋体" w:hint="default"/>
                <w:sz w:val="18"/>
                <w:szCs w:val="18"/>
              </w:rPr>
            </w:pPr>
            <w:r>
              <w:rPr>
                <w:rFonts w:ascii="宋体" w:hAnsi="宋体" w:cs="宋体" w:eastAsia="宋体" w:hint="default"/>
                <w:sz w:val="18"/>
                <w:szCs w:val="18"/>
              </w:rPr>
              <w:t>未完成履行 的具体原因 及下一步计 划（如有）</w:t>
            </w:r>
          </w:p>
        </w:tc>
        <w:tc>
          <w:tcPr>
            <w:tcW w:w="844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59" w:lineRule="auto" w:before="35"/>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z w:val="18"/>
                <w:szCs w:val="18"/>
              </w:rPr>
              <w:t>沈建林、陈科举</w:t>
            </w:r>
          </w:p>
        </w:tc>
      </w:tr>
    </w:tbl>
    <w:p>
      <w:pPr>
        <w:pStyle w:val="BodyText"/>
        <w:spacing w:line="240" w:lineRule="auto" w:before="51"/>
        <w:ind w:right="0"/>
        <w:jc w:val="left"/>
      </w:pPr>
      <w:r>
        <w:rPr/>
        <w:t>是否改聘会计师事务所</w:t>
      </w:r>
    </w:p>
    <w:p>
      <w:pPr>
        <w:pStyle w:val="BodyText"/>
        <w:spacing w:line="240" w:lineRule="auto" w:before="117"/>
        <w:ind w:left="153"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left="153" w:right="133"/>
        <w:jc w:val="left"/>
        <w:rPr>
          <w:b w:val="0"/>
          <w:bCs w:val="0"/>
        </w:rPr>
      </w:pPr>
      <w:r>
        <w:rPr/>
        <w:t>十、上市公司及其董事、监事、高级管理人员、公司股东、实际控制人和收购人处罚及整改</w:t>
      </w:r>
      <w:r>
        <w:rPr>
          <w:spacing w:val="1"/>
          <w:w w:val="99"/>
        </w:rPr>
        <w:t> </w:t>
      </w:r>
      <w:r>
        <w:rPr/>
        <w:t>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上市公司及其子公司是否被列入环保部门公布的污染严重企业名单</w:t>
      </w:r>
    </w:p>
    <w:p>
      <w:pPr>
        <w:pStyle w:val="BodyText"/>
        <w:spacing w:line="340" w:lineRule="auto" w:before="42"/>
        <w:ind w:right="563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上市公司及其子公司是否存在其他重大社会安全问题</w:t>
      </w:r>
    </w:p>
    <w:p>
      <w:pPr>
        <w:pStyle w:val="BodyText"/>
        <w:spacing w:line="338" w:lineRule="auto" w:before="40"/>
        <w:ind w:right="779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报告期内是否被行政处罚</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十一、公司股东及其一致行动人在报告期提出或实施股份增持计划的情况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5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公司股东及其一致行动人在报告期内未提出或实施股份增持计划。</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十二、董事、监事、高级管理人员、持股</w:t>
      </w:r>
      <w:r>
        <w:rPr>
          <w:spacing w:val="-62"/>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十三、年度报告披露后面临暂停上市和终止上市情况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十四、其他重大事项的说明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04" w:lineRule="auto" w:before="44"/>
        <w:ind w:left="153" w:right="108" w:firstLine="29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日，公司实际控制人尤小平、尤金焕、尤小华、尤小玲、尤小燕、陈林真以及华峰集团有限公司将其持有 的本公司股份共计</w:t>
      </w:r>
      <w:r>
        <w:rPr>
          <w:rFonts w:ascii="Times New Roman" w:hAnsi="Times New Roman" w:cs="Times New Roman" w:eastAsia="Times New Roman" w:hint="default"/>
        </w:rPr>
        <w:t>6,835</w:t>
      </w:r>
      <w:r>
        <w:rPr/>
        <w:t>万股，占公司总股本的</w:t>
      </w:r>
      <w:r>
        <w:rPr>
          <w:rFonts w:ascii="Times New Roman" w:hAnsi="Times New Roman" w:cs="Times New Roman" w:eastAsia="Times New Roman" w:hint="default"/>
        </w:rPr>
        <w:t>43.26%</w:t>
      </w:r>
      <w:r>
        <w:rPr/>
        <w:t>，质押给中国工商银行股份有限公司温州分行，本质押担保的主债权 </w:t>
      </w:r>
      <w:r>
        <w:rPr>
          <w:spacing w:val="-2"/>
        </w:rPr>
        <w:t>为华峰集团有限公司拟发行本金总额不超过</w:t>
      </w:r>
      <w:r>
        <w:rPr>
          <w:rFonts w:ascii="Times New Roman" w:hAnsi="Times New Roman" w:cs="Times New Roman" w:eastAsia="Times New Roman" w:hint="default"/>
          <w:spacing w:val="-2"/>
        </w:rPr>
        <w:t>10</w:t>
      </w:r>
      <w:r>
        <w:rPr>
          <w:spacing w:val="-2"/>
        </w:rPr>
        <w:t>亿元（含</w:t>
      </w:r>
      <w:r>
        <w:rPr>
          <w:rFonts w:ascii="Times New Roman" w:hAnsi="Times New Roman" w:cs="Times New Roman" w:eastAsia="Times New Roman" w:hint="default"/>
          <w:spacing w:val="-2"/>
        </w:rPr>
        <w:t>10</w:t>
      </w:r>
      <w:r>
        <w:rPr>
          <w:spacing w:val="-2"/>
        </w:rPr>
        <w:t>亿元），债券期限不超过</w:t>
      </w:r>
      <w:r>
        <w:rPr>
          <w:rFonts w:ascii="Times New Roman" w:hAnsi="Times New Roman" w:cs="Times New Roman" w:eastAsia="Times New Roman" w:hint="default"/>
          <w:spacing w:val="-2"/>
        </w:rPr>
        <w:t>7</w:t>
      </w:r>
      <w:r>
        <w:rPr>
          <w:spacing w:val="-2"/>
        </w:rPr>
        <w:t>年（含</w:t>
      </w:r>
      <w:r>
        <w:rPr>
          <w:rFonts w:ascii="Times New Roman" w:hAnsi="Times New Roman" w:cs="Times New Roman" w:eastAsia="Times New Roman" w:hint="default"/>
          <w:spacing w:val="-2"/>
        </w:rPr>
        <w:t>7</w:t>
      </w:r>
      <w:r>
        <w:rPr>
          <w:spacing w:val="-2"/>
        </w:rPr>
        <w:t>年）的公司债券，质押担保的范</w:t>
      </w:r>
      <w:r>
        <w:rPr>
          <w:spacing w:val="-64"/>
        </w:rPr>
        <w:t> </w:t>
      </w:r>
      <w:r>
        <w:rPr>
          <w:spacing w:val="-64"/>
        </w:rPr>
      </w:r>
      <w:r>
        <w:rPr>
          <w:spacing w:val="-2"/>
        </w:rPr>
        <w:t>围包括本期债券的本金、利息、违约金、赔偿金以及债券持有人实现债权所发生的费用。担保期限为华峰集团有限公司发行</w:t>
      </w:r>
      <w:r>
        <w:rPr>
          <w:spacing w:val="-66"/>
        </w:rPr>
        <w:t> </w:t>
      </w:r>
      <w:r>
        <w:rPr>
          <w:spacing w:val="-66"/>
        </w:rPr>
      </w:r>
      <w:r>
        <w:rPr/>
        <w:t>的公司债券的有效存续期间，具体以华峰集团有限公司就公司债券制定并正式公布的《公司债券募集说明书》的内容为准。</w:t>
      </w:r>
    </w:p>
    <w:p>
      <w:pPr>
        <w:pStyle w:val="BodyText"/>
        <w:spacing w:line="240" w:lineRule="auto" w:before="28"/>
        <w:ind w:left="444" w:right="90"/>
        <w:jc w:val="left"/>
      </w:pPr>
      <w:r>
        <w:rPr/>
        <w:t>截止目前，上述股份尚未在中国证券登记结算公司办理股权出质登记手续。</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3"/>
          <w:szCs w:val="13"/>
        </w:rPr>
      </w:pPr>
    </w:p>
    <w:p>
      <w:pPr>
        <w:pStyle w:val="Heading2"/>
        <w:spacing w:line="240" w:lineRule="auto"/>
        <w:ind w:right="90"/>
        <w:jc w:val="left"/>
        <w:rPr>
          <w:b w:val="0"/>
          <w:bCs w:val="0"/>
        </w:rPr>
      </w:pPr>
      <w:r>
        <w:rPr/>
        <w:t>十五、控股子公司重要事项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4"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32"/>
        <w:gridCol w:w="845"/>
        <w:gridCol w:w="844"/>
        <w:gridCol w:w="844"/>
        <w:gridCol w:w="844"/>
        <w:gridCol w:w="842"/>
        <w:gridCol w:w="844"/>
        <w:gridCol w:w="842"/>
        <w:gridCol w:w="815"/>
        <w:gridCol w:w="814"/>
      </w:tblGrid>
      <w:tr>
        <w:trPr>
          <w:trHeight w:val="402" w:hRule="exact"/>
        </w:trPr>
        <w:tc>
          <w:tcPr>
            <w:tcW w:w="2032" w:type="dxa"/>
            <w:vMerge w:val="restart"/>
            <w:tcBorders>
              <w:top w:val="single" w:sz="4" w:space="0" w:color="000000"/>
              <w:left w:val="single" w:sz="4" w:space="0" w:color="000000"/>
              <w:right w:val="single" w:sz="4" w:space="0" w:color="000000"/>
            </w:tcBorders>
            <w:shd w:val="clear" w:color="auto" w:fill="D3D3D3"/>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1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032" w:type="dxa"/>
            <w:vMerge/>
            <w:tcBorders>
              <w:left w:val="single" w:sz="4" w:space="0" w:color="000000"/>
              <w:bottom w:val="single" w:sz="4" w:space="0" w:color="000000"/>
              <w:right w:val="single" w:sz="4" w:space="0" w:color="000000"/>
            </w:tcBorders>
            <w:shd w:val="clear" w:color="auto" w:fill="D3D3D3"/>
          </w:tcPr>
          <w:p>
            <w:pPr/>
          </w:p>
        </w:tc>
        <w:tc>
          <w:tcPr>
            <w:tcW w:w="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82,487,50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38,336,92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24.26%</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82,487,50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52.21%</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38,336,92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24.26%</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14.87%</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5" w:type="dxa"/>
            <w:tcBorders>
              <w:top w:val="single" w:sz="4" w:space="0" w:color="000000"/>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58,987,50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37.33%</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38,336,92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24.26%</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75.74%</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75,512,50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47.79%</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44,150,57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119,663,0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75</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center"/>
              <w:rPr>
                <w:rFonts w:ascii="Times New Roman" w:hAnsi="Times New Roman" w:cs="Times New Roman" w:eastAsia="Times New Roman" w:hint="default"/>
                <w:sz w:val="18"/>
                <w:szCs w:val="18"/>
              </w:rPr>
            </w:pPr>
            <w:r>
              <w:rPr>
                <w:rFonts w:ascii="Times New Roman"/>
                <w:sz w:val="18"/>
              </w:rPr>
              <w:t>75.74%</w:t>
            </w:r>
          </w:p>
        </w:tc>
      </w:tr>
      <w:tr>
        <w:trPr>
          <w:trHeight w:val="714" w:hRule="exact"/>
        </w:trPr>
        <w:tc>
          <w:tcPr>
            <w:tcW w:w="20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44"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4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158,000,0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center"/>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338" w:lineRule="auto" w:before="117"/>
        <w:ind w:right="815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限售股到期解禁。</w:t>
      </w:r>
    </w:p>
    <w:p>
      <w:pPr>
        <w:spacing w:line="240" w:lineRule="auto" w:before="0"/>
        <w:rPr>
          <w:rFonts w:ascii="宋体" w:hAnsi="宋体" w:cs="宋体" w:eastAsia="宋体" w:hint="default"/>
          <w:sz w:val="18"/>
          <w:szCs w:val="18"/>
        </w:rPr>
      </w:pPr>
    </w:p>
    <w:p>
      <w:pPr>
        <w:pStyle w:val="BodyText"/>
        <w:spacing w:line="240" w:lineRule="auto" w:before="120"/>
        <w:ind w:right="0"/>
        <w:jc w:val="left"/>
      </w:pPr>
      <w:r>
        <w:rPr/>
        <w:t>股份变动的批准情况</w:t>
      </w:r>
    </w:p>
    <w:p>
      <w:pPr>
        <w:pStyle w:val="BodyText"/>
        <w:spacing w:line="338" w:lineRule="auto" w:before="117"/>
        <w:ind w:right="815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4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51"/>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华峰集团有限公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15,650,000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3,912,500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11,737,500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1,625,000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4,875,000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4,350,000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林建一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陈恩之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陈学通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袁水华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项金尧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林道友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唐志勇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林朝强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林孙林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上市承诺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杨建华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追加承诺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75,450,000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41,512,500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33,937,500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47"/>
        <w:gridCol w:w="1386"/>
        <w:gridCol w:w="876"/>
        <w:gridCol w:w="809"/>
        <w:gridCol w:w="809"/>
        <w:gridCol w:w="808"/>
        <w:gridCol w:w="862"/>
        <w:gridCol w:w="1160"/>
        <w:gridCol w:w="227"/>
        <w:gridCol w:w="1385"/>
      </w:tblGrid>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7,001</w:t>
            </w:r>
          </w:p>
        </w:tc>
        <w:tc>
          <w:tcPr>
            <w:tcW w:w="363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16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7,022</w:t>
            </w:r>
          </w:p>
        </w:tc>
      </w:tr>
      <w:tr>
        <w:trPr>
          <w:trHeight w:val="402"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402" w:hRule="exact"/>
        </w:trPr>
        <w:tc>
          <w:tcPr>
            <w:tcW w:w="124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7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 w:right="38"/>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8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8" w:right="3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80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38" w:right="37"/>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65" w:right="6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7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247" w:type="dxa"/>
            <w:vMerge/>
            <w:tcBorders>
              <w:left w:val="single" w:sz="4" w:space="0" w:color="000000"/>
              <w:bottom w:val="single" w:sz="4" w:space="0" w:color="000000"/>
              <w:right w:val="single" w:sz="4" w:space="0" w:color="000000"/>
            </w:tcBorders>
            <w:shd w:val="clear" w:color="auto" w:fill="D3D3D3"/>
          </w:tcPr>
          <w:p>
            <w:pPr/>
          </w:p>
        </w:tc>
        <w:tc>
          <w:tcPr>
            <w:tcW w:w="1386" w:type="dxa"/>
            <w:vMerge/>
            <w:tcBorders>
              <w:left w:val="single" w:sz="4" w:space="0" w:color="000000"/>
              <w:bottom w:val="single" w:sz="4" w:space="0" w:color="000000"/>
              <w:right w:val="single" w:sz="4" w:space="0" w:color="000000"/>
            </w:tcBorders>
            <w:shd w:val="clear" w:color="auto" w:fill="D3D3D3"/>
          </w:tcPr>
          <w:p>
            <w:pPr/>
          </w:p>
        </w:tc>
        <w:tc>
          <w:tcPr>
            <w:tcW w:w="876"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09" w:type="dxa"/>
            <w:vMerge/>
            <w:tcBorders>
              <w:left w:val="single" w:sz="4" w:space="0" w:color="000000"/>
              <w:bottom w:val="single" w:sz="4" w:space="0" w:color="000000"/>
              <w:right w:val="single" w:sz="4" w:space="0" w:color="000000"/>
            </w:tcBorders>
            <w:shd w:val="clear" w:color="auto" w:fill="D3D3D3"/>
          </w:tcPr>
          <w:p>
            <w:pPr/>
          </w:p>
        </w:tc>
        <w:tc>
          <w:tcPr>
            <w:tcW w:w="808" w:type="dxa"/>
            <w:vMerge/>
            <w:tcBorders>
              <w:left w:val="single" w:sz="4" w:space="0" w:color="000000"/>
              <w:bottom w:val="single" w:sz="4" w:space="0" w:color="000000"/>
              <w:right w:val="single" w:sz="4" w:space="0" w:color="000000"/>
            </w:tcBorders>
            <w:shd w:val="clear" w:color="auto" w:fill="D3D3D3"/>
          </w:tcPr>
          <w:p>
            <w:pPr/>
          </w:p>
        </w:tc>
        <w:tc>
          <w:tcPr>
            <w:tcW w:w="862" w:type="dxa"/>
            <w:vMerge/>
            <w:tcBorders>
              <w:left w:val="single" w:sz="4" w:space="0" w:color="000000"/>
              <w:bottom w:val="single" w:sz="4" w:space="0" w:color="000000"/>
              <w:right w:val="single" w:sz="4" w:space="0" w:color="000000"/>
            </w:tcBorders>
            <w:shd w:val="clear" w:color="auto" w:fill="D3D3D3"/>
          </w:tcPr>
          <w:p>
            <w:pPr/>
          </w:p>
        </w:tc>
        <w:tc>
          <w:tcPr>
            <w:tcW w:w="13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2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2"/>
              <w:jc w:val="left"/>
              <w:rPr>
                <w:rFonts w:ascii="宋体" w:hAnsi="宋体" w:cs="宋体" w:eastAsia="宋体" w:hint="default"/>
                <w:sz w:val="18"/>
                <w:szCs w:val="18"/>
              </w:rPr>
            </w:pPr>
            <w:r>
              <w:rPr>
                <w:rFonts w:ascii="宋体" w:hAnsi="宋体" w:cs="宋体" w:eastAsia="宋体" w:hint="default"/>
                <w:sz w:val="18"/>
                <w:szCs w:val="18"/>
              </w:rPr>
              <w:t>华峰集团有限 公司</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15,650,00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11,737,50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3,912,500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7.03%</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8,325,000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2,775,000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4.11%</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4,875,000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4,350,000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5,800,000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5,800,000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中国工商银行</w:t>
            </w:r>
          </w:p>
          <w:p>
            <w:pPr>
              <w:pStyle w:val="TableParagraph"/>
              <w:spacing w:line="319" w:lineRule="auto" w:before="75"/>
              <w:ind w:left="22" w:right="132"/>
              <w:jc w:val="left"/>
              <w:rPr>
                <w:rFonts w:ascii="宋体" w:hAnsi="宋体" w:cs="宋体" w:eastAsia="宋体" w:hint="default"/>
                <w:sz w:val="18"/>
                <w:szCs w:val="18"/>
              </w:rPr>
            </w:pPr>
            <w:r>
              <w:rPr>
                <w:rFonts w:ascii="宋体" w:hAnsi="宋体" w:cs="宋体" w:eastAsia="宋体" w:hint="default"/>
                <w:sz w:val="18"/>
                <w:szCs w:val="18"/>
              </w:rPr>
              <w:t>－诺安股票证 券投资基金</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3.19%</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5,046,486</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5,046,486</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4,535,900</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3,401,925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1,133,975</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47" w:type="dxa"/>
            <w:tcBorders>
              <w:top w:val="single" w:sz="4" w:space="0" w:color="000000"/>
              <w:left w:val="single" w:sz="4" w:space="0" w:color="000000"/>
              <w:bottom w:val="single" w:sz="8" w:space="0" w:color="D3D3D3"/>
              <w:right w:val="single" w:sz="4" w:space="0" w:color="000000"/>
            </w:tcBorders>
          </w:tcPr>
          <w:p>
            <w:pPr>
              <w:pStyle w:val="TableParagraph"/>
              <w:spacing w:line="316" w:lineRule="auto" w:before="51"/>
              <w:ind w:left="22" w:right="132"/>
              <w:jc w:val="both"/>
              <w:rPr>
                <w:rFonts w:ascii="宋体" w:hAnsi="宋体" w:cs="宋体" w:eastAsia="宋体" w:hint="default"/>
                <w:sz w:val="18"/>
                <w:szCs w:val="18"/>
              </w:rPr>
            </w:pPr>
            <w:r>
              <w:rPr>
                <w:rFonts w:ascii="宋体" w:hAnsi="宋体" w:cs="宋体" w:eastAsia="宋体" w:hint="default"/>
                <w:sz w:val="18"/>
                <w:szCs w:val="18"/>
              </w:rPr>
              <w:t>中国银行股份 有限公司－诺 安汇鑫保本混 合型证券投资 基金</w:t>
            </w:r>
          </w:p>
        </w:tc>
        <w:tc>
          <w:tcPr>
            <w:tcW w:w="1386" w:type="dxa"/>
            <w:tcBorders>
              <w:top w:val="single" w:sz="4" w:space="0" w:color="000000"/>
              <w:left w:val="single" w:sz="4" w:space="0" w:color="000000"/>
              <w:bottom w:val="single" w:sz="8"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w:t>
            </w:r>
          </w:p>
        </w:tc>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3,952,664</w:t>
            </w:r>
          </w:p>
        </w:tc>
        <w:tc>
          <w:tcPr>
            <w:tcW w:w="809" w:type="dxa"/>
            <w:tcBorders>
              <w:top w:val="single" w:sz="4" w:space="0" w:color="000000"/>
              <w:left w:val="single" w:sz="4" w:space="0" w:color="000000"/>
              <w:bottom w:val="single" w:sz="4" w:space="0" w:color="000000"/>
              <w:right w:val="single" w:sz="4" w:space="0" w:color="000000"/>
            </w:tcBorders>
          </w:tcPr>
          <w:p>
            <w:pP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3,952,664</w:t>
            </w:r>
          </w:p>
        </w:tc>
        <w:tc>
          <w:tcPr>
            <w:tcW w:w="1387" w:type="dxa"/>
            <w:gridSpan w:val="2"/>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63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w:t>
            </w:r>
          </w:p>
        </w:tc>
        <w:tc>
          <w:tcPr>
            <w:tcW w:w="693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3"/>
        <w:rPr>
          <w:rFonts w:ascii="宋体" w:hAnsi="宋体" w:cs="宋体" w:eastAsia="宋体" w:hint="default"/>
          <w:sz w:val="29"/>
          <w:szCs w:val="29"/>
        </w:rPr>
      </w:pPr>
    </w:p>
    <w:p>
      <w:pPr>
        <w:spacing w:line="664" w:lineRule="exact"/>
        <w:ind w:left="2791"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346.3pt;height:33.25pt;mso-position-horizontal-relative:char;mso-position-vertical-relative:line" coordorigin="0,0" coordsize="6926,665">
            <v:group style="position:absolute;left:0;top:0;width:6926;height:665" coordorigin="0,0" coordsize="6926,665">
              <v:shape style="position:absolute;left:0;top:0;width:6926;height:665" coordorigin="0,0" coordsize="6926,665" path="m0,665l6925,665,6925,0,0,0,0,665xe" filled="true" fillcolor="#ffffff" stroked="false">
                <v:path arrowok="t"/>
                <v:fill type="solid"/>
              </v:shape>
            </v:group>
          </v:group>
        </w:pict>
      </w:r>
      <w:r>
        <w:rPr>
          <w:rFonts w:ascii="宋体" w:hAnsi="宋体" w:cs="宋体" w:eastAsia="宋体" w:hint="default"/>
          <w:position w:val="-12"/>
          <w:sz w:val="20"/>
          <w:szCs w:val="20"/>
        </w:rPr>
      </w:r>
    </w:p>
    <w:p>
      <w:pPr>
        <w:pStyle w:val="BodyText"/>
        <w:spacing w:line="240" w:lineRule="auto" w:before="61"/>
        <w:ind w:left="0" w:right="159"/>
        <w:jc w:val="right"/>
      </w:pPr>
      <w:r>
        <w:rPr/>
        <w:pict>
          <v:shape style="position:absolute;margin-left:155.399704pt;margin-top:-33.238007pt;width:379.45pt;height:33.25pt;mso-position-horizontal-relative:page;mso-position-vertical-relative:paragraph;z-index:-625648" type="#_x0000_t202" filled="false" stroked="false">
            <v:textbox inset="0,0,0,0">
              <w:txbxContent>
                <w:p>
                  <w:pPr>
                    <w:pStyle w:val="BodyText"/>
                    <w:spacing w:line="240" w:lineRule="auto" w:before="10"/>
                    <w:ind w:left="0" w:right="0"/>
                    <w:jc w:val="left"/>
                  </w:pPr>
                  <w:r>
                    <w:rPr/>
                    <w:t>（如有）</w:t>
                  </w:r>
                </w:p>
              </w:txbxContent>
            </v:textbox>
            <w10:wrap type="none"/>
          </v:shape>
        </w:pict>
      </w:r>
      <w:r>
        <w:rPr/>
        <w:pict>
          <v:shape style="position:absolute;margin-left:56.459999pt;margin-top:-33.718044pt;width:479.1pt;height:46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27"/>
                    <w:gridCol w:w="4168"/>
                    <w:gridCol w:w="1387"/>
                    <w:gridCol w:w="1385"/>
                  </w:tblGrid>
                  <w:tr>
                    <w:trPr>
                      <w:trHeight w:val="674"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股成为前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名股东的情况</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940" w:type="dxa"/>
                        <w:gridSpan w:val="3"/>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tc>
                  </w:tr>
                  <w:tr>
                    <w:trPr>
                      <w:trHeight w:val="714"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940" w:type="dxa"/>
                        <w:gridSpan w:val="3"/>
                        <w:tcBorders>
                          <w:top w:val="single" w:sz="4" w:space="0" w:color="000000"/>
                          <w:left w:val="single" w:sz="9" w:space="0" w:color="D3D3D3"/>
                          <w:bottom w:val="single" w:sz="4" w:space="0" w:color="000000"/>
                          <w:right w:val="single" w:sz="4" w:space="0" w:color="000000"/>
                        </w:tcBorders>
                      </w:tcPr>
                      <w:p>
                        <w:pPr>
                          <w:pStyle w:val="TableParagraph"/>
                          <w:spacing w:line="316" w:lineRule="auto" w:before="51"/>
                          <w:ind w:left="21" w:right="112"/>
                          <w:jc w:val="left"/>
                          <w:rPr>
                            <w:rFonts w:ascii="宋体" w:hAnsi="宋体" w:cs="宋体" w:eastAsia="宋体" w:hint="default"/>
                            <w:sz w:val="18"/>
                            <w:szCs w:val="18"/>
                          </w:rPr>
                        </w:pPr>
                        <w:r>
                          <w:rPr>
                            <w:rFonts w:ascii="宋体" w:hAnsi="宋体" w:cs="宋体" w:eastAsia="宋体" w:hint="default"/>
                            <w:spacing w:val="-2"/>
                            <w:sz w:val="18"/>
                            <w:szCs w:val="18"/>
                          </w:rPr>
                          <w:t>第一大股东华峰集团有限公司之控股股东尤小平及其直系亲属尤金焕、尤小华、尤小燕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尤小玲、陈林真为本公司实际控制人，为一致行动人。</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62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7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62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72"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27" w:type="dxa"/>
                        <w:vMerge/>
                        <w:tcBorders>
                          <w:left w:val="single" w:sz="4" w:space="0" w:color="000000"/>
                          <w:bottom w:val="nil" w:sz="6" w:space="0" w:color="auto"/>
                          <w:right w:val="single" w:sz="4" w:space="0" w:color="000000"/>
                        </w:tcBorders>
                        <w:shd w:val="clear" w:color="auto" w:fill="D3D3D3"/>
                      </w:tcPr>
                      <w:p>
                        <w:pPr/>
                      </w:p>
                    </w:tc>
                    <w:tc>
                      <w:tcPr>
                        <w:tcW w:w="4168" w:type="dxa"/>
                        <w:vMerge/>
                        <w:tcBorders>
                          <w:left w:val="single" w:sz="4" w:space="0" w:color="000000"/>
                          <w:bottom w:val="nil" w:sz="6" w:space="0" w:color="auto"/>
                          <w:right w:val="single" w:sz="4" w:space="0" w:color="000000"/>
                        </w:tcBorders>
                        <w:shd w:val="clear" w:color="auto" w:fill="D3D3D3"/>
                      </w:tcPr>
                      <w:p>
                        <w:pPr/>
                      </w:p>
                    </w:tc>
                    <w:tc>
                      <w:tcPr>
                        <w:tcW w:w="13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8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627" w:type="dxa"/>
                        <w:tcBorders>
                          <w:top w:val="nil" w:sz="6" w:space="0" w:color="auto"/>
                          <w:left w:val="single" w:sz="4" w:space="0" w:color="000000"/>
                          <w:bottom w:val="single" w:sz="4" w:space="0" w:color="000000"/>
                          <w:right w:val="single" w:sz="4" w:space="0" w:color="000000"/>
                        </w:tcBorders>
                        <w:shd w:val="clear" w:color="auto" w:fill="D3D3D3"/>
                      </w:tcPr>
                      <w:p>
                        <w:pPr/>
                      </w:p>
                    </w:tc>
                    <w:tc>
                      <w:tcPr>
                        <w:tcW w:w="41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87" w:type="dxa"/>
                        <w:vMerge/>
                        <w:tcBorders>
                          <w:left w:val="single" w:sz="4" w:space="0" w:color="000000"/>
                          <w:bottom w:val="single" w:sz="4" w:space="0" w:color="000000"/>
                          <w:right w:val="single" w:sz="4" w:space="0" w:color="000000"/>
                        </w:tcBorders>
                        <w:shd w:val="clear" w:color="auto" w:fill="D3D3D3"/>
                      </w:tcPr>
                      <w:p>
                        <w:pPr/>
                      </w:p>
                    </w:tc>
                    <w:tc>
                      <w:tcPr>
                        <w:tcW w:w="138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23,500,000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23,500,000</w:t>
                        </w:r>
                      </w:p>
                    </w:tc>
                  </w:tr>
                  <w:tr>
                    <w:trPr>
                      <w:trHeight w:val="714"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中国工商银行－诺安股票证券投 资基金</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5,046,486</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5,046,486</w:t>
                        </w:r>
                      </w:p>
                    </w:tc>
                  </w:tr>
                  <w:tr>
                    <w:trPr>
                      <w:trHeight w:val="714"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中国银行股份有限公司－诺安汇 鑫保本混合型证券投资基金</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3,952,664</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3,952,664</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3,912,500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3,912,500</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杨清文</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3,522,697</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3,522,697</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杨从登</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3,000,000</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2,775,000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2,775,000</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李长梅</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1,700,000</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1,625,000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1,625,000</w:t>
                        </w:r>
                      </w:p>
                    </w:tc>
                  </w:tr>
                  <w:tr>
                    <w:trPr>
                      <w:trHeight w:val="402" w:hRule="exact"/>
                    </w:trPr>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4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1,450,000</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1,450,000</w:t>
                        </w:r>
                      </w:p>
                    </w:tc>
                  </w:tr>
                  <w:tr>
                    <w:trPr>
                      <w:trHeight w:val="1338"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1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名股东之间关联关系或一致 行动的说明</w:t>
                        </w:r>
                      </w:p>
                    </w:tc>
                    <w:tc>
                      <w:tcPr>
                        <w:tcW w:w="69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8" w:right="112"/>
                          <w:jc w:val="left"/>
                          <w:rPr>
                            <w:rFonts w:ascii="宋体" w:hAnsi="宋体" w:cs="宋体" w:eastAsia="宋体" w:hint="default"/>
                            <w:sz w:val="18"/>
                            <w:szCs w:val="18"/>
                          </w:rPr>
                        </w:pPr>
                        <w:r>
                          <w:rPr>
                            <w:rFonts w:ascii="宋体" w:hAnsi="宋体" w:cs="宋体" w:eastAsia="宋体" w:hint="default"/>
                            <w:spacing w:val="-2"/>
                            <w:sz w:val="18"/>
                            <w:szCs w:val="18"/>
                          </w:rPr>
                          <w:t>第一大股东华峰集团有限公司之控股股东尤小平及其直系亲属尤金焕、尤小华、尤小燕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尤小玲、陈林真为本公司实际控制人，为一致行动人。</w:t>
                        </w:r>
                      </w:p>
                    </w:tc>
                  </w:tr>
                  <w:tr>
                    <w:trPr>
                      <w:trHeight w:val="714" w:hRule="exact"/>
                    </w:trPr>
                    <w:tc>
                      <w:tcPr>
                        <w:tcW w:w="26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9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BodyText"/>
        <w:spacing w:line="240" w:lineRule="auto"/>
        <w:ind w:right="0"/>
        <w:jc w:val="left"/>
      </w:pPr>
      <w:r>
        <w:rPr/>
        <w:t>公司股东在报告期内是否进行约定购回交易</w:t>
      </w:r>
    </w:p>
    <w:p>
      <w:pPr>
        <w:pStyle w:val="BodyText"/>
        <w:spacing w:line="338" w:lineRule="auto" w:before="117"/>
        <w:ind w:right="635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公司股东在报告期内未进行约定购回交易。</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250"/>
        <w:jc w:val="left"/>
      </w:pPr>
      <w:r>
        <w:rPr/>
        <w:t>不存在 公司不存在控股股东情况的说明</w:t>
      </w:r>
    </w:p>
    <w:p>
      <w:pPr>
        <w:pStyle w:val="BodyText"/>
        <w:spacing w:line="240" w:lineRule="auto" w:before="28"/>
        <w:ind w:left="153" w:right="0"/>
        <w:jc w:val="left"/>
      </w:pPr>
      <w:r>
        <w:rPr/>
        <w:t>公司第一大股东华峰集团有限公司持股比例为</w:t>
      </w:r>
      <w:r>
        <w:rPr>
          <w:rFonts w:ascii="Times New Roman" w:hAnsi="Times New Roman" w:cs="Times New Roman" w:eastAsia="Times New Roman" w:hint="default"/>
        </w:rPr>
        <w:t>14.87%</w:t>
      </w:r>
      <w:r>
        <w:rPr/>
        <w:t>，公司无控股股东。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3"/>
          <w:szCs w:val="13"/>
        </w:rPr>
      </w:pPr>
    </w:p>
    <w:p>
      <w:pPr>
        <w:pStyle w:val="BodyText"/>
        <w:spacing w:line="240" w:lineRule="auto"/>
        <w:ind w:right="0"/>
        <w:jc w:val="left"/>
      </w:pPr>
      <w:r>
        <w:rPr/>
        <w:t>控股股东报告期内变更</w:t>
      </w:r>
    </w:p>
    <w:p>
      <w:pPr>
        <w:pStyle w:val="BodyText"/>
        <w:spacing w:line="340" w:lineRule="auto" w:before="116"/>
        <w:ind w:right="707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after="0" w:line="3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8"/>
        <w:gridCol w:w="2029"/>
        <w:gridCol w:w="4121"/>
      </w:tblGrid>
      <w:tr>
        <w:trPr>
          <w:trHeight w:val="401"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2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尤小平现任本公司董事长和华峰集团及其控股的多家公司董事长职务。</w:t>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浙江华峰氨纶股份有限公司、上海华峰超纤材料股份有限公司</w:t>
            </w:r>
          </w:p>
        </w:tc>
      </w:tr>
    </w:tbl>
    <w:p>
      <w:pPr>
        <w:pStyle w:val="BodyText"/>
        <w:spacing w:line="240" w:lineRule="auto" w:before="51"/>
        <w:ind w:right="0"/>
        <w:jc w:val="left"/>
      </w:pPr>
      <w:r>
        <w:rPr/>
        <w:t>实际控制人报告期内变更</w:t>
      </w:r>
    </w:p>
    <w:p>
      <w:pPr>
        <w:pStyle w:val="BodyText"/>
        <w:spacing w:line="348" w:lineRule="auto" w:before="11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4"/>
          <w:szCs w:val="24"/>
        </w:rPr>
      </w:pPr>
    </w:p>
    <w:p>
      <w:pPr>
        <w:spacing w:line="3150" w:lineRule="exact"/>
        <w:ind w:left="1357"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91050" cy="20002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3" cstate="print"/>
                    <a:stretch>
                      <a:fillRect/>
                    </a:stretch>
                  </pic:blipFill>
                  <pic:spPr>
                    <a:xfrm>
                      <a:off x="0" y="0"/>
                      <a:ext cx="4591050" cy="2000250"/>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2"/>
        <w:rPr>
          <w:rFonts w:ascii="宋体" w:hAnsi="宋体" w:cs="宋体" w:eastAsia="宋体" w:hint="default"/>
          <w:sz w:val="21"/>
          <w:szCs w:val="21"/>
        </w:rPr>
      </w:pPr>
    </w:p>
    <w:p>
      <w:pPr>
        <w:spacing w:before="26"/>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4"/>
        <w:gridCol w:w="1592"/>
        <w:gridCol w:w="1385"/>
        <w:gridCol w:w="1801"/>
      </w:tblGrid>
      <w:tr>
        <w:trPr>
          <w:trHeight w:val="713"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4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95" w:right="109"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3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25"/>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8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15" w:right="84" w:hanging="630"/>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349" w:hRule="exact"/>
        </w:trPr>
        <w:tc>
          <w:tcPr>
            <w:tcW w:w="2183" w:type="dxa"/>
            <w:tcBorders>
              <w:top w:val="single" w:sz="4" w:space="0" w:color="000000"/>
              <w:left w:val="single" w:sz="4" w:space="0" w:color="000000"/>
              <w:bottom w:val="nil" w:sz="6" w:space="0" w:color="auto"/>
              <w:right w:val="single" w:sz="4" w:space="0" w:color="000000"/>
            </w:tcBorders>
          </w:tcPr>
          <w:p>
            <w:pPr/>
          </w:p>
        </w:tc>
        <w:tc>
          <w:tcPr>
            <w:tcW w:w="1542" w:type="dxa"/>
            <w:tcBorders>
              <w:top w:val="single" w:sz="4" w:space="0" w:color="000000"/>
              <w:left w:val="single" w:sz="4" w:space="0" w:color="000000"/>
              <w:bottom w:val="nil" w:sz="6" w:space="0" w:color="auto"/>
              <w:right w:val="single" w:sz="4" w:space="0" w:color="000000"/>
            </w:tcBorders>
          </w:tcPr>
          <w:p>
            <w:pPr/>
          </w:p>
        </w:tc>
        <w:tc>
          <w:tcPr>
            <w:tcW w:w="1064" w:type="dxa"/>
            <w:tcBorders>
              <w:top w:val="single" w:sz="4" w:space="0" w:color="000000"/>
              <w:left w:val="single" w:sz="4" w:space="0" w:color="000000"/>
              <w:bottom w:val="nil" w:sz="6" w:space="0" w:color="auto"/>
              <w:right w:val="single" w:sz="4" w:space="0" w:color="000000"/>
            </w:tcBorders>
          </w:tcPr>
          <w:p>
            <w:pPr/>
          </w:p>
        </w:tc>
        <w:tc>
          <w:tcPr>
            <w:tcW w:w="1592" w:type="dxa"/>
            <w:tcBorders>
              <w:top w:val="single" w:sz="4" w:space="0" w:color="000000"/>
              <w:left w:val="single" w:sz="4" w:space="0" w:color="000000"/>
              <w:bottom w:val="nil" w:sz="6" w:space="0" w:color="auto"/>
              <w:right w:val="single" w:sz="4" w:space="0" w:color="000000"/>
            </w:tcBorders>
          </w:tcPr>
          <w:p>
            <w:pPr/>
          </w:p>
        </w:tc>
        <w:tc>
          <w:tcPr>
            <w:tcW w:w="1385" w:type="dxa"/>
            <w:tcBorders>
              <w:top w:val="single" w:sz="4" w:space="0" w:color="000000"/>
              <w:left w:val="single" w:sz="4" w:space="0" w:color="000000"/>
              <w:bottom w:val="nil" w:sz="6" w:space="0" w:color="auto"/>
              <w:right w:val="single" w:sz="4" w:space="0" w:color="000000"/>
            </w:tcBorders>
          </w:tcPr>
          <w:p>
            <w:pPr/>
          </w:p>
        </w:tc>
        <w:tc>
          <w:tcPr>
            <w:tcW w:w="18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聚氨酯产品、塑料制</w:t>
            </w:r>
          </w:p>
        </w:tc>
      </w:tr>
      <w:tr>
        <w:trPr>
          <w:trHeight w:val="633" w:hRule="exact"/>
        </w:trPr>
        <w:tc>
          <w:tcPr>
            <w:tcW w:w="2183"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542"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064"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2"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14563576-0</w:t>
            </w:r>
          </w:p>
        </w:tc>
        <w:tc>
          <w:tcPr>
            <w:tcW w:w="1385" w:type="dxa"/>
            <w:tcBorders>
              <w:top w:val="nil" w:sz="6" w:space="0" w:color="auto"/>
              <w:left w:val="single" w:sz="4" w:space="0" w:color="000000"/>
              <w:bottom w:val="nil" w:sz="6" w:space="0" w:color="auto"/>
              <w:right w:val="single" w:sz="4" w:space="0" w:color="000000"/>
            </w:tcBorders>
          </w:tcPr>
          <w:p>
            <w:pPr>
              <w:pStyle w:val="TableParagraph"/>
              <w:spacing w:line="240" w:lineRule="auto" w:before="156"/>
              <w:ind w:right="359"/>
              <w:jc w:val="right"/>
              <w:rPr>
                <w:rFonts w:ascii="宋体" w:hAnsi="宋体" w:cs="宋体" w:eastAsia="宋体" w:hint="default"/>
                <w:sz w:val="18"/>
                <w:szCs w:val="18"/>
              </w:rPr>
            </w:pPr>
            <w:r>
              <w:rPr>
                <w:rFonts w:ascii="Times New Roman" w:hAnsi="Times New Roman" w:cs="Times New Roman" w:eastAsia="Times New Roman" w:hint="default"/>
                <w:sz w:val="18"/>
                <w:szCs w:val="18"/>
              </w:rPr>
              <w:t>138680  </w:t>
            </w:r>
            <w:r>
              <w:rPr>
                <w:rFonts w:ascii="宋体" w:hAnsi="宋体" w:cs="宋体" w:eastAsia="宋体" w:hint="default"/>
                <w:sz w:val="18"/>
                <w:szCs w:val="18"/>
              </w:rPr>
              <w:t>万元</w:t>
            </w:r>
          </w:p>
        </w:tc>
        <w:tc>
          <w:tcPr>
            <w:tcW w:w="1801" w:type="dxa"/>
            <w:tcBorders>
              <w:top w:val="nil" w:sz="6" w:space="0" w:color="auto"/>
              <w:left w:val="single" w:sz="4" w:space="0" w:color="000000"/>
              <w:bottom w:val="nil" w:sz="6" w:space="0" w:color="auto"/>
              <w:right w:val="single" w:sz="4" w:space="0" w:color="000000"/>
            </w:tcBorders>
          </w:tcPr>
          <w:p>
            <w:pPr>
              <w:pStyle w:val="TableParagraph"/>
              <w:spacing w:line="316"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品、鞋类等产品的研 </w:t>
            </w:r>
            <w:r>
              <w:rPr>
                <w:rFonts w:ascii="宋体" w:hAnsi="宋体" w:cs="宋体" w:eastAsia="宋体" w:hint="default"/>
                <w:spacing w:val="-6"/>
                <w:sz w:val="18"/>
                <w:szCs w:val="18"/>
              </w:rPr>
              <w:t>发、制造、销售；实业</w:t>
            </w:r>
          </w:p>
        </w:tc>
      </w:tr>
      <w:tr>
        <w:trPr>
          <w:trHeight w:val="317" w:hRule="exact"/>
        </w:trPr>
        <w:tc>
          <w:tcPr>
            <w:tcW w:w="2183" w:type="dxa"/>
            <w:tcBorders>
              <w:top w:val="nil" w:sz="6" w:space="0" w:color="auto"/>
              <w:left w:val="single" w:sz="4" w:space="0" w:color="000000"/>
              <w:bottom w:val="single" w:sz="4" w:space="0" w:color="000000"/>
              <w:right w:val="single" w:sz="4" w:space="0" w:color="000000"/>
            </w:tcBorders>
          </w:tcPr>
          <w:p>
            <w:pPr/>
          </w:p>
        </w:tc>
        <w:tc>
          <w:tcPr>
            <w:tcW w:w="1542" w:type="dxa"/>
            <w:tcBorders>
              <w:top w:val="nil" w:sz="6" w:space="0" w:color="auto"/>
              <w:left w:val="single" w:sz="4" w:space="0" w:color="000000"/>
              <w:bottom w:val="single" w:sz="4" w:space="0" w:color="000000"/>
              <w:right w:val="single" w:sz="4" w:space="0" w:color="000000"/>
            </w:tcBorders>
          </w:tcPr>
          <w:p>
            <w:pPr/>
          </w:p>
        </w:tc>
        <w:tc>
          <w:tcPr>
            <w:tcW w:w="1064" w:type="dxa"/>
            <w:tcBorders>
              <w:top w:val="nil" w:sz="6" w:space="0" w:color="auto"/>
              <w:left w:val="single" w:sz="4" w:space="0" w:color="000000"/>
              <w:bottom w:val="single" w:sz="4" w:space="0" w:color="000000"/>
              <w:right w:val="single" w:sz="4" w:space="0" w:color="000000"/>
            </w:tcBorders>
          </w:tcPr>
          <w:p>
            <w:pPr/>
          </w:p>
        </w:tc>
        <w:tc>
          <w:tcPr>
            <w:tcW w:w="1592" w:type="dxa"/>
            <w:tcBorders>
              <w:top w:val="nil" w:sz="6" w:space="0" w:color="auto"/>
              <w:left w:val="single" w:sz="4" w:space="0" w:color="000000"/>
              <w:bottom w:val="single" w:sz="4" w:space="0" w:color="000000"/>
              <w:right w:val="single" w:sz="4" w:space="0" w:color="000000"/>
            </w:tcBorders>
          </w:tcPr>
          <w:p>
            <w:pPr/>
          </w:p>
        </w:tc>
        <w:tc>
          <w:tcPr>
            <w:tcW w:w="1385" w:type="dxa"/>
            <w:tcBorders>
              <w:top w:val="nil" w:sz="6" w:space="0" w:color="auto"/>
              <w:left w:val="single" w:sz="4" w:space="0" w:color="000000"/>
              <w:bottom w:val="single" w:sz="4" w:space="0" w:color="000000"/>
              <w:right w:val="single" w:sz="4" w:space="0" w:color="000000"/>
            </w:tcBorders>
          </w:tcPr>
          <w:p>
            <w:pPr/>
          </w:p>
        </w:tc>
        <w:tc>
          <w:tcPr>
            <w:tcW w:w="180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6"/>
                <w:sz w:val="18"/>
                <w:szCs w:val="18"/>
              </w:rPr>
              <w:t>投资，货物进出口、技</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3"/>
        <w:gridCol w:w="1542"/>
        <w:gridCol w:w="1064"/>
        <w:gridCol w:w="1592"/>
        <w:gridCol w:w="1385"/>
        <w:gridCol w:w="1801"/>
      </w:tblGrid>
      <w:tr>
        <w:trPr>
          <w:trHeight w:val="362" w:hRule="exact"/>
        </w:trPr>
        <w:tc>
          <w:tcPr>
            <w:tcW w:w="2183" w:type="dxa"/>
            <w:tcBorders>
              <w:top w:val="single" w:sz="4" w:space="0" w:color="000000"/>
              <w:left w:val="single" w:sz="4" w:space="0" w:color="000000"/>
              <w:bottom w:val="single" w:sz="4" w:space="0" w:color="000000"/>
              <w:right w:val="single" w:sz="4" w:space="0" w:color="000000"/>
            </w:tcBorders>
          </w:tcPr>
          <w:p>
            <w:pPr/>
          </w:p>
        </w:tc>
        <w:tc>
          <w:tcPr>
            <w:tcW w:w="1542"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术进出口</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8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华峰集团有限公司持股比例为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14.87%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、前</w:t>
      </w:r>
      <w:r>
        <w:rPr>
          <w:spacing w:val="-57"/>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名限售条件股东持股数量及限售条件</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限售条件股东名称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持有的限售条件股份数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91" w:right="50"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在尤小平任职期间，每</w:t>
            </w:r>
          </w:p>
        </w:tc>
      </w:tr>
      <w:tr>
        <w:trPr>
          <w:trHeight w:val="316"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尤金焕</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pacing w:val="-1"/>
                <w:sz w:val="18"/>
              </w:rPr>
              <w:t>11,737,500</w:t>
            </w: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年转让的股份不超过百</w:t>
            </w:r>
          </w:p>
        </w:tc>
      </w:tr>
      <w:tr>
        <w:trPr>
          <w:trHeight w:val="352"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在尤小平任职期间，每</w:t>
            </w:r>
          </w:p>
        </w:tc>
      </w:tr>
      <w:tr>
        <w:trPr>
          <w:trHeight w:val="316"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尤小华</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8,325,000</w:t>
            </w: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3"/>
              <w:jc w:val="right"/>
              <w:rPr>
                <w:rFonts w:ascii="Times New Roman" w:hAnsi="Times New Roman" w:cs="Times New Roman" w:eastAsia="Times New Roman" w:hint="default"/>
                <w:sz w:val="18"/>
                <w:szCs w:val="18"/>
              </w:rPr>
            </w:pPr>
            <w:r>
              <w:rPr>
                <w:rFonts w:ascii="Times New Roman"/>
                <w:sz w:val="18"/>
              </w:rPr>
              <w:t>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年转让的股份不超过百</w:t>
            </w:r>
          </w:p>
        </w:tc>
      </w:tr>
      <w:tr>
        <w:trPr>
          <w:trHeight w:val="352"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离职后半年年不能转</w:t>
            </w:r>
          </w:p>
        </w:tc>
      </w:tr>
      <w:tr>
        <w:trPr>
          <w:trHeight w:val="625"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5,800,000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2,900,000</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让，离职后六个月到十 八个月转让的股份不超</w:t>
            </w:r>
          </w:p>
        </w:tc>
      </w:tr>
      <w:tr>
        <w:trPr>
          <w:trHeight w:val="356"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过百分之五十</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在尤小平任职期间，每</w:t>
            </w:r>
          </w:p>
        </w:tc>
      </w:tr>
      <w:tr>
        <w:trPr>
          <w:trHeight w:val="316"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陈林真</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4,875,000</w:t>
            </w: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年转让的股份不超过百</w:t>
            </w:r>
          </w:p>
        </w:tc>
      </w:tr>
      <w:tr>
        <w:trPr>
          <w:trHeight w:val="352"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在尤小平任职期间，每</w:t>
            </w:r>
          </w:p>
        </w:tc>
      </w:tr>
      <w:tr>
        <w:trPr>
          <w:trHeight w:val="316"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尤小玲</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4,350,000</w:t>
            </w: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年转让的股份不超过百</w:t>
            </w:r>
          </w:p>
        </w:tc>
      </w:tr>
      <w:tr>
        <w:trPr>
          <w:trHeight w:val="352"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在尤小平任职期间，每</w:t>
            </w:r>
          </w:p>
        </w:tc>
      </w:tr>
      <w:tr>
        <w:trPr>
          <w:trHeight w:val="316"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尤小燕</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4,350,000</w:t>
            </w: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年转让的股份不超过百</w:t>
            </w:r>
          </w:p>
        </w:tc>
      </w:tr>
      <w:tr>
        <w:trPr>
          <w:trHeight w:val="352"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分之二十五</w:t>
            </w:r>
          </w:p>
        </w:tc>
      </w:tr>
      <w:tr>
        <w:trPr>
          <w:trHeight w:val="358" w:hRule="exact"/>
        </w:trPr>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vMerge w:val="restart"/>
            <w:tcBorders>
              <w:top w:val="single" w:sz="4" w:space="0" w:color="000000"/>
              <w:left w:val="single" w:sz="4" w:space="0" w:color="000000"/>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任职期间，每年转让的</w:t>
            </w:r>
          </w:p>
        </w:tc>
      </w:tr>
      <w:tr>
        <w:trPr>
          <w:trHeight w:val="316" w:hRule="exact"/>
        </w:trPr>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3,401,925</w:t>
            </w:r>
          </w:p>
        </w:tc>
        <w:tc>
          <w:tcPr>
            <w:tcW w:w="1914" w:type="dxa"/>
            <w:vMerge/>
            <w:tcBorders>
              <w:left w:val="single" w:sz="4" w:space="0" w:color="000000"/>
              <w:right w:val="single" w:sz="4" w:space="0" w:color="000000"/>
            </w:tcBorders>
          </w:tcPr>
          <w:p>
            <w:pPr/>
          </w:p>
        </w:tc>
        <w:tc>
          <w:tcPr>
            <w:tcW w:w="1914" w:type="dxa"/>
            <w:vMerge/>
            <w:tcBorders>
              <w:left w:val="single" w:sz="4" w:space="0" w:color="000000"/>
              <w:right w:val="single" w:sz="4" w:space="0" w:color="000000"/>
            </w:tcBorders>
          </w:tcPr>
          <w:p>
            <w:pP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股份不超过百分之二十</w:t>
            </w:r>
          </w:p>
        </w:tc>
      </w:tr>
      <w:tr>
        <w:trPr>
          <w:trHeight w:val="352" w:hRule="exact"/>
        </w:trPr>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vMerge/>
            <w:tcBorders>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五</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1680" w:right="0"/>
        <w:jc w:val="left"/>
        <w:rPr>
          <w:b w:val="0"/>
          <w:bCs w:val="0"/>
        </w:rPr>
      </w:pPr>
      <w:bookmarkStart w:name="_TOC_250003" w:id="7"/>
      <w:r>
        <w:rPr/>
        <w:t>第七节</w:t>
      </w:r>
      <w:r>
        <w:rPr>
          <w:spacing w:val="-17"/>
        </w:rPr>
        <w:t> </w:t>
      </w:r>
      <w:r>
        <w:rPr/>
        <w:t>董事、监事、高级管理人员和员工情况</w:t>
      </w:r>
      <w:bookmarkEnd w:id="7"/>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227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6" w:right="65" w:hanging="180"/>
              <w:jc w:val="left"/>
              <w:rPr>
                <w:rFonts w:ascii="宋体" w:hAnsi="宋体" w:cs="宋体" w:eastAsia="宋体" w:hint="default"/>
                <w:sz w:val="18"/>
                <w:szCs w:val="18"/>
              </w:rPr>
            </w:pPr>
            <w:r>
              <w:rPr>
                <w:rFonts w:ascii="宋体" w:hAnsi="宋体" w:cs="宋体" w:eastAsia="宋体" w:hint="default"/>
                <w:sz w:val="18"/>
                <w:szCs w:val="18"/>
              </w:rPr>
              <w:t>任职状 态</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5" w:right="65" w:hanging="90"/>
              <w:jc w:val="left"/>
              <w:rPr>
                <w:rFonts w:ascii="宋体" w:hAnsi="宋体" w:cs="宋体" w:eastAsia="宋体" w:hint="default"/>
                <w:sz w:val="18"/>
                <w:szCs w:val="18"/>
              </w:rPr>
            </w:pPr>
            <w:r>
              <w:rPr>
                <w:rFonts w:ascii="宋体" w:hAnsi="宋体" w:cs="宋体" w:eastAsia="宋体" w:hint="default"/>
                <w:sz w:val="18"/>
                <w:szCs w:val="18"/>
              </w:rPr>
              <w:t>期初持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本期增 持股份 数量</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156" w:right="66" w:hanging="90"/>
              <w:jc w:val="left"/>
              <w:rPr>
                <w:rFonts w:ascii="宋体" w:hAnsi="宋体" w:cs="宋体" w:eastAsia="宋体" w:hint="default"/>
                <w:sz w:val="18"/>
                <w:szCs w:val="18"/>
              </w:rPr>
            </w:pPr>
            <w:r>
              <w:rPr>
                <w:rFonts w:ascii="宋体" w:hAnsi="宋体" w:cs="宋体" w:eastAsia="宋体" w:hint="default"/>
                <w:sz w:val="18"/>
                <w:szCs w:val="18"/>
              </w:rPr>
              <w:t>期末持 股数</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期初持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本期获 授予的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both"/>
              <w:rPr>
                <w:rFonts w:ascii="宋体" w:hAnsi="宋体" w:cs="宋体" w:eastAsia="宋体" w:hint="default"/>
                <w:sz w:val="18"/>
                <w:szCs w:val="18"/>
              </w:rPr>
            </w:pPr>
            <w:r>
              <w:rPr>
                <w:rFonts w:ascii="宋体" w:hAnsi="宋体" w:cs="宋体" w:eastAsia="宋体" w:hint="default"/>
                <w:sz w:val="18"/>
                <w:szCs w:val="18"/>
              </w:rPr>
              <w:t>本期被 注销的 股权激 励限制 性股票 数量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期末持 有的股 权激励 获授予 限制性 股票数 量</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6" w:right="66"/>
              <w:jc w:val="left"/>
              <w:rPr>
                <w:rFonts w:ascii="宋体" w:hAnsi="宋体" w:cs="宋体" w:eastAsia="宋体" w:hint="default"/>
                <w:sz w:val="18"/>
                <w:szCs w:val="18"/>
              </w:rPr>
            </w:pPr>
            <w:r>
              <w:rPr>
                <w:rFonts w:ascii="宋体" w:hAnsi="宋体" w:cs="宋体" w:eastAsia="宋体" w:hint="default"/>
                <w:sz w:val="18"/>
                <w:szCs w:val="18"/>
              </w:rPr>
              <w:t>增减变 动原因</w:t>
            </w: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董事 长</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
              <w:jc w:val="left"/>
              <w:rPr>
                <w:rFonts w:ascii="宋体" w:hAnsi="宋体" w:cs="宋体" w:eastAsia="宋体" w:hint="default"/>
                <w:sz w:val="18"/>
                <w:szCs w:val="18"/>
              </w:rPr>
            </w:pPr>
            <w:r>
              <w:rPr>
                <w:rFonts w:ascii="宋体" w:hAnsi="宋体" w:cs="宋体" w:eastAsia="宋体" w:hint="default"/>
                <w:sz w:val="18"/>
                <w:szCs w:val="18"/>
              </w:rPr>
              <w:t>董事、 总经</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4,576,0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40,100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4,535,9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减持</w:t>
            </w:r>
          </w:p>
        </w:tc>
      </w:tr>
      <w:tr>
        <w:trPr>
          <w:trHeight w:val="165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总经 </w:t>
            </w:r>
            <w:r>
              <w:rPr>
                <w:rFonts w:ascii="宋体" w:hAnsi="宋体" w:cs="宋体" w:eastAsia="宋体" w:hint="default"/>
                <w:spacing w:val="-13"/>
                <w:sz w:val="18"/>
                <w:szCs w:val="18"/>
              </w:rPr>
              <w:t>理、财</w:t>
            </w:r>
            <w:r>
              <w:rPr>
                <w:rFonts w:ascii="宋体" w:hAnsi="宋体" w:cs="宋体" w:eastAsia="宋体" w:hint="default"/>
                <w:sz w:val="18"/>
                <w:szCs w:val="18"/>
              </w:rPr>
              <w:t> 务总 </w:t>
            </w:r>
            <w:r>
              <w:rPr>
                <w:rFonts w:ascii="宋体" w:hAnsi="宋体" w:cs="宋体" w:eastAsia="宋体" w:hint="default"/>
                <w:spacing w:val="-13"/>
                <w:sz w:val="18"/>
                <w:szCs w:val="18"/>
              </w:rPr>
              <w:t>监、董</w:t>
            </w:r>
            <w:r>
              <w:rPr>
                <w:rFonts w:ascii="宋体" w:hAnsi="宋体" w:cs="宋体" w:eastAsia="宋体" w:hint="default"/>
                <w:sz w:val="18"/>
                <w:szCs w:val="18"/>
              </w:rPr>
              <w:t> 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880,000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880,000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112"/>
              <w:jc w:val="both"/>
              <w:rPr>
                <w:rFonts w:ascii="宋体" w:hAnsi="宋体" w:cs="宋体" w:eastAsia="宋体"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 </w:t>
            </w:r>
            <w:r>
              <w:rPr>
                <w:rFonts w:ascii="宋体" w:hAnsi="宋体" w:cs="宋体" w:eastAsia="宋体" w:hint="default"/>
                <w:sz w:val="18"/>
                <w:szCs w:val="18"/>
              </w:rPr>
              <w:t>董事 会秘 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黄群慧</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独立 董事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4"/>
        <w:gridCol w:w="557"/>
        <w:gridCol w:w="683"/>
        <w:gridCol w:w="684"/>
        <w:gridCol w:w="683"/>
        <w:gridCol w:w="683"/>
        <w:gridCol w:w="684"/>
        <w:gridCol w:w="683"/>
        <w:gridCol w:w="684"/>
        <w:gridCol w:w="684"/>
        <w:gridCol w:w="684"/>
        <w:gridCol w:w="684"/>
        <w:gridCol w:w="684"/>
        <w:gridCol w:w="684"/>
      </w:tblGrid>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450,000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Times New Roman" w:hAnsi="Times New Roman" w:cs="Times New Roman" w:eastAsia="Times New Roman" w:hint="default"/>
                <w:sz w:val="18"/>
                <w:szCs w:val="18"/>
              </w:rPr>
            </w:pPr>
            <w:r>
              <w:rPr>
                <w:rFonts w:ascii="Times New Roman"/>
                <w:sz w:val="18"/>
              </w:rPr>
              <w:t>450,000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财务 总监</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副总 经理</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88"/>
              <w:jc w:val="right"/>
              <w:rPr>
                <w:rFonts w:ascii="宋体" w:hAnsi="宋体" w:cs="宋体" w:eastAsia="宋体" w:hint="default"/>
                <w:sz w:val="18"/>
                <w:szCs w:val="18"/>
              </w:rPr>
            </w:pPr>
            <w:r>
              <w:rPr>
                <w:rFonts w:ascii="宋体" w:hAnsi="宋体" w:cs="宋体" w:eastAsia="宋体" w:hint="default"/>
                <w:sz w:val="18"/>
                <w:szCs w:val="18"/>
              </w:rPr>
              <w:t>现任</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5"/>
              <w:jc w:val="right"/>
              <w:rPr>
                <w:rFonts w:ascii="Times New Roman" w:hAnsi="Times New Roman" w:cs="Times New Roman" w:eastAsia="Times New Roman" w:hint="default"/>
                <w:sz w:val="18"/>
                <w:szCs w:val="18"/>
              </w:rPr>
            </w:pPr>
            <w:r>
              <w:rPr>
                <w:rFonts w:ascii="Times New Roman"/>
                <w:sz w:val="18"/>
              </w:rPr>
              <w:t>--</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11,706,0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40,100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11,665,9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、持有股票期权情况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二、任职情况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40" w:hanging="360"/>
        <w:jc w:val="left"/>
      </w:pPr>
      <w:r>
        <w:rPr/>
        <w:t>公司现任董事、监事、高级管理人员最近</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年的主要工作经历 尤小平先生：中国国籍，无境外永久居留权。</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月出生，大专学历。第十一、十二届全国人民代表大会代表，中</w:t>
      </w:r>
    </w:p>
    <w:p>
      <w:pPr>
        <w:pStyle w:val="BodyText"/>
        <w:spacing w:line="230" w:lineRule="exact"/>
        <w:ind w:right="0"/>
        <w:jc w:val="left"/>
      </w:pPr>
      <w:r>
        <w:rPr/>
        <w:t>国石油和化学工业协会副会长，浙江省工商联第八、九届常务委员，曾荣获</w:t>
      </w:r>
      <w:r>
        <w:rPr>
          <w:rFonts w:ascii="Times New Roman" w:hAnsi="Times New Roman" w:cs="Times New Roman" w:eastAsia="Times New Roman" w:hint="default"/>
        </w:rPr>
        <w:t>“</w:t>
      </w:r>
      <w:r>
        <w:rPr/>
        <w:t>浙江省劳动模范</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浙江省优秀中国特色社会</w:t>
      </w:r>
    </w:p>
    <w:p>
      <w:pPr>
        <w:pStyle w:val="BodyText"/>
        <w:spacing w:line="300" w:lineRule="auto" w:before="63"/>
        <w:ind w:right="150"/>
        <w:jc w:val="left"/>
      </w:pPr>
      <w:r>
        <w:rPr/>
        <w:t>主义事业建设者</w:t>
      </w:r>
      <w:r>
        <w:rPr>
          <w:rFonts w:ascii="Times New Roman" w:hAnsi="Times New Roman" w:cs="Times New Roman" w:eastAsia="Times New Roman" w:hint="default"/>
        </w:rPr>
        <w:t>”</w:t>
      </w:r>
      <w:r>
        <w:rPr/>
        <w:t>等荣誉称号。曾任瑞安市塑料七厂副厂长，瑞安市塑料十一厂厂长等职。现任华峰集团有限公司及下属多 家控股公司董事长、浙江华峰氨纶股份有限公司董事及本公司董事长。</w:t>
      </w:r>
    </w:p>
    <w:p>
      <w:pPr>
        <w:pStyle w:val="BodyText"/>
        <w:spacing w:line="307" w:lineRule="auto" w:before="31"/>
        <w:ind w:right="151" w:firstLine="360"/>
        <w:jc w:val="both"/>
      </w:pPr>
      <w:r>
        <w:rPr/>
        <w:t>段伟东先生：中国国籍，男，</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月出生，硕士研究生学历。曾任黑龙江齐亿合成树脂有限公司经理、华峰集团有 </w:t>
      </w:r>
      <w:r>
        <w:rPr>
          <w:spacing w:val="-2"/>
        </w:rPr>
        <w:t>限公司副总经理等职务。</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2013</w:t>
      </w:r>
      <w:r>
        <w:rPr>
          <w:spacing w:val="-2"/>
        </w:rPr>
        <w:t>年期间，任浙江华峰新材料股份有限公司总经理、浙江华峰合成树脂有限公司总经理</w:t>
      </w:r>
      <w:r>
        <w:rPr>
          <w:spacing w:val="-58"/>
        </w:rPr>
        <w:t> </w:t>
      </w:r>
      <w:r>
        <w:rPr>
          <w:spacing w:val="-58"/>
        </w:rPr>
      </w:r>
      <w:r>
        <w:rPr>
          <w:spacing w:val="-2"/>
        </w:rPr>
        <w:t>等职务。还担任中国聚氨酯工业协会鞋用树脂专业委员会主任，是中国聚氨酯工业协会第五届理事会专家库成员。现担任本</w:t>
      </w:r>
      <w:r>
        <w:rPr>
          <w:spacing w:val="-66"/>
        </w:rPr>
        <w:t> </w:t>
      </w:r>
      <w:r>
        <w:rPr>
          <w:spacing w:val="-66"/>
        </w:rPr>
      </w:r>
      <w:r>
        <w:rPr/>
        <w:t>公司董事、总经理，兼任浙江华峰新材料股份有限公司董事。</w:t>
      </w:r>
    </w:p>
    <w:p>
      <w:pPr>
        <w:spacing w:line="285" w:lineRule="auto" w:before="26"/>
        <w:ind w:left="154" w:right="148" w:firstLine="360"/>
        <w:jc w:val="both"/>
        <w:rPr>
          <w:rFonts w:ascii="宋体" w:hAnsi="宋体" w:cs="宋体" w:eastAsia="宋体" w:hint="default"/>
          <w:sz w:val="20"/>
          <w:szCs w:val="20"/>
        </w:rPr>
      </w:pPr>
      <w:r>
        <w:rPr>
          <w:rFonts w:ascii="宋体" w:hAnsi="宋体" w:cs="宋体" w:eastAsia="宋体" w:hint="default"/>
          <w:spacing w:val="-2"/>
          <w:sz w:val="18"/>
          <w:szCs w:val="18"/>
        </w:rPr>
        <w:t>赵鸿凯先生：中国国籍，无境外永久居留权。</w:t>
      </w:r>
      <w:r>
        <w:rPr>
          <w:rFonts w:ascii="Times New Roman" w:hAnsi="Times New Roman" w:cs="Times New Roman" w:eastAsia="Times New Roman" w:hint="default"/>
          <w:spacing w:val="-2"/>
          <w:sz w:val="18"/>
          <w:szCs w:val="18"/>
        </w:rPr>
        <w:t>1969</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月出生，硕士、工程师。曾任秦皇岛福胜化学制革有限公司技术</w:t>
      </w:r>
      <w:r>
        <w:rPr>
          <w:rFonts w:ascii="宋体" w:hAnsi="宋体" w:cs="宋体" w:eastAsia="宋体" w:hint="default"/>
          <w:sz w:val="18"/>
          <w:szCs w:val="18"/>
        </w:rPr>
        <w:t> </w:t>
      </w:r>
      <w:r>
        <w:rPr>
          <w:rFonts w:ascii="宋体" w:hAnsi="宋体" w:cs="宋体" w:eastAsia="宋体" w:hint="default"/>
          <w:sz w:val="20"/>
          <w:szCs w:val="20"/>
        </w:rPr>
        <w:t>员、车间主任、工程师，浙江省温州人造革有限公司工程师、生产部经理，本公司董事会秘书等。现任本公司</w:t>
      </w:r>
      <w:r>
        <w:rPr>
          <w:rFonts w:ascii="宋体" w:hAnsi="宋体" w:cs="宋体" w:eastAsia="宋体" w:hint="default"/>
          <w:w w:val="100"/>
          <w:sz w:val="20"/>
          <w:szCs w:val="20"/>
        </w:rPr>
        <w:t> </w:t>
      </w:r>
      <w:r>
        <w:rPr>
          <w:rFonts w:ascii="宋体" w:hAnsi="宋体" w:cs="宋体" w:eastAsia="宋体" w:hint="default"/>
          <w:sz w:val="20"/>
          <w:szCs w:val="20"/>
        </w:rPr>
        <w:t>董事、副总经理。</w:t>
      </w:r>
    </w:p>
    <w:p>
      <w:pPr>
        <w:pStyle w:val="BodyText"/>
        <w:spacing w:line="300" w:lineRule="auto" w:before="28"/>
        <w:ind w:left="153" w:right="158" w:firstLine="360"/>
        <w:jc w:val="both"/>
      </w:pPr>
      <w:r>
        <w:rPr/>
        <w:t>程鸣先生：中国国籍，无境外永久居留权。</w:t>
      </w:r>
      <w:r>
        <w:rPr>
          <w:rFonts w:ascii="Times New Roman" w:hAnsi="Times New Roman" w:cs="Times New Roman" w:eastAsia="Times New Roman" w:hint="default"/>
        </w:rPr>
        <w:t>1981</w:t>
      </w:r>
      <w:r>
        <w:rPr/>
        <w:t>年</w:t>
      </w:r>
      <w:r>
        <w:rPr>
          <w:rFonts w:ascii="Times New Roman" w:hAnsi="Times New Roman" w:cs="Times New Roman" w:eastAsia="Times New Roman" w:hint="default"/>
        </w:rPr>
        <w:t>4</w:t>
      </w:r>
      <w:r>
        <w:rPr/>
        <w:t>月出生，硕士。曾供职于华峰集团有限公司投资发展部、华峰铝业 股份有限公司。现任本公司董事、董事会秘书、证券事务代表。</w:t>
      </w:r>
    </w:p>
    <w:p>
      <w:pPr>
        <w:pStyle w:val="BodyText"/>
        <w:spacing w:line="300" w:lineRule="auto" w:before="31"/>
        <w:ind w:left="153" w:right="0" w:firstLine="360"/>
        <w:jc w:val="left"/>
      </w:pPr>
      <w:r>
        <w:rPr/>
        <w:t>张光杰先生</w:t>
      </w:r>
      <w:r>
        <w:rPr>
          <w:rFonts w:ascii="Times New Roman" w:hAnsi="Times New Roman" w:cs="Times New Roman" w:eastAsia="Times New Roman" w:hint="default"/>
        </w:rPr>
        <w:t>,</w:t>
      </w:r>
      <w:r>
        <w:rPr/>
        <w:t>汉族</w:t>
      </w:r>
      <w:r>
        <w:rPr>
          <w:rFonts w:ascii="Times New Roman" w:hAnsi="Times New Roman" w:cs="Times New Roman" w:eastAsia="Times New Roman" w:hint="default"/>
        </w:rPr>
        <w:t>,1963</w:t>
      </w:r>
      <w:r>
        <w:rPr/>
        <w:t>年</w:t>
      </w:r>
      <w:r>
        <w:rPr>
          <w:rFonts w:ascii="Times New Roman" w:hAnsi="Times New Roman" w:cs="Times New Roman" w:eastAsia="Times New Roman" w:hint="default"/>
        </w:rPr>
        <w:t>9</w:t>
      </w:r>
      <w:r>
        <w:rPr/>
        <w:t>月出生</w:t>
      </w:r>
      <w:r>
        <w:rPr>
          <w:rFonts w:ascii="Times New Roman" w:hAnsi="Times New Roman" w:cs="Times New Roman" w:eastAsia="Times New Roman" w:hint="default"/>
        </w:rPr>
        <w:t>,</w:t>
      </w:r>
      <w:r>
        <w:rPr/>
        <w:t>中国国籍</w:t>
      </w:r>
      <w:r>
        <w:rPr>
          <w:rFonts w:ascii="Times New Roman" w:hAnsi="Times New Roman" w:cs="Times New Roman" w:eastAsia="Times New Roman" w:hint="default"/>
        </w:rPr>
        <w:t>,</w:t>
      </w:r>
      <w:r>
        <w:rPr/>
        <w:t>无境外永久居留权</w:t>
      </w:r>
      <w:r>
        <w:rPr>
          <w:rFonts w:ascii="Times New Roman" w:hAnsi="Times New Roman" w:cs="Times New Roman" w:eastAsia="Times New Roman" w:hint="default"/>
        </w:rPr>
        <w:t>;</w:t>
      </w:r>
      <w:r>
        <w:rPr/>
        <w:t>硕士学历</w:t>
      </w:r>
      <w:r>
        <w:rPr>
          <w:rFonts w:ascii="Times New Roman" w:hAnsi="Times New Roman" w:cs="Times New Roman" w:eastAsia="Times New Roman" w:hint="default"/>
        </w:rPr>
        <w:t>,</w:t>
      </w:r>
      <w:r>
        <w:rPr/>
        <w:t>中共党员</w:t>
      </w:r>
      <w:r>
        <w:rPr>
          <w:rFonts w:ascii="Times New Roman" w:hAnsi="Times New Roman" w:cs="Times New Roman" w:eastAsia="Times New Roman" w:hint="default"/>
        </w:rPr>
        <w:t>,</w:t>
      </w:r>
      <w:r>
        <w:rPr/>
        <w:t>复旦大学法学院博士生导师。</w:t>
      </w:r>
      <w:r>
        <w:rPr>
          <w:rFonts w:ascii="Times New Roman" w:hAnsi="Times New Roman" w:cs="Times New Roman" w:eastAsia="Times New Roman" w:hint="default"/>
        </w:rPr>
        <w:t>1980</w:t>
      </w:r>
      <w:r>
        <w:rPr/>
        <w:t>年 至</w:t>
      </w:r>
      <w:r>
        <w:rPr>
          <w:rFonts w:ascii="Times New Roman" w:hAnsi="Times New Roman" w:cs="Times New Roman" w:eastAsia="Times New Roman" w:hint="default"/>
        </w:rPr>
        <w:t>1984</w:t>
      </w:r>
      <w:r>
        <w:rPr/>
        <w:t>年杭州大学法学专业学习获学士学位</w:t>
      </w:r>
      <w:r>
        <w:rPr>
          <w:rFonts w:ascii="Times New Roman" w:hAnsi="Times New Roman" w:cs="Times New Roman" w:eastAsia="Times New Roman" w:hint="default"/>
        </w:rPr>
        <w:t>,1984</w:t>
      </w:r>
      <w:r>
        <w:rPr/>
        <w:t>年至</w:t>
      </w:r>
      <w:r>
        <w:rPr>
          <w:rFonts w:ascii="Times New Roman" w:hAnsi="Times New Roman" w:cs="Times New Roman" w:eastAsia="Times New Roman" w:hint="default"/>
        </w:rPr>
        <w:t>1987</w:t>
      </w:r>
      <w:r>
        <w:rPr/>
        <w:t>年中国人民大学法学专业学习获硕士学位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w:t>
      </w:r>
      <w:r>
        <w:rPr/>
        <w:t>美国纽约大学 </w:t>
      </w:r>
      <w:r>
        <w:rPr>
          <w:spacing w:val="-1"/>
        </w:rPr>
        <w:t>法学院访问学者。曾兼任复旦律师事务所律师</w:t>
      </w:r>
      <w:r>
        <w:rPr>
          <w:rFonts w:ascii="Times New Roman" w:hAnsi="Times New Roman" w:cs="Times New Roman" w:eastAsia="Times New Roman" w:hint="default"/>
          <w:spacing w:val="-1"/>
        </w:rPr>
        <w:t>,</w:t>
      </w:r>
      <w:r>
        <w:rPr>
          <w:spacing w:val="-1"/>
        </w:rPr>
        <w:t>上海司乐马律师事务所律师</w:t>
      </w:r>
      <w:r>
        <w:rPr>
          <w:rFonts w:ascii="Times New Roman" w:hAnsi="Times New Roman" w:cs="Times New Roman" w:eastAsia="Times New Roman" w:hint="default"/>
          <w:spacing w:val="-1"/>
        </w:rPr>
        <w:t>,</w:t>
      </w:r>
      <w:r>
        <w:rPr>
          <w:spacing w:val="-1"/>
        </w:rPr>
        <w:t>上海四维乐马律师事务所律师</w:t>
      </w:r>
      <w:r>
        <w:rPr>
          <w:rFonts w:ascii="Times New Roman" w:hAnsi="Times New Roman" w:cs="Times New Roman" w:eastAsia="Times New Roman" w:hint="default"/>
          <w:spacing w:val="-1"/>
        </w:rPr>
        <w:t>,</w:t>
      </w:r>
      <w:r>
        <w:rPr>
          <w:spacing w:val="-1"/>
        </w:rPr>
        <w:t>复旦远达科技有限</w:t>
      </w:r>
      <w:r>
        <w:rPr>
          <w:spacing w:val="-77"/>
        </w:rPr>
        <w:t> </w:t>
      </w:r>
      <w:r>
        <w:rPr>
          <w:spacing w:val="-77"/>
        </w:rPr>
      </w:r>
      <w:r>
        <w:rPr>
          <w:spacing w:val="-1"/>
        </w:rPr>
        <w:t>公司董事</w:t>
      </w:r>
      <w:r>
        <w:rPr>
          <w:rFonts w:ascii="Times New Roman" w:hAnsi="Times New Roman" w:cs="Times New Roman" w:eastAsia="Times New Roman" w:hint="default"/>
          <w:spacing w:val="-1"/>
        </w:rPr>
        <w:t>,</w:t>
      </w:r>
      <w:r>
        <w:rPr>
          <w:spacing w:val="-1"/>
        </w:rPr>
        <w:t>复旦大学知识产权中心研究员</w:t>
      </w:r>
      <w:r>
        <w:rPr>
          <w:rFonts w:ascii="Times New Roman" w:hAnsi="Times New Roman" w:cs="Times New Roman" w:eastAsia="Times New Roman" w:hint="default"/>
          <w:spacing w:val="-1"/>
        </w:rPr>
        <w:t>,</w:t>
      </w:r>
      <w:r>
        <w:rPr>
          <w:spacing w:val="-1"/>
        </w:rPr>
        <w:t>香港中国法律学院培训部负责人。现任复旦大学法学院副院长</w:t>
      </w:r>
      <w:r>
        <w:rPr>
          <w:rFonts w:ascii="Times New Roman" w:hAnsi="Times New Roman" w:cs="Times New Roman" w:eastAsia="Times New Roman" w:hint="default"/>
          <w:spacing w:val="-1"/>
        </w:rPr>
        <w:t>,</w:t>
      </w:r>
      <w:r>
        <w:rPr>
          <w:spacing w:val="-1"/>
        </w:rPr>
        <w:t>兼任中国法理学研究</w:t>
      </w:r>
      <w:r>
        <w:rPr>
          <w:spacing w:val="-77"/>
        </w:rPr>
        <w:t> </w:t>
      </w:r>
      <w:r>
        <w:rPr>
          <w:spacing w:val="-77"/>
        </w:rPr>
      </w:r>
      <w:r>
        <w:rPr/>
        <w:t>会常务理事</w:t>
      </w:r>
      <w:r>
        <w:rPr>
          <w:rFonts w:ascii="Times New Roman" w:hAnsi="Times New Roman" w:cs="Times New Roman" w:eastAsia="Times New Roman" w:hint="default"/>
        </w:rPr>
        <w:t>,</w:t>
      </w:r>
      <w:r>
        <w:rPr/>
        <w:t>杭州诺邦无纺股份有限公司、杭州老板电器股份有限公司、浙江英特集团股份有限公司独立董事及本公司独立 董事。</w:t>
      </w:r>
    </w:p>
    <w:p>
      <w:pPr>
        <w:pStyle w:val="BodyText"/>
        <w:spacing w:line="314" w:lineRule="auto" w:before="31"/>
        <w:ind w:left="153" w:right="148" w:firstLine="360"/>
        <w:jc w:val="both"/>
      </w:pPr>
      <w:r>
        <w:rPr/>
        <w:t>何元福先生，男，</w:t>
      </w:r>
      <w:r>
        <w:rPr>
          <w:rFonts w:ascii="Times New Roman" w:hAnsi="Times New Roman" w:cs="Times New Roman" w:eastAsia="Times New Roman" w:hint="default"/>
        </w:rPr>
        <w:t>1955</w:t>
      </w:r>
      <w:r>
        <w:rPr/>
        <w:t>年出生，中国国籍，大学本科学历，教授级高级会计师，注册会计师，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月退休。历任中 </w:t>
      </w:r>
      <w:r>
        <w:rPr>
          <w:spacing w:val="-2"/>
        </w:rPr>
        <w:t>国人民解放军战士、财务助理员、财务科科长、后勤处处长，浙江省财政厅会计管理处副主任科员、主任科员，浙江省注册</w:t>
      </w:r>
      <w:r>
        <w:rPr>
          <w:spacing w:val="-68"/>
        </w:rPr>
        <w:t> </w:t>
      </w:r>
      <w:r>
        <w:rPr>
          <w:spacing w:val="-68"/>
        </w:rPr>
      </w:r>
      <w:r>
        <w:rPr>
          <w:spacing w:val="-2"/>
        </w:rPr>
        <w:t>会计师协会副秘书长、秘书长、浙江省财政干部教育中心主任、浙江省中华会计函授学校副校长等职，曾先后兼任浙江菲达</w:t>
      </w:r>
      <w:r>
        <w:rPr>
          <w:spacing w:val="-66"/>
        </w:rPr>
        <w:t> </w:t>
      </w:r>
      <w:r>
        <w:rPr>
          <w:spacing w:val="-66"/>
        </w:rPr>
      </w:r>
      <w:r>
        <w:rPr>
          <w:spacing w:val="-2"/>
        </w:rPr>
        <w:t>环保科技股份有限公司、浙江新安化工股份有限公司、浙江报喜鸟服饰股份有限公司、浙江网盛生意宝股份有限公司、海南</w:t>
      </w:r>
      <w:r>
        <w:rPr>
          <w:spacing w:val="-66"/>
        </w:rPr>
        <w:t> </w:t>
      </w:r>
      <w:r>
        <w:rPr>
          <w:spacing w:val="-66"/>
        </w:rPr>
      </w:r>
      <w:r>
        <w:rPr>
          <w:spacing w:val="-2"/>
        </w:rPr>
        <w:t>海德实业股份有限公司独立董事。现兼本公司、浙江向日葵光能科技股份有限公司、杭州初灵信息技术股份有限公司、杭州</w:t>
      </w:r>
      <w:r>
        <w:rPr>
          <w:spacing w:val="-66"/>
        </w:rPr>
        <w:t> </w:t>
      </w:r>
      <w:r>
        <w:rPr>
          <w:spacing w:val="-66"/>
        </w:rPr>
      </w:r>
      <w:r>
        <w:rPr/>
        <w:t>中瑞思创科技股份有限公司的独立董事。</w:t>
      </w:r>
    </w:p>
    <w:p>
      <w:pPr>
        <w:pStyle w:val="BodyText"/>
        <w:spacing w:line="240" w:lineRule="auto" w:before="20"/>
        <w:ind w:left="513" w:right="0"/>
        <w:jc w:val="left"/>
      </w:pPr>
      <w:r>
        <w:rPr/>
        <w:t>田景岩先生：中国国籍，</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5</w:t>
      </w:r>
      <w:r>
        <w:rPr/>
        <w:t>月出生，中专学历、助理工程师。曾任北京市塑料三厂技术员、技术开发科长，深圳</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6" w:lineRule="auto" w:before="44"/>
        <w:ind w:left="153" w:right="90"/>
        <w:jc w:val="left"/>
      </w:pPr>
      <w:r>
        <w:rPr>
          <w:spacing w:val="-2"/>
        </w:rPr>
        <w:t>彩贺科技有限公司副总工程师。现任中国塑料加工工业协会人造革合成革专委会副秘书长、联合科技控股股份有限公司、山</w:t>
      </w:r>
      <w:r>
        <w:rPr>
          <w:spacing w:val="-66"/>
        </w:rPr>
        <w:t> </w:t>
      </w:r>
      <w:r>
        <w:rPr>
          <w:spacing w:val="-66"/>
        </w:rPr>
      </w:r>
      <w:r>
        <w:rPr/>
        <w:t>东同大海岛新材料股份有限公司独立董事及本公司独立董事。</w:t>
      </w:r>
    </w:p>
    <w:p>
      <w:pPr>
        <w:pStyle w:val="BodyText"/>
        <w:spacing w:line="300" w:lineRule="auto" w:before="19"/>
        <w:ind w:left="153" w:right="101" w:firstLine="360"/>
        <w:jc w:val="both"/>
      </w:pPr>
      <w:r>
        <w:rPr>
          <w:spacing w:val="-2"/>
        </w:rPr>
        <w:t>刘勇胜先生：中国国籍，无境外永久居留权。</w:t>
      </w:r>
      <w:r>
        <w:rPr>
          <w:rFonts w:ascii="Times New Roman" w:hAnsi="Times New Roman" w:cs="Times New Roman" w:eastAsia="Times New Roman" w:hint="default"/>
          <w:spacing w:val="-2"/>
        </w:rPr>
        <w:t>1971</w:t>
      </w:r>
      <w:r>
        <w:rPr>
          <w:spacing w:val="-2"/>
        </w:rPr>
        <w:t>年</w:t>
      </w:r>
      <w:r>
        <w:rPr>
          <w:rFonts w:ascii="Times New Roman" w:hAnsi="Times New Roman" w:cs="Times New Roman" w:eastAsia="Times New Roman" w:hint="default"/>
          <w:spacing w:val="-2"/>
        </w:rPr>
        <w:t>5</w:t>
      </w:r>
      <w:r>
        <w:rPr>
          <w:spacing w:val="-2"/>
        </w:rPr>
        <w:t>月出生，大专学历。曾任南京佳山纺织有限公司生产技术部经理，</w:t>
      </w:r>
      <w:r>
        <w:rPr/>
        <w:t> 温州人造革有限公司开发部经理。现任本公司技术部副经理、监事。</w:t>
      </w:r>
    </w:p>
    <w:p>
      <w:pPr>
        <w:pStyle w:val="BodyText"/>
        <w:spacing w:line="300" w:lineRule="auto" w:before="31"/>
        <w:ind w:left="153" w:right="191" w:firstLine="360"/>
        <w:jc w:val="both"/>
      </w:pPr>
      <w:r>
        <w:rPr>
          <w:spacing w:val="-2"/>
        </w:rPr>
        <w:t>贺璇先生：中国国籍，</w:t>
      </w:r>
      <w:r>
        <w:rPr>
          <w:rFonts w:ascii="Times New Roman" w:hAnsi="Times New Roman" w:cs="Times New Roman" w:eastAsia="Times New Roman" w:hint="default"/>
          <w:spacing w:val="-2"/>
        </w:rPr>
        <w:t>1974</w:t>
      </w:r>
      <w:r>
        <w:rPr>
          <w:spacing w:val="-2"/>
        </w:rPr>
        <w:t>年</w:t>
      </w:r>
      <w:r>
        <w:rPr>
          <w:rFonts w:ascii="Times New Roman" w:hAnsi="Times New Roman" w:cs="Times New Roman" w:eastAsia="Times New Roman" w:hint="default"/>
          <w:spacing w:val="-2"/>
        </w:rPr>
        <w:t>11</w:t>
      </w:r>
      <w:r>
        <w:rPr>
          <w:spacing w:val="-2"/>
        </w:rPr>
        <w:t>月出生，硕士学历，工程师。曾任杭州新光塑料有限公司一分厂厂长助理、副厂长，曾</w:t>
      </w:r>
      <w:r>
        <w:rPr/>
        <w:t> 获</w:t>
      </w:r>
      <w:r>
        <w:rPr>
          <w:rFonts w:ascii="Times New Roman" w:hAnsi="Times New Roman" w:cs="Times New Roman" w:eastAsia="Times New Roman" w:hint="default"/>
        </w:rPr>
        <w:t>“</w:t>
      </w:r>
      <w:r>
        <w:rPr/>
        <w:t>上海市金山区技改创新标兵</w:t>
      </w:r>
      <w:r>
        <w:rPr>
          <w:rFonts w:ascii="Times New Roman" w:hAnsi="Times New Roman" w:cs="Times New Roman" w:eastAsia="Times New Roman" w:hint="default"/>
        </w:rPr>
        <w:t>”</w:t>
      </w:r>
      <w:r>
        <w:rPr/>
        <w:t>荣誉称号，现任本公司生产部经理、监事。</w:t>
      </w:r>
    </w:p>
    <w:p>
      <w:pPr>
        <w:pStyle w:val="BodyText"/>
        <w:spacing w:line="300" w:lineRule="auto" w:before="13"/>
        <w:ind w:right="188" w:firstLine="360"/>
        <w:jc w:val="both"/>
      </w:pPr>
      <w:r>
        <w:rPr>
          <w:spacing w:val="-2"/>
        </w:rPr>
        <w:t>余少挺先生：中国国籍，无境外永久居留权。</w:t>
      </w:r>
      <w:r>
        <w:rPr>
          <w:rFonts w:ascii="Times New Roman" w:hAnsi="Times New Roman" w:cs="Times New Roman" w:eastAsia="Times New Roman" w:hint="default"/>
          <w:spacing w:val="-2"/>
        </w:rPr>
        <w:t>1982</w:t>
      </w:r>
      <w:r>
        <w:rPr>
          <w:spacing w:val="-2"/>
        </w:rPr>
        <w:t>年</w:t>
      </w:r>
      <w:r>
        <w:rPr>
          <w:rFonts w:ascii="Times New Roman" w:hAnsi="Times New Roman" w:cs="Times New Roman" w:eastAsia="Times New Roman" w:hint="default"/>
          <w:spacing w:val="-2"/>
        </w:rPr>
        <w:t>10</w:t>
      </w:r>
      <w:r>
        <w:rPr>
          <w:spacing w:val="-2"/>
        </w:rPr>
        <w:t>月出生，本科学历，</w:t>
      </w:r>
      <w:r>
        <w:rPr>
          <w:rFonts w:ascii="Times New Roman" w:hAnsi="Times New Roman" w:cs="Times New Roman" w:eastAsia="Times New Roman" w:hint="default"/>
          <w:spacing w:val="-2"/>
        </w:rPr>
        <w:t>2003</w:t>
      </w:r>
      <w:r>
        <w:rPr>
          <w:spacing w:val="-2"/>
        </w:rPr>
        <w:t>年起至今一直在本公司营销部工作。现</w:t>
      </w:r>
      <w:r>
        <w:rPr/>
        <w:t> 任本公司监事。</w:t>
      </w:r>
    </w:p>
    <w:p>
      <w:pPr>
        <w:pStyle w:val="BodyText"/>
        <w:spacing w:line="300" w:lineRule="auto" w:before="31"/>
        <w:ind w:right="191" w:firstLine="360"/>
        <w:jc w:val="both"/>
      </w:pPr>
      <w:r>
        <w:rPr/>
        <w:t>蔡开成先生：中国国籍，男，</w:t>
      </w:r>
      <w:r>
        <w:rPr>
          <w:rFonts w:ascii="Times New Roman" w:hAnsi="Times New Roman" w:cs="Times New Roman" w:eastAsia="Times New Roman" w:hint="default"/>
        </w:rPr>
        <w:t>1965</w:t>
      </w:r>
      <w:r>
        <w:rPr/>
        <w:t>年</w:t>
      </w:r>
      <w:r>
        <w:rPr>
          <w:rFonts w:ascii="Times New Roman" w:hAnsi="Times New Roman" w:cs="Times New Roman" w:eastAsia="Times New Roman" w:hint="default"/>
        </w:rPr>
        <w:t>2</w:t>
      </w:r>
      <w:r>
        <w:rPr/>
        <w:t>月出生，大专文化，会计师。曾任温州安庆建设开发公司副总经理，瑞安华威印 </w:t>
      </w:r>
      <w:r>
        <w:rPr>
          <w:spacing w:val="-2"/>
        </w:rPr>
        <w:t>刷机械有限公司副总经理，</w:t>
      </w:r>
      <w:r>
        <w:rPr>
          <w:rFonts w:ascii="Times New Roman" w:hAnsi="Times New Roman" w:cs="Times New Roman" w:eastAsia="Times New Roman" w:hint="default"/>
          <w:spacing w:val="-2"/>
        </w:rPr>
        <w:t>2009</w:t>
      </w:r>
      <w:r>
        <w:rPr>
          <w:spacing w:val="-2"/>
        </w:rPr>
        <w:t>年进入浙江华峰氨纶股份有限公司，曾任该公司财务总监兼财务部部长。现任本公司财务总</w:t>
      </w:r>
      <w:r>
        <w:rPr>
          <w:spacing w:val="-62"/>
        </w:rPr>
        <w:t> </w:t>
      </w:r>
      <w:r>
        <w:rPr>
          <w:spacing w:val="-62"/>
        </w:rPr>
      </w:r>
      <w:r>
        <w:rPr/>
        <w:t>监。</w:t>
      </w:r>
    </w:p>
    <w:p>
      <w:pPr>
        <w:pStyle w:val="BodyText"/>
        <w:spacing w:line="300" w:lineRule="auto" w:before="31"/>
        <w:ind w:right="198" w:firstLine="360"/>
        <w:jc w:val="both"/>
      </w:pPr>
      <w:r>
        <w:rPr/>
        <w:t>黄康军先生：中国国籍，男，</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9</w:t>
      </w:r>
      <w:r>
        <w:rPr/>
        <w:t>月出生，高级工程师。曾任上海松山国际贸易公司副总经理、华峰集团有限公司 投资发展部经理等职务。</w:t>
      </w:r>
      <w:r>
        <w:rPr>
          <w:rFonts w:ascii="Times New Roman" w:hAnsi="Times New Roman" w:cs="Times New Roman" w:eastAsia="Times New Roman" w:hint="default"/>
        </w:rPr>
        <w:t>2011</w:t>
      </w:r>
      <w:r>
        <w:rPr/>
        <w:t>年至</w:t>
      </w:r>
      <w:r>
        <w:rPr>
          <w:rFonts w:ascii="Times New Roman" w:hAnsi="Times New Roman" w:cs="Times New Roman" w:eastAsia="Times New Roman" w:hint="default"/>
        </w:rPr>
        <w:t>2014</w:t>
      </w:r>
      <w:r>
        <w:rPr/>
        <w:t>年期间，任华峰集团有限公司副总经理。现担任本公司副总经理。</w:t>
      </w:r>
    </w:p>
    <w:p>
      <w:pPr>
        <w:spacing w:line="240" w:lineRule="auto" w:before="0"/>
        <w:rPr>
          <w:rFonts w:ascii="宋体" w:hAnsi="宋体" w:cs="宋体" w:eastAsia="宋体" w:hint="default"/>
          <w:sz w:val="18"/>
          <w:szCs w:val="18"/>
        </w:rPr>
      </w:pPr>
    </w:p>
    <w:p>
      <w:pPr>
        <w:pStyle w:val="BodyText"/>
        <w:spacing w:line="240" w:lineRule="auto" w:before="130"/>
        <w:ind w:right="90"/>
        <w:jc w:val="left"/>
      </w:pPr>
      <w:r>
        <w:rPr/>
        <w:t>在股东单位任职情况</w:t>
      </w:r>
    </w:p>
    <w:p>
      <w:pPr>
        <w:pStyle w:val="BodyText"/>
        <w:spacing w:line="240" w:lineRule="auto" w:before="117"/>
        <w:ind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88"/>
        <w:gridCol w:w="1064"/>
        <w:gridCol w:w="1196"/>
        <w:gridCol w:w="1330"/>
        <w:gridCol w:w="1588"/>
      </w:tblGrid>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48"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5"/>
              <w:jc w:val="left"/>
              <w:rPr>
                <w:rFonts w:ascii="宋体" w:hAnsi="宋体" w:cs="宋体" w:eastAsia="宋体" w:hint="default"/>
                <w:sz w:val="18"/>
                <w:szCs w:val="18"/>
              </w:rPr>
            </w:pPr>
            <w:r>
              <w:rPr>
                <w:rFonts w:ascii="宋体" w:hAnsi="宋体" w:cs="宋体" w:eastAsia="宋体" w:hint="default"/>
                <w:sz w:val="18"/>
                <w:szCs w:val="18"/>
              </w:rPr>
              <w:t>华峰集团有限公司及下属多家控股公 司、浙江华峰氨纶股份有限公司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董事长、董事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6"/>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90"/>
        <w:jc w:val="left"/>
      </w:pPr>
      <w:r>
        <w:rPr/>
        <w:t>在其他单位任职情况</w:t>
      </w:r>
    </w:p>
    <w:p>
      <w:pPr>
        <w:pStyle w:val="BodyText"/>
        <w:spacing w:line="240" w:lineRule="auto" w:before="117"/>
        <w:ind w:left="153" w:right="9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1"/>
        <w:gridCol w:w="3190"/>
        <w:gridCol w:w="1063"/>
        <w:gridCol w:w="1196"/>
        <w:gridCol w:w="1324"/>
        <w:gridCol w:w="1594"/>
      </w:tblGrid>
      <w:tr>
        <w:trPr>
          <w:trHeight w:val="713"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复旦大学法学院、杭州诺邦无纺股份有 限公司、杭州老板电器股份有限公司、 浙江英特集团股份有限公司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副院长、独立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浙江向日葵光能科技股份有限公司、杭 州初灵信息技术股份有限公司、杭州中 瑞思创科技股份有限公司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both"/>
              <w:rPr>
                <w:rFonts w:ascii="宋体" w:hAnsi="宋体" w:cs="宋体" w:eastAsia="宋体" w:hint="default"/>
                <w:sz w:val="18"/>
                <w:szCs w:val="18"/>
              </w:rPr>
            </w:pPr>
            <w:r>
              <w:rPr>
                <w:rFonts w:ascii="宋体" w:hAnsi="宋体" w:cs="宋体" w:eastAsia="宋体" w:hint="default"/>
                <w:sz w:val="18"/>
                <w:szCs w:val="18"/>
              </w:rPr>
              <w:t>中国塑料加工工业协会人造革合成革专 委会、联合科技控股股份有限公司、山 东同大海岛新材料股份有限公司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13"/>
                <w:sz w:val="18"/>
                <w:szCs w:val="18"/>
              </w:rPr>
              <w:t>副秘书长、独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6"/>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260"/>
        <w:gridCol w:w="5308"/>
      </w:tblGrid>
      <w:tr>
        <w:trPr>
          <w:trHeight w:val="1026"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both"/>
              <w:rPr>
                <w:rFonts w:ascii="宋体" w:hAnsi="宋体" w:cs="宋体" w:eastAsia="宋体" w:hint="default"/>
                <w:sz w:val="18"/>
                <w:szCs w:val="18"/>
              </w:rPr>
            </w:pPr>
            <w:r>
              <w:rPr>
                <w:rFonts w:ascii="宋体" w:hAnsi="宋体" w:cs="宋体" w:eastAsia="宋体" w:hint="default"/>
                <w:sz w:val="18"/>
                <w:szCs w:val="18"/>
              </w:rPr>
              <w:t>董事、高管报酬由公司薪酬与考核委员会，根据其经营绩效、工作 能力、岗位职级等为依据考核确定，经董事会通过后，由股东大会 批准。监事薪酬经监事会通过后，由股东大会批准。</w:t>
            </w:r>
          </w:p>
        </w:tc>
      </w:tr>
      <w:tr>
        <w:trPr>
          <w:trHeight w:val="714"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由公司薪酬与考核委员会和监事会，根据其经营绩效、工作能力、 岗位职级等为依据分别考核确定。</w:t>
            </w:r>
          </w:p>
        </w:tc>
      </w:tr>
      <w:tr>
        <w:trPr>
          <w:trHeight w:val="402" w:hRule="exact"/>
        </w:trPr>
        <w:tc>
          <w:tcPr>
            <w:tcW w:w="4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根据股东大会审议情况最终确定。</w:t>
            </w:r>
          </w:p>
        </w:tc>
      </w:tr>
    </w:tbl>
    <w:p>
      <w:pPr>
        <w:pStyle w:val="BodyText"/>
        <w:spacing w:line="240" w:lineRule="auto" w:before="51"/>
        <w:ind w:right="0"/>
        <w:jc w:val="left"/>
      </w:pPr>
      <w:r>
        <w:rPr/>
        <w:t>公司报告期内董事、监事和高级管理人员报酬情况</w:t>
      </w:r>
    </w:p>
    <w:p>
      <w:pPr>
        <w:pStyle w:val="BodyText"/>
        <w:spacing w:line="240" w:lineRule="auto" w:before="117"/>
        <w:ind w:left="0" w:right="15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3"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尤小平</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115.38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115.38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104.27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104.27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总经理、财务 总监、董事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23.42</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赵鸿凯</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75.74</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程鸣</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董事、董事会 秘书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黄群慧</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张光杰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何元福</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田景岩</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贺璇</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61.34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刘勇胜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16.28</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46.9</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75.74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639.84</w:t>
            </w:r>
          </w:p>
        </w:tc>
      </w:tr>
    </w:tbl>
    <w:p>
      <w:pPr>
        <w:pStyle w:val="BodyText"/>
        <w:spacing w:line="240" w:lineRule="auto" w:before="52"/>
        <w:ind w:right="0"/>
        <w:jc w:val="left"/>
      </w:pPr>
      <w:r>
        <w:rPr/>
        <w:t>公司董事、监事、高级管理人员报告期内被授予的股权激励情况</w:t>
      </w:r>
    </w:p>
    <w:p>
      <w:pPr>
        <w:pStyle w:val="BodyText"/>
        <w:spacing w:line="240" w:lineRule="auto" w:before="116"/>
        <w:ind w:left="1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3"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6"/>
        <w:gridCol w:w="1326"/>
        <w:gridCol w:w="1330"/>
        <w:gridCol w:w="4247"/>
      </w:tblGrid>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总经理、财务总 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蔡开成</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余少挺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职工代表大会选举职工监事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段伟东</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被选举</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股东大会选举董事</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叶芬弟</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黄群慧</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辞职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黄康军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董事会聘任</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截止报告期末，公司在职员工总数：</w:t>
      </w:r>
      <w:r>
        <w:rPr>
          <w:rFonts w:ascii="Times New Roman" w:hAnsi="Times New Roman" w:cs="Times New Roman" w:eastAsia="Times New Roman" w:hint="default"/>
        </w:rPr>
        <w:t>566</w:t>
      </w:r>
      <w:r>
        <w:rPr/>
        <w:t>人</w:t>
      </w:r>
    </w:p>
    <w:p>
      <w:pPr>
        <w:pStyle w:val="BodyText"/>
        <w:spacing w:line="300" w:lineRule="auto" w:before="63"/>
        <w:ind w:left="153" w:right="2130"/>
        <w:jc w:val="left"/>
      </w:pPr>
      <w:r>
        <w:rPr/>
        <w:t>专业构成：生产人员</w:t>
      </w:r>
      <w:r>
        <w:rPr>
          <w:rFonts w:ascii="Times New Roman" w:hAnsi="Times New Roman" w:cs="Times New Roman" w:eastAsia="Times New Roman" w:hint="default"/>
        </w:rPr>
        <w:t>337</w:t>
      </w:r>
      <w:r>
        <w:rPr>
          <w:rFonts w:ascii="Times New Roman" w:hAnsi="Times New Roman" w:cs="Times New Roman" w:eastAsia="Times New Roman" w:hint="default"/>
          <w:spacing w:val="-2"/>
        </w:rPr>
        <w:t> </w:t>
      </w:r>
      <w:r>
        <w:rPr/>
        <w:t>人、销售人员</w:t>
      </w:r>
      <w:r>
        <w:rPr>
          <w:rFonts w:ascii="Times New Roman" w:hAnsi="Times New Roman" w:cs="Times New Roman" w:eastAsia="Times New Roman" w:hint="default"/>
        </w:rPr>
        <w:t>27</w:t>
      </w:r>
      <w:r>
        <w:rPr>
          <w:rFonts w:ascii="Times New Roman" w:hAnsi="Times New Roman" w:cs="Times New Roman" w:eastAsia="Times New Roman" w:hint="default"/>
          <w:spacing w:val="-2"/>
        </w:rPr>
        <w:t> </w:t>
      </w:r>
      <w:r>
        <w:rPr/>
        <w:t>人、技术人员</w:t>
      </w:r>
      <w:r>
        <w:rPr>
          <w:rFonts w:ascii="Times New Roman" w:hAnsi="Times New Roman" w:cs="Times New Roman" w:eastAsia="Times New Roman" w:hint="default"/>
        </w:rPr>
        <w:t>159</w:t>
      </w:r>
      <w:r>
        <w:rPr/>
        <w:t>人、财务人员</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3"/>
        </w:rPr>
        <w:t> </w:t>
      </w:r>
      <w:r>
        <w:rPr/>
        <w:t>人、其他管理人员</w:t>
      </w:r>
      <w:r>
        <w:rPr>
          <w:rFonts w:ascii="Times New Roman" w:hAnsi="Times New Roman" w:cs="Times New Roman" w:eastAsia="Times New Roman" w:hint="default"/>
        </w:rPr>
        <w:t>35</w:t>
      </w:r>
      <w:r>
        <w:rPr/>
        <w:t>人 教育程度：博士 </w:t>
      </w:r>
      <w:r>
        <w:rPr>
          <w:rFonts w:ascii="Times New Roman" w:hAnsi="Times New Roman" w:cs="Times New Roman" w:eastAsia="Times New Roman" w:hint="default"/>
        </w:rPr>
        <w:t>2 </w:t>
      </w:r>
      <w:r>
        <w:rPr/>
        <w:t>人、硕士</w:t>
      </w:r>
      <w:r>
        <w:rPr>
          <w:rFonts w:ascii="Times New Roman" w:hAnsi="Times New Roman" w:cs="Times New Roman" w:eastAsia="Times New Roman" w:hint="default"/>
        </w:rPr>
        <w:t>15 </w:t>
      </w:r>
      <w:r>
        <w:rPr/>
        <w:t>人、本科</w:t>
      </w:r>
      <w:r>
        <w:rPr>
          <w:rFonts w:ascii="Times New Roman" w:hAnsi="Times New Roman" w:cs="Times New Roman" w:eastAsia="Times New Roman" w:hint="default"/>
        </w:rPr>
        <w:t>64 </w:t>
      </w:r>
      <w:r>
        <w:rPr/>
        <w:t>人、大专</w:t>
      </w:r>
      <w:r>
        <w:rPr>
          <w:rFonts w:ascii="Times New Roman" w:hAnsi="Times New Roman" w:cs="Times New Roman" w:eastAsia="Times New Roman" w:hint="default"/>
        </w:rPr>
        <w:t>117</w:t>
      </w:r>
      <w:r>
        <w:rPr/>
        <w:t>人、其他</w:t>
      </w:r>
      <w:r>
        <w:rPr>
          <w:rFonts w:ascii="Times New Roman" w:hAnsi="Times New Roman" w:cs="Times New Roman" w:eastAsia="Times New Roman" w:hint="default"/>
        </w:rPr>
        <w:t>368</w:t>
      </w:r>
      <w:r>
        <w:rPr>
          <w:rFonts w:ascii="Times New Roman" w:hAnsi="Times New Roman" w:cs="Times New Roman" w:eastAsia="Times New Roman" w:hint="default"/>
          <w:spacing w:val="-11"/>
        </w:rPr>
        <w:t> </w:t>
      </w:r>
      <w:r>
        <w:rPr/>
        <w:t>人。</w:t>
      </w:r>
    </w:p>
    <w:p>
      <w:pPr>
        <w:pStyle w:val="BodyText"/>
        <w:spacing w:line="316" w:lineRule="auto" w:before="13"/>
        <w:ind w:left="153" w:right="0"/>
        <w:jc w:val="left"/>
      </w:pPr>
      <w:r>
        <w:rPr>
          <w:spacing w:val="-2"/>
        </w:rPr>
        <w:t>为减少管理成本，使公司能够更专心于企业的生产经营，公司将大部分季节性、临时性、辅助性的工作岗位转移给专业的劳</w:t>
      </w:r>
      <w:r>
        <w:rPr>
          <w:spacing w:val="-66"/>
        </w:rPr>
        <w:t> </w:t>
      </w:r>
      <w:r>
        <w:rPr>
          <w:spacing w:val="-66"/>
        </w:rPr>
      </w:r>
      <w:r>
        <w:rPr/>
        <w:t>务派遣公司承担</w:t>
      </w:r>
      <w:r>
        <w:rPr>
          <w:rFonts w:ascii="Times New Roman" w:hAnsi="Times New Roman" w:cs="Times New Roman" w:eastAsia="Times New Roman" w:hint="default"/>
        </w:rPr>
        <w:t>,2014</w:t>
      </w:r>
      <w:r>
        <w:rPr/>
        <w:t>年公司共支付</w:t>
      </w:r>
      <w:r>
        <w:rPr>
          <w:rFonts w:ascii="Times New Roman" w:hAnsi="Times New Roman" w:cs="Times New Roman" w:eastAsia="Times New Roman" w:hint="default"/>
        </w:rPr>
        <w:t>4094</w:t>
      </w:r>
      <w:r>
        <w:rPr/>
        <w:t>万元劳务派遣工资。</w:t>
      </w:r>
    </w:p>
    <w:p>
      <w:pPr>
        <w:pStyle w:val="BodyText"/>
        <w:spacing w:line="235" w:lineRule="exact"/>
        <w:ind w:left="153" w:right="0"/>
        <w:jc w:val="left"/>
      </w:pPr>
      <w:r>
        <w:rPr/>
        <w:t>截止报告期末，公司没有需承担费用的离退休人员。</w:t>
      </w:r>
    </w:p>
    <w:p>
      <w:pPr>
        <w:spacing w:after="0" w:line="235" w:lineRule="exact"/>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1" w:right="3627"/>
        <w:jc w:val="center"/>
        <w:rPr>
          <w:b w:val="0"/>
          <w:bCs w:val="0"/>
        </w:rPr>
      </w:pPr>
      <w:bookmarkStart w:name="_TOC_250002" w:id="8"/>
      <w:r>
        <w:rPr/>
        <w:t>第八节</w:t>
      </w:r>
      <w:r>
        <w:rPr>
          <w:spacing w:val="-5"/>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一、公司治理的基本状况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88" w:right="90"/>
        <w:jc w:val="left"/>
      </w:pPr>
      <w:r>
        <w:rPr/>
        <w:t>报告期内，公司严格按照《公司法》、《证券法》、《上市公司治理规则》、《深圳证券交易所创业板上市规则》、</w:t>
      </w:r>
    </w:p>
    <w:p>
      <w:pPr>
        <w:pStyle w:val="BodyText"/>
        <w:spacing w:line="316" w:lineRule="auto" w:before="76"/>
        <w:ind w:left="153" w:right="86"/>
        <w:jc w:val="left"/>
      </w:pPr>
      <w:r>
        <w:rPr>
          <w:spacing w:val="-2"/>
        </w:rPr>
        <w:t>《深圳证券交易所创业板上市公司规范运作指引》及其他相关法律、法规、规范性文件，不断的完善公司法人治理结构，建</w:t>
      </w:r>
      <w:r>
        <w:rPr>
          <w:spacing w:val="-66"/>
        </w:rPr>
        <w:t> </w:t>
      </w:r>
      <w:r>
        <w:rPr>
          <w:spacing w:val="-66"/>
        </w:rPr>
      </w:r>
      <w:r>
        <w:rPr>
          <w:spacing w:val="-2"/>
        </w:rPr>
        <w:t>立健全的内部控制制度，促进公司规范运作，不断加强信息披露工作，</w:t>
      </w:r>
      <w:r>
        <w:rPr/>
        <w:t> </w:t>
      </w:r>
      <w:r>
        <w:rPr>
          <w:spacing w:val="-1"/>
        </w:rPr>
        <w:t>积极开展投资者关系管理工作，提高公司治理水平。</w:t>
      </w:r>
      <w:r>
        <w:rPr>
          <w:spacing w:val="-88"/>
        </w:rPr>
        <w:t> </w:t>
      </w:r>
      <w:r>
        <w:rPr>
          <w:spacing w:val="-88"/>
        </w:rPr>
      </w:r>
      <w:r>
        <w:rPr/>
        <w:t>公司治理的实际状况符合中国证监会《上市公司治理准则》和深圳证券交易所《创业板上市公司规范运作指引》的要求。</w:t>
      </w:r>
    </w:p>
    <w:p>
      <w:pPr>
        <w:pStyle w:val="BodyText"/>
        <w:spacing w:line="316" w:lineRule="auto" w:before="19"/>
        <w:ind w:left="514" w:right="90" w:hanging="360"/>
        <w:jc w:val="left"/>
      </w:pPr>
      <w:r>
        <w:rPr/>
        <w:t>（一）关于股东与股东大会： </w:t>
      </w:r>
      <w:r>
        <w:rPr>
          <w:spacing w:val="-2"/>
        </w:rPr>
        <w:t>公司严格按照《上市公司股东大会规则》、《公司章程》、《股东大会议事规则》等规定和要求，规范地召集、召开股</w:t>
      </w:r>
    </w:p>
    <w:p>
      <w:pPr>
        <w:pStyle w:val="BodyText"/>
        <w:spacing w:line="240" w:lineRule="auto" w:before="19"/>
        <w:ind w:right="90"/>
        <w:jc w:val="left"/>
      </w:pPr>
      <w:r>
        <w:rPr/>
        <w:t>东大会，平等对待所有股东。</w:t>
      </w:r>
    </w:p>
    <w:p>
      <w:pPr>
        <w:pStyle w:val="BodyText"/>
        <w:spacing w:line="316" w:lineRule="auto" w:before="76"/>
        <w:ind w:left="514" w:right="90" w:hanging="360"/>
        <w:jc w:val="left"/>
      </w:pPr>
      <w:r>
        <w:rPr/>
        <w:t>（二）关于公司与控股股东： </w:t>
      </w:r>
      <w:r>
        <w:rPr>
          <w:spacing w:val="-2"/>
        </w:rPr>
        <w:t>公司实际控制人严格规范自己的行为，没有超越股东大会直接或间接干预公司的决策和经营活动。公司拥有独立完整的</w:t>
      </w:r>
    </w:p>
    <w:p>
      <w:pPr>
        <w:pStyle w:val="BodyText"/>
        <w:spacing w:line="240" w:lineRule="auto" w:before="19"/>
        <w:ind w:right="90"/>
        <w:jc w:val="left"/>
      </w:pPr>
      <w:r>
        <w:rPr>
          <w:spacing w:val="-4"/>
        </w:rPr>
        <w:t>业务和自主经营能力，在业务、人员、资产、机构、财务上独立于实际控制人，公司董事会、监事会和业务部门均独立运作。</w:t>
      </w:r>
    </w:p>
    <w:p>
      <w:pPr>
        <w:pStyle w:val="BodyText"/>
        <w:spacing w:line="316" w:lineRule="auto" w:before="76"/>
        <w:ind w:left="514" w:right="90" w:hanging="360"/>
        <w:jc w:val="left"/>
      </w:pPr>
      <w:r>
        <w:rPr/>
        <w:t>（三）关于董事和董事会： </w:t>
      </w:r>
      <w:r>
        <w:rPr>
          <w:spacing w:val="-2"/>
        </w:rPr>
        <w:t>公司董事会设董事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4</w:t>
      </w:r>
      <w:r>
        <w:rPr>
          <w:spacing w:val="-2"/>
        </w:rPr>
        <w:t>名，截止报告期末公司现有董事</w:t>
      </w:r>
      <w:r>
        <w:rPr>
          <w:rFonts w:ascii="Times New Roman" w:hAnsi="Times New Roman" w:cs="Times New Roman" w:eastAsia="Times New Roman" w:hint="default"/>
          <w:spacing w:val="-2"/>
        </w:rPr>
        <w:t>7</w:t>
      </w:r>
      <w:r>
        <w:rPr>
          <w:spacing w:val="-2"/>
        </w:rPr>
        <w:t>名，其中独立董事</w:t>
      </w:r>
      <w:r>
        <w:rPr>
          <w:rFonts w:ascii="Times New Roman" w:hAnsi="Times New Roman" w:cs="Times New Roman" w:eastAsia="Times New Roman" w:hint="default"/>
          <w:spacing w:val="-2"/>
        </w:rPr>
        <w:t>3</w:t>
      </w:r>
      <w:r>
        <w:rPr>
          <w:spacing w:val="-2"/>
        </w:rPr>
        <w:t>名，董事会的人数及人员构</w:t>
      </w:r>
    </w:p>
    <w:p>
      <w:pPr>
        <w:pStyle w:val="BodyText"/>
        <w:spacing w:line="316" w:lineRule="auto"/>
        <w:ind w:right="191"/>
        <w:jc w:val="both"/>
      </w:pPr>
      <w:r>
        <w:rPr>
          <w:spacing w:val="-2"/>
        </w:rPr>
        <w:t>成符合法律、法规和《公司章程》的要求。各位董事能够依据《深圳证券交易所创业板上市公司规范运作指引》、《董事会</w:t>
      </w:r>
      <w:r>
        <w:rPr>
          <w:spacing w:val="-68"/>
        </w:rPr>
        <w:t> </w:t>
      </w:r>
      <w:r>
        <w:rPr>
          <w:spacing w:val="-68"/>
        </w:rPr>
      </w:r>
      <w:r>
        <w:rPr>
          <w:spacing w:val="-2"/>
        </w:rPr>
        <w:t>议事规则》、《独立董事工作制度》等开展工作，出席董事会和股东大会，勤勉尽责地履行职责和义务，同时积极参加相关</w:t>
      </w:r>
      <w:r>
        <w:rPr>
          <w:spacing w:val="-65"/>
        </w:rPr>
        <w:t> </w:t>
      </w:r>
      <w:r>
        <w:rPr>
          <w:spacing w:val="-65"/>
        </w:rPr>
      </w:r>
      <w:r>
        <w:rPr/>
        <w:t>培训，熟悉相关法律法规。</w:t>
      </w:r>
    </w:p>
    <w:p>
      <w:pPr>
        <w:pStyle w:val="BodyText"/>
        <w:spacing w:line="316" w:lineRule="auto" w:before="19"/>
        <w:ind w:left="514" w:right="90" w:hanging="360"/>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名，其中职工监事</w:t>
      </w:r>
      <w:r>
        <w:rPr>
          <w:rFonts w:ascii="Times New Roman" w:hAnsi="Times New Roman" w:cs="Times New Roman" w:eastAsia="Times New Roman" w:hint="default"/>
          <w:spacing w:val="-2"/>
        </w:rPr>
        <w:t>2</w:t>
      </w:r>
      <w:r>
        <w:rPr>
          <w:spacing w:val="-2"/>
        </w:rPr>
        <w:t>名，监事会的人数及人员构成符合法律、法规和《公司章程》的要求。各位监事</w:t>
      </w:r>
    </w:p>
    <w:p>
      <w:pPr>
        <w:pStyle w:val="BodyText"/>
        <w:spacing w:line="316" w:lineRule="auto"/>
        <w:ind w:right="90"/>
        <w:jc w:val="left"/>
      </w:pPr>
      <w:r>
        <w:rPr>
          <w:spacing w:val="-2"/>
        </w:rPr>
        <w:t>能够按照《监事会议事规则》的要求，认真履行自己的职责，对公司重大事项、关联交易、财务状况以及董事、高级管理人</w:t>
      </w:r>
      <w:r>
        <w:rPr>
          <w:spacing w:val="-65"/>
        </w:rPr>
        <w:t> </w:t>
      </w:r>
      <w:r>
        <w:rPr>
          <w:spacing w:val="-65"/>
        </w:rPr>
      </w:r>
      <w:r>
        <w:rPr/>
        <w:t>员履行职责的合法合规性进行监督。</w:t>
      </w:r>
    </w:p>
    <w:p>
      <w:pPr>
        <w:pStyle w:val="BodyText"/>
        <w:spacing w:line="316" w:lineRule="auto" w:before="19"/>
        <w:ind w:left="514" w:right="90" w:hanging="360"/>
        <w:jc w:val="left"/>
      </w:pPr>
      <w:r>
        <w:rPr/>
        <w:t>（五）关于绩效评价与激励约束机制： </w:t>
      </w:r>
      <w:r>
        <w:rPr>
          <w:spacing w:val="-2"/>
        </w:rPr>
        <w:t>公司董事会下设提名委员会、薪酬与考核委员，公司建立和完善公正、透明的董事、监事和高管人员的绩效评价标准和</w:t>
      </w:r>
    </w:p>
    <w:p>
      <w:pPr>
        <w:pStyle w:val="BodyText"/>
        <w:spacing w:line="240" w:lineRule="auto" w:before="19"/>
        <w:ind w:right="90"/>
        <w:jc w:val="left"/>
      </w:pPr>
      <w:r>
        <w:rPr/>
        <w:t>激励约束机制，公司经理人员的聘任公开、透明，符合法律法规的规定。</w:t>
      </w:r>
    </w:p>
    <w:p>
      <w:pPr>
        <w:pStyle w:val="BodyText"/>
        <w:spacing w:line="316" w:lineRule="auto" w:before="76"/>
        <w:ind w:left="514" w:right="90" w:hanging="360"/>
        <w:jc w:val="left"/>
      </w:pPr>
      <w:r>
        <w:rPr/>
        <w:t>（六）关于信息披露与透明度： </w:t>
      </w:r>
      <w:r>
        <w:rPr>
          <w:spacing w:val="-2"/>
        </w:rPr>
        <w:t>公司严格按照有关法律法规以及《公司章程》、《公司信息披露管理办法》等的要求，真实、准确、及时、公平、完整</w:t>
      </w:r>
    </w:p>
    <w:p>
      <w:pPr>
        <w:pStyle w:val="BodyText"/>
        <w:spacing w:line="316" w:lineRule="auto" w:before="19"/>
        <w:ind w:right="90"/>
        <w:jc w:val="left"/>
      </w:pPr>
      <w:r>
        <w:rPr>
          <w:spacing w:val="-2"/>
        </w:rPr>
        <w:t>地披露有关信息，指定公司董事会秘书负责信息披露工作，协调公司与投资者的关系，接待股东来访，回答投资者咨询，向</w:t>
      </w:r>
      <w:r>
        <w:rPr>
          <w:spacing w:val="-66"/>
        </w:rPr>
        <w:t> </w:t>
      </w:r>
      <w:r>
        <w:rPr>
          <w:spacing w:val="-66"/>
        </w:rPr>
      </w:r>
      <w:r>
        <w:rPr/>
        <w:t>投资者提供公司已披露的资料；并指定《证券时报》、《上海证券报》、《中国证券报》、《证券日报》和巨潮资讯网网</w:t>
      </w:r>
    </w:p>
    <w:p>
      <w:pPr>
        <w:pStyle w:val="BodyText"/>
        <w:spacing w:line="240" w:lineRule="auto" w:before="19"/>
        <w:ind w:right="90"/>
        <w:jc w:val="left"/>
      </w:pPr>
      <w:r>
        <w:rPr/>
        <w:t>（</w:t>
      </w:r>
      <w:hyperlink r:id="rId12">
        <w:r>
          <w:rPr>
            <w:rFonts w:ascii="Times New Roman" w:hAnsi="Times New Roman" w:cs="Times New Roman" w:eastAsia="Times New Roman" w:hint="default"/>
          </w:rPr>
          <w:t>www.cninfo.com.cn</w:t>
        </w:r>
      </w:hyperlink>
      <w:r>
        <w:rPr/>
        <w:t>）为公司信息披露的指定报纸和网站，确保公司所有股东能够以平等的机会获得信息。</w:t>
      </w:r>
    </w:p>
    <w:p>
      <w:pPr>
        <w:pStyle w:val="BodyText"/>
        <w:spacing w:line="316" w:lineRule="auto" w:before="63"/>
        <w:ind w:left="514" w:right="90" w:hanging="360"/>
        <w:jc w:val="left"/>
      </w:pPr>
      <w:r>
        <w:rPr/>
        <w:t>（七）关于相关利益者： </w:t>
      </w:r>
      <w:r>
        <w:rPr>
          <w:spacing w:val="-2"/>
        </w:rPr>
        <w:t>公司充分尊重和维护相关利益者的合法权益，实现股东、员工、社会等各方利益的协调平衡，共同推动公司持续、健康</w:t>
      </w:r>
    </w:p>
    <w:p>
      <w:pPr>
        <w:pStyle w:val="BodyText"/>
        <w:spacing w:line="240" w:lineRule="auto" w:before="19"/>
        <w:ind w:right="90"/>
        <w:jc w:val="left"/>
      </w:pPr>
      <w:r>
        <w:rPr/>
        <w:t>的发展。</w:t>
      </w:r>
    </w:p>
    <w:p>
      <w:pPr>
        <w:pStyle w:val="BodyText"/>
        <w:spacing w:line="316" w:lineRule="auto" w:before="75"/>
        <w:ind w:left="444" w:right="90" w:hanging="291"/>
        <w:jc w:val="left"/>
      </w:pPr>
      <w:r>
        <w:rPr/>
        <w:t>（八）内部审计制度 </w:t>
      </w:r>
      <w:r>
        <w:rPr>
          <w:spacing w:val="-1"/>
        </w:rPr>
        <w:t>为加强内部控制活动的监督和评价，有效控制风险，保证公司资产的安全与完整，董事会下设审计委员会，负责全面审</w:t>
      </w:r>
    </w:p>
    <w:p>
      <w:pPr>
        <w:pStyle w:val="BodyText"/>
        <w:spacing w:line="316" w:lineRule="auto" w:before="19"/>
        <w:ind w:right="188"/>
        <w:jc w:val="both"/>
      </w:pPr>
      <w:r>
        <w:rPr>
          <w:spacing w:val="-2"/>
        </w:rPr>
        <w:t>查和监督公司的财务报告、内部审计方案及内部控制的有效性，审阅和审查财务、经营、合规、风险管理情况。公司设置内</w:t>
      </w:r>
      <w:r>
        <w:rPr>
          <w:spacing w:val="-67"/>
        </w:rPr>
        <w:t> </w:t>
      </w:r>
      <w:r>
        <w:rPr>
          <w:spacing w:val="-67"/>
        </w:rPr>
      </w:r>
      <w:r>
        <w:rPr>
          <w:spacing w:val="-2"/>
        </w:rPr>
        <w:t>部审计部门，建立了内部审计制度，配备专职审计人员，对审计委员会负责，向审计委员会报告工作。内部审计部对公司财</w:t>
      </w:r>
      <w:r>
        <w:rPr>
          <w:spacing w:val="-66"/>
        </w:rPr>
        <w:t> </w:t>
      </w:r>
      <w:r>
        <w:rPr>
          <w:spacing w:val="-66"/>
        </w:rPr>
      </w:r>
      <w:r>
        <w:rPr>
          <w:spacing w:val="-2"/>
        </w:rPr>
        <w:t>务信息及内部控制制度的建立和实施等进行检查和监督，对公司对外担保、关联交易等行为进行重点审计，及时向审计委员</w:t>
      </w:r>
      <w:r>
        <w:rPr>
          <w:spacing w:val="-66"/>
        </w:rPr>
        <w:t> </w:t>
      </w:r>
      <w:r>
        <w:rPr>
          <w:spacing w:val="-66"/>
        </w:rPr>
      </w:r>
      <w:r>
        <w:rPr/>
        <w:t>会提交工作计划并汇报审计工作报告，就审计过程中发现的问题进行督促整改。</w:t>
      </w:r>
    </w:p>
    <w:p>
      <w:pPr>
        <w:pStyle w:val="BodyText"/>
        <w:spacing w:line="316" w:lineRule="auto" w:before="19"/>
        <w:ind w:left="444" w:right="160" w:hanging="291"/>
        <w:jc w:val="left"/>
      </w:pPr>
      <w:r>
        <w:rPr/>
        <w:t>（九）关于投资者关系管理工作 公司一直重视投资者关系管理工作，指定董事会秘书作为投资者关系管理负责人，安排专人作好投资者来访接待工作，</w:t>
      </w:r>
    </w:p>
    <w:p>
      <w:pPr>
        <w:spacing w:after="0" w:line="316" w:lineRule="auto"/>
        <w:jc w:val="left"/>
        <w:sectPr>
          <w:pgSz w:w="11910" w:h="16840"/>
          <w:pgMar w:header="747" w:footer="982" w:top="1060" w:bottom="1180" w:left="980" w:right="940"/>
        </w:sectPr>
      </w:pPr>
    </w:p>
    <w:p>
      <w:pPr>
        <w:spacing w:line="240" w:lineRule="auto" w:before="12"/>
        <w:rPr>
          <w:rFonts w:ascii="宋体" w:hAnsi="宋体" w:cs="宋体" w:eastAsia="宋体" w:hint="default"/>
          <w:sz w:val="25"/>
          <w:szCs w:val="25"/>
        </w:rPr>
      </w:pPr>
    </w:p>
    <w:p>
      <w:pPr>
        <w:pStyle w:val="BodyText"/>
        <w:spacing w:line="316" w:lineRule="auto" w:before="44"/>
        <w:ind w:left="153" w:right="160"/>
        <w:jc w:val="left"/>
      </w:pPr>
      <w:r>
        <w:rPr/>
        <w:t>并作好各次接待的资料存档工作。</w:t>
      </w:r>
      <w:r>
        <w:rPr>
          <w:spacing w:val="-19"/>
        </w:rPr>
        <w:t> </w:t>
      </w:r>
      <w:r>
        <w:rPr/>
        <w:t>通过投资者关系管理电话、电子信箱、传真、互动易等多种渠道与投资者加强沟通，能</w:t>
      </w:r>
      <w:r>
        <w:rPr/>
        <w:t> 够做到有信必复，并在法律法规允许的情况下尽可能解答投资者的疑问。</w:t>
      </w:r>
    </w:p>
    <w:p>
      <w:pPr>
        <w:spacing w:line="240" w:lineRule="auto" w:before="0"/>
        <w:rPr>
          <w:rFonts w:ascii="宋体" w:hAnsi="宋体" w:cs="宋体" w:eastAsia="宋体" w:hint="default"/>
          <w:sz w:val="18"/>
          <w:szCs w:val="18"/>
        </w:rPr>
      </w:pPr>
    </w:p>
    <w:p>
      <w:pPr>
        <w:pStyle w:val="BodyText"/>
        <w:spacing w:line="240" w:lineRule="auto" w:before="136"/>
        <w:ind w:left="153" w:right="0"/>
        <w:jc w:val="left"/>
      </w:pPr>
      <w:r>
        <w:rPr/>
        <w:t>公司治理与《公司法》和中国证监会相关规定的要求是否存在差异</w:t>
      </w:r>
    </w:p>
    <w:p>
      <w:pPr>
        <w:pStyle w:val="BodyText"/>
        <w:spacing w:line="240" w:lineRule="auto" w:before="117"/>
        <w:ind w:left="153" w:right="0"/>
        <w:jc w:val="left"/>
      </w:pPr>
      <w:r>
        <w:rPr/>
        <w:t>□ 是 √ 否</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三、报告期董事会召开情况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第二届董事会第十五次会议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第二届董事会第十六次会议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第二届董事会第十七次会议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第二届董事会第十八次会议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免于披露</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公告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第二届董事会第二十一次会 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http://www.cninfo.com.cn</w:t>
              </w:r>
            </w:hyperlink>
            <w:r>
              <w:rPr>
                <w:rFonts w:ascii="Times New Roman" w:hAnsi="Times New Roman" w:cs="Times New Roman" w:eastAsia="Times New Roman" w:hint="default"/>
                <w:spacing w:val="32"/>
                <w:sz w:val="18"/>
                <w:szCs w:val="18"/>
              </w:rPr>
              <w:t> </w:t>
            </w:r>
            <w:r>
              <w:rPr>
                <w:rFonts w:ascii="宋体" w:hAnsi="宋体" w:cs="宋体" w:eastAsia="宋体" w:hint="default"/>
                <w:sz w:val="18"/>
                <w:szCs w:val="18"/>
              </w:rPr>
              <w:t>公告 编号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四、年度报告重大差错责任追究制度的建立与执行情况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07" w:right="0"/>
        <w:jc w:val="left"/>
      </w:pPr>
      <w:r>
        <w:rPr/>
        <w:t>为了加强公司规范运作意识，保证信息披露的真实性、准确性、完整性和及时性，提高年报信息披露的质量和透明度，</w:t>
      </w:r>
    </w:p>
    <w:p>
      <w:pPr>
        <w:pStyle w:val="BodyText"/>
        <w:spacing w:line="240" w:lineRule="auto" w:before="76"/>
        <w:ind w:right="0"/>
        <w:jc w:val="left"/>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日，公司第一届董事会第十三次会议审议通过《年报信息重大差错责任追究制度》，报告期内，公司严格执行</w:t>
      </w:r>
    </w:p>
    <w:p>
      <w:pPr>
        <w:pStyle w:val="BodyText"/>
        <w:spacing w:line="300" w:lineRule="auto" w:before="63"/>
        <w:ind w:right="0"/>
        <w:jc w:val="left"/>
      </w:pPr>
      <w:r>
        <w:rPr>
          <w:spacing w:val="-2"/>
        </w:rPr>
        <w:t>《年报信息重大差错责任追究制度》的相关规定，未发生重大会计差错更正、重大遗漏信息补充等情况。公司</w:t>
      </w:r>
      <w:r>
        <w:rPr>
          <w:rFonts w:ascii="Times New Roman" w:hAnsi="Times New Roman" w:cs="Times New Roman" w:eastAsia="Times New Roman" w:hint="default"/>
          <w:spacing w:val="-2"/>
        </w:rPr>
        <w:t>2014</w:t>
      </w:r>
      <w:r>
        <w:rPr>
          <w:spacing w:val="-2"/>
        </w:rPr>
        <w:t>年第一季</w:t>
      </w:r>
      <w:r>
        <w:rPr>
          <w:spacing w:val="-62"/>
        </w:rPr>
        <w:t> </w:t>
      </w:r>
      <w:r>
        <w:rPr/>
        <w:t>度业绩预告修正公告在规定时间内修正发布，符合相关法律法规要求。</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五、监事会工作情况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监事会在报告期内的监督活动是否发现公司存在风险</w:t>
      </w:r>
    </w:p>
    <w:p>
      <w:pPr>
        <w:pStyle w:val="BodyText"/>
        <w:spacing w:line="360" w:lineRule="auto" w:before="116"/>
        <w:ind w:left="153" w:right="6351"/>
        <w:jc w:val="left"/>
      </w:pPr>
      <w:r>
        <w:rPr/>
        <w:t>□ 是 √ 否 公司监事会对报告期内的监督事项无异议。</w:t>
      </w:r>
    </w:p>
    <w:p>
      <w:pPr>
        <w:spacing w:after="0" w:line="36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91" w:right="3627"/>
        <w:jc w:val="center"/>
        <w:rPr>
          <w:b w:val="0"/>
          <w:bCs w:val="0"/>
        </w:rPr>
      </w:pPr>
      <w:bookmarkStart w:name="_TOC_250001" w:id="9"/>
      <w:r>
        <w:rPr/>
        <w:t>第九节</w:t>
      </w:r>
      <w:r>
        <w:rPr>
          <w:spacing w:val="-5"/>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1"/>
        <w:gridCol w:w="4787"/>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610182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沈建林、陈科举</w:t>
            </w:r>
          </w:p>
        </w:tc>
      </w:tr>
    </w:tbl>
    <w:p>
      <w:pPr>
        <w:spacing w:line="240" w:lineRule="auto" w:before="5"/>
        <w:rPr>
          <w:rFonts w:ascii="宋体" w:hAnsi="宋体" w:cs="宋体" w:eastAsia="宋体" w:hint="default"/>
          <w:b/>
          <w:bCs/>
          <w:sz w:val="27"/>
          <w:szCs w:val="27"/>
        </w:rPr>
      </w:pPr>
    </w:p>
    <w:p>
      <w:pPr>
        <w:pStyle w:val="BodyText"/>
        <w:spacing w:line="240" w:lineRule="auto" w:before="44"/>
        <w:ind w:left="3590" w:right="3627"/>
        <w:jc w:val="center"/>
      </w:pPr>
      <w:r>
        <w:rPr/>
        <w:t>审计报告正文</w:t>
      </w:r>
    </w:p>
    <w:p>
      <w:pPr>
        <w:pStyle w:val="BodyText"/>
        <w:spacing w:line="240" w:lineRule="auto" w:before="117"/>
        <w:ind w:right="90"/>
        <w:jc w:val="left"/>
      </w:pPr>
      <w:r>
        <w:rPr/>
        <w:t>上海华峰超纤材料股份有限公司全体股东：</w:t>
      </w:r>
    </w:p>
    <w:p>
      <w:pPr>
        <w:pStyle w:val="BodyText"/>
        <w:spacing w:line="300" w:lineRule="auto" w:before="115"/>
        <w:ind w:right="191" w:firstLine="360"/>
        <w:jc w:val="both"/>
      </w:pPr>
      <w:r>
        <w:rPr/>
        <w:t>我们审计了后附的上海华峰超纤材料股份有限公司（以下简称贵公司）财务报表，包括 </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日的合并及 </w:t>
      </w:r>
      <w:r>
        <w:rPr>
          <w:spacing w:val="-8"/>
        </w:rPr>
        <w:t>公司资产负债表、、</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17"/>
        </w:rPr>
        <w:t> </w:t>
      </w:r>
      <w:r>
        <w:rPr>
          <w:spacing w:val="-1"/>
        </w:rPr>
        <w:t>年度的合并及公司利润表、合并及公司现金流量表、合并及公司所有者权益变动表以及财务报表附</w:t>
      </w:r>
      <w:r>
        <w:rPr>
          <w:spacing w:val="-88"/>
        </w:rPr>
        <w:t> </w:t>
      </w:r>
      <w:r>
        <w:rPr>
          <w:spacing w:val="-88"/>
        </w:rPr>
      </w:r>
      <w:r>
        <w:rPr/>
        <w:t>注。</w:t>
      </w:r>
    </w:p>
    <w:p>
      <w:pPr>
        <w:pStyle w:val="BodyText"/>
        <w:spacing w:line="357" w:lineRule="auto" w:before="71"/>
        <w:ind w:left="514" w:right="90" w:hanging="360"/>
        <w:jc w:val="left"/>
      </w:pPr>
      <w:r>
        <w:rPr/>
        <w:t>一、管理层对财务报表的责任 </w:t>
      </w:r>
      <w:r>
        <w:rPr>
          <w:spacing w:val="-4"/>
        </w:rPr>
        <w:t>编制和公允列报财务报表是贵公司管理层的责任。这种责任包括：（</w:t>
      </w:r>
      <w:r>
        <w:rPr>
          <w:rFonts w:ascii="Times New Roman" w:hAnsi="Times New Roman" w:cs="Times New Roman" w:eastAsia="Times New Roman" w:hint="default"/>
          <w:spacing w:val="-4"/>
        </w:rPr>
        <w:t>1</w:t>
      </w:r>
      <w:r>
        <w:rPr>
          <w:spacing w:val="-4"/>
        </w:rPr>
        <w:t>）按照企业会计准则的规定编制财务报表，并使其</w:t>
      </w:r>
    </w:p>
    <w:p>
      <w:pPr>
        <w:pStyle w:val="BodyText"/>
        <w:spacing w:line="216" w:lineRule="exact"/>
        <w:ind w:right="90"/>
        <w:jc w:val="left"/>
      </w:pPr>
      <w:r>
        <w:rPr/>
        <w:t>实现公允反映</w:t>
      </w:r>
      <w:r>
        <w:rPr>
          <w:spacing w:val="-90"/>
        </w:rPr>
        <w:t>；</w:t>
      </w:r>
      <w:r>
        <w:rPr/>
        <w:t>（</w:t>
      </w:r>
      <w:r>
        <w:rPr>
          <w:rFonts w:ascii="Times New Roman" w:hAnsi="Times New Roman" w:cs="Times New Roman" w:eastAsia="Times New Roman" w:hint="default"/>
        </w:rPr>
        <w:t>2</w:t>
      </w:r>
      <w:r>
        <w:rPr/>
        <w:t>）设计、执行和维护必要的内部控制，以使财务报表不存在由于舞弊或错误导致的重大错报。</w:t>
      </w:r>
    </w:p>
    <w:p>
      <w:pPr>
        <w:pStyle w:val="BodyText"/>
        <w:spacing w:line="357" w:lineRule="auto" w:before="102"/>
        <w:ind w:left="514" w:right="90" w:hanging="360"/>
        <w:jc w:val="left"/>
      </w:pPr>
      <w:r>
        <w:rPr/>
        <w:t>二、注册会计师的责任 </w:t>
      </w:r>
      <w:r>
        <w:rPr>
          <w:spacing w:val="-2"/>
        </w:rPr>
        <w:t>我们的责任是在执行审计工作的基础上对财务报表发表审计意见。我们按照中国注册会计师审计准则的规定执行了审计</w:t>
      </w:r>
    </w:p>
    <w:p>
      <w:pPr>
        <w:pStyle w:val="BodyText"/>
        <w:spacing w:line="224" w:lineRule="exact"/>
        <w:ind w:right="0"/>
        <w:jc w:val="left"/>
      </w:pPr>
      <w:r>
        <w:rPr/>
        <w:t>工作。中国注册会计师审计准则要求我们遵守中国注册会计师职业道德守则，计划和执行审计工作以对财务报表是否不存在</w:t>
      </w:r>
    </w:p>
    <w:p>
      <w:pPr>
        <w:pStyle w:val="BodyText"/>
        <w:spacing w:line="357" w:lineRule="auto" w:before="77"/>
        <w:ind w:left="514" w:right="90" w:hanging="360"/>
        <w:jc w:val="left"/>
      </w:pPr>
      <w:r>
        <w:rPr/>
        <w:t>重大错报获取合理保证。 审计工作涉及实施审计程序，以获取有关财务报表金额和披露的审计证据。选择的审计程序取决于注册会计师的判断，</w:t>
      </w:r>
    </w:p>
    <w:p>
      <w:pPr>
        <w:pStyle w:val="BodyText"/>
        <w:spacing w:line="224" w:lineRule="exact"/>
        <w:ind w:right="0"/>
        <w:jc w:val="left"/>
      </w:pPr>
      <w:r>
        <w:rPr/>
        <w:t>包括对由于舞弊或错误导致的财务报表重大错报风险的评估。在进行风险评估时，注册会计师考虑与财务报表编制和公允列</w:t>
      </w:r>
    </w:p>
    <w:p>
      <w:pPr>
        <w:pStyle w:val="BodyText"/>
        <w:spacing w:line="319" w:lineRule="auto" w:before="76"/>
        <w:ind w:right="90"/>
        <w:jc w:val="left"/>
      </w:pPr>
      <w:r>
        <w:rPr>
          <w:spacing w:val="-2"/>
        </w:rPr>
        <w:t>报相关的内部控制，以设计恰当的审计程序，但目的并非对内部控制的有效性发表意见。审计工作还包括评价管理层选用会</w:t>
      </w:r>
      <w:r>
        <w:rPr>
          <w:spacing w:val="-66"/>
        </w:rPr>
        <w:t> </w:t>
      </w:r>
      <w:r>
        <w:rPr>
          <w:spacing w:val="-66"/>
        </w:rPr>
      </w:r>
      <w:r>
        <w:rPr/>
        <w:t>计政策的恰当性和作出会计估计的合理性，以及评价财务报表的总体列报。</w:t>
      </w:r>
    </w:p>
    <w:p>
      <w:pPr>
        <w:pStyle w:val="BodyText"/>
        <w:spacing w:line="357" w:lineRule="auto" w:before="56"/>
        <w:ind w:right="3150" w:firstLine="360"/>
        <w:jc w:val="left"/>
      </w:pPr>
      <w:r>
        <w:rPr/>
        <w:t>我们相信，我们获取的审计证据是充分、适当的，为发表审计意见提供了基础。 三、审计意见</w:t>
      </w:r>
    </w:p>
    <w:p>
      <w:pPr>
        <w:pStyle w:val="BodyText"/>
        <w:spacing w:line="240" w:lineRule="auto" w:before="28"/>
        <w:ind w:left="514" w:right="90"/>
        <w:jc w:val="left"/>
      </w:pPr>
      <w:r>
        <w:rPr/>
        <w:t>我们认为，贵公司财务报表在所有重大方面按照企业会计准则的规定编制，公允反映了贵公司</w:t>
      </w:r>
      <w:r>
        <w:rPr>
          <w:spacing w:val="-45"/>
        </w:rPr>
        <w:t> </w:t>
      </w:r>
      <w:r>
        <w:rPr>
          <w:rFonts w:ascii="Times New Roman" w:hAnsi="Times New Roman" w:cs="Times New Roman" w:eastAsia="Times New Roman" w:hint="default"/>
        </w:rPr>
        <w:t>2014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31 </w:t>
      </w:r>
      <w:r>
        <w:rPr/>
        <w:t>日的合</w:t>
      </w:r>
    </w:p>
    <w:p>
      <w:pPr>
        <w:pStyle w:val="BodyText"/>
        <w:tabs>
          <w:tab w:pos="6379" w:val="left" w:leader="none"/>
        </w:tabs>
        <w:spacing w:line="338" w:lineRule="auto" w:before="64"/>
        <w:ind w:left="709" w:right="1622" w:hanging="556"/>
        <w:jc w:val="left"/>
      </w:pPr>
      <w:r>
        <w:rPr/>
        <w:t>并及公司财务状况以及</w:t>
      </w:r>
      <w:r>
        <w:rPr>
          <w:spacing w:val="-46"/>
        </w:rPr>
        <w:t> </w:t>
      </w:r>
      <w:r>
        <w:rPr>
          <w:rFonts w:ascii="Times New Roman" w:hAnsi="Times New Roman" w:cs="Times New Roman" w:eastAsia="Times New Roman" w:hint="default"/>
        </w:rPr>
        <w:t>2014 </w:t>
      </w:r>
      <w:r>
        <w:rPr/>
        <w:t>年度的合并及公司经营成果和现金流量。 立信会计师事务所（特殊普通合伙）</w:t>
        <w:tab/>
        <w:t>中国注册会计师：沈建林</w:t>
      </w:r>
    </w:p>
    <w:p>
      <w:pPr>
        <w:pStyle w:val="BodyText"/>
        <w:spacing w:line="240" w:lineRule="auto" w:before="2"/>
        <w:ind w:left="6410" w:right="90"/>
        <w:jc w:val="left"/>
      </w:pPr>
      <w:r>
        <w:rPr/>
        <w:t>中国注册会计师：陈科举</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7025" w:val="left" w:leader="none"/>
        </w:tabs>
        <w:spacing w:line="240" w:lineRule="auto" w:before="146"/>
        <w:ind w:left="4892" w:right="90"/>
        <w:jc w:val="left"/>
      </w:pPr>
      <w:r>
        <w:rPr>
          <w:spacing w:val="-1"/>
        </w:rPr>
        <w:t>中国</w:t>
      </w:r>
      <w:r>
        <w:rPr>
          <w:rFonts w:ascii="Times New Roman" w:hAnsi="Times New Roman" w:cs="Times New Roman" w:eastAsia="Times New Roman" w:hint="default"/>
          <w:spacing w:val="-1"/>
        </w:rPr>
        <w:t>•</w:t>
      </w:r>
      <w:r>
        <w:rPr>
          <w:spacing w:val="-1"/>
        </w:rPr>
        <w:t>上海</w:t>
        <w:tab/>
        <w:t>二</w:t>
      </w:r>
      <w:r>
        <w:rPr>
          <w:rFonts w:ascii="Times New Roman" w:hAnsi="Times New Roman" w:cs="Times New Roman" w:eastAsia="Times New Roman" w:hint="default"/>
          <w:spacing w:val="-1"/>
        </w:rPr>
        <w:t>O</w:t>
      </w:r>
      <w:r>
        <w:rPr>
          <w:spacing w:val="-1"/>
        </w:rPr>
        <w:t>一五年三月二十六日</w:t>
      </w:r>
    </w:p>
    <w:p>
      <w:pPr>
        <w:spacing w:after="0" w:line="240" w:lineRule="auto"/>
        <w:jc w:val="left"/>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240" w:lineRule="auto" w:before="44"/>
        <w:ind w:right="-20"/>
        <w:jc w:val="left"/>
      </w:pPr>
      <w:r>
        <w:rPr/>
        <w:t>编制单位：上海华峰超纤材料股份有限公司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6"/>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03 </w:t>
      </w:r>
      <w:r>
        <w:rPr/>
        <w:t>月</w:t>
      </w:r>
      <w:r>
        <w:rPr>
          <w:spacing w:val="-46"/>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980"/>
          <w:cols w:num="3" w:equalWidth="0">
            <w:col w:w="3575" w:space="50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157,464,403.01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135,727,271.01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96,951,195.79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58,867,630.34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9,861,964.93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7,275,587.83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2,352,159.73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4,589,630.05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24,162,203.67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201,787,680.16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170,208,905.24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5,593,566.51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661,964,276.31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680,991,353.06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685,783,537.53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627,090,224.94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17,989,197.69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13,204,290.08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467,270.18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437,107.54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324,783,273.85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68,851,011.19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957,442.07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52,996,031.26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2,559,782.40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23,554,799.51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56,301,376.64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1,106,145,902.02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769,401,234.86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1,768,110,178.33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1,450,392,587.92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68,849,352.62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32,946,296.99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7,003,834.15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5,720,368.57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11,925,401.59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48,413,833.58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2,007,914.82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1,371,519.47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142,898,315.78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53,971,501.44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348,984,627.78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72,686,501.44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779,077,441.94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837,351,641.94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54,313,415.24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42,643,949.17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427,734,693.37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339,710,495.37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1,419,125,550.55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1,377,706,086.48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1,419,125,550.55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1,377,706,086.48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1,768,110,178.33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1,450,392,587.92</w:t>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248"/>
        <w:jc w:val="right"/>
      </w:pPr>
      <w:r>
        <w:rPr/>
        <w:t>法定代表人：尤小平</w:t>
        <w:tab/>
        <w:t>主管会计工作负责人：蔡开成</w:t>
        <w:tab/>
        <w:t>会计机构负责人：李德光</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122,685,277.93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276,582,643.08</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157,464,403.01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135,727,271.01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96,951,195.79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58,867,630.34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9,488,509.83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7,275,587.83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2,352,159.73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4,404,625.55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1,630,864.65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201,787,680.16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170,208,905.24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5,549,988.91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592,781,692.27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658,195,050.79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685,001,608.40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626,553,593.18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16,317,999.47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11,421,903.25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467,270.18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437,107.54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62,975,255.45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64,337,581.99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571,792.00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957,442.07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3,815,151.77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2,559,782.40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23,309,843.45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30,301,376.64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942,458,920.72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736,568,787.07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1,535,240,612.99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1,394,763,837.86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68,849,352.62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32,946,296.99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7,003,834.15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5,720,368.57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18,202,712.54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11,735,339.66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1,159,706.80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1,984,179.50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1,371,519.47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95,469,818.65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53,757,704.19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16,585,000.00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112,054,818.65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72,472,704.19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777,351,641.94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777,351,641.94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54,313,415.24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42,643,949.17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433,520,737.16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344,295,542.56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1,423,185,794.34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1,322,291,133.67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1,535,240,612.99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1,394,763,837.86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970,313,107.92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726,549,802.95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970,313,107.92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726,549,802.95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844,557,806.95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630,734,435.57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706,808,422.23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538,310,698.69</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99704pt;margin-top:521.280029pt;width:193.15pt;height:19.650pt;mso-position-horizontal-relative:page;mso-position-vertical-relative:page;z-index:-625600" type="#_x0000_t202" filled="false" stroked="false">
            <v:textbox inset="0,0,0,0">
              <w:txbxContent>
                <w:p>
                  <w:pPr>
                    <w:pStyle w:val="BodyText"/>
                    <w:spacing w:line="240" w:lineRule="auto" w:before="51"/>
                    <w:ind w:left="0" w:right="0"/>
                    <w:jc w:val="left"/>
                  </w:pPr>
                  <w:r>
                    <w:rPr/>
                    <w:t>号填列）</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803,432.63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862,506.46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25,777,310.56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15,021,797.11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110,370,213.91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78,232,862.18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-3,237,699.13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-5,251,027.78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4,036,126.75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3,557,598.91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13" w:space="0" w:color="FFFFFF"/>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125,755,300.97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95,815,367.38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5,946,221.41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6,487,840.85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129,182.03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88,034.20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203,622.00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116,244.98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0"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131,497,900.38</w:t>
            </w:r>
          </w:p>
        </w:tc>
        <w:tc>
          <w:tcPr>
            <w:tcW w:w="327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102,186,963.25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16,004,236.31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14,008,504.94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3210"/>
        <w:gridCol w:w="3276"/>
      </w:tblGrid>
      <w:tr>
        <w:trPr>
          <w:trHeight w:val="67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0.56</w:t>
            </w:r>
          </w:p>
        </w:tc>
      </w:tr>
    </w:tbl>
    <w:p>
      <w:pPr>
        <w:pStyle w:val="BodyText"/>
        <w:spacing w:line="240" w:lineRule="auto" w:before="51"/>
        <w:ind w:right="0"/>
        <w:jc w:val="left"/>
      </w:pPr>
      <w:r>
        <w:rPr/>
        <w:t>本期发生同一控制下企业合并的，被合并方在合并前实现的净利润为：</w:t>
      </w:r>
      <w:r>
        <w:rPr>
          <w:rFonts w:ascii="Times New Roman" w:hAnsi="Times New Roman" w:cs="Times New Roman" w:eastAsia="Times New Roman" w:hint="default"/>
        </w:rPr>
        <w:t>-693,402.48</w:t>
      </w:r>
      <w:r>
        <w:rPr>
          <w:rFonts w:ascii="Times New Roman" w:hAnsi="Times New Roman" w:cs="Times New Roman" w:eastAsia="Times New Roman" w:hint="default"/>
          <w:spacing w:val="-2"/>
        </w:rPr>
        <w:t> </w:t>
      </w:r>
      <w:r>
        <w:rPr/>
        <w:t>元，上期被合并方实现的净利润为：</w:t>
      </w:r>
    </w:p>
    <w:p>
      <w:pPr>
        <w:pStyle w:val="BodyText"/>
        <w:spacing w:line="240" w:lineRule="auto" w:before="63"/>
        <w:ind w:left="153" w:right="0"/>
        <w:jc w:val="left"/>
      </w:pPr>
      <w:r>
        <w:rPr>
          <w:rFonts w:ascii="Times New Roman" w:hAnsi="Times New Roman" w:cs="Times New Roman" w:eastAsia="Times New Roman" w:hint="default"/>
        </w:rPr>
        <w:t>-1,667,843.93</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18"/>
          <w:szCs w:val="18"/>
        </w:rPr>
      </w:pPr>
    </w:p>
    <w:p>
      <w:pPr>
        <w:pStyle w:val="BodyText"/>
        <w:tabs>
          <w:tab w:pos="3573" w:val="left" w:leader="none"/>
          <w:tab w:pos="7713" w:val="left" w:leader="none"/>
        </w:tabs>
        <w:spacing w:line="240" w:lineRule="auto" w:before="127"/>
        <w:ind w:left="153" w:right="0"/>
        <w:jc w:val="left"/>
      </w:pPr>
      <w:r>
        <w:rPr/>
        <w:t>法定代表人：尤小平</w:t>
        <w:tab/>
        <w:t>主管会计工作负责人：蔡开成</w:t>
        <w:tab/>
        <w:t>会计机构负责人：李德光</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970,313,107.92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726,549,802.95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706,808,422.23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538,310,698.69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803,432.63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862,506.46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25,777,310.56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15,021,797.11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107,373,564.51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76,564,437.38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-3,238,019.10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-5,250,451.20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4,026,548.03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3,557,603.20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128,761,849.06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97,483,211.31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5,946,221.41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6,487,840.85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129,182.03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88,034.20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203,622.00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116,244.98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134,504,448.47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103,854,807.18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17,809,787.80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14,008,504.94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116,694,660.67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89,846,302.24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116,694,660.67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89,846,302.24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860,370,244.49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663,854,785.85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15,518,399.85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9,045,986.98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11,429,900.01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15,303,715.25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887,318,544.35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688,204,488.08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548,120,272.74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473,730,488.78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114,673,292.97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85,677,893.55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35,270,601.87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34,725,495.36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67,423,030.34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36,963,057.73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765,487,197.92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631,096,935.42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121,831,346.43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57,107,552.66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1,273,619.91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322,658.96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240,239,310.70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22,100,173.25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266,512,930.61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22,422,832.21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371,696,453.62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143,833,976.25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58,129,430.95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28,194,352.16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458,020,236.73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143,833,976.25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-191,507,306.12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-121,411,144.04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15,818,666.67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45,818,666.67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-85,494,626.36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-80,103,591.38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276,804,028.73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356,907,620.11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191,309,402.37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860,370,244.49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663,854,785.85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15,518,399.85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9,045,986.98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11,399,826.01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15,301,171.32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887,288,470.35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688,201,944.15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548,120,272.74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473,722,917.55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114,229,108.37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84,917,432.30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34,988,103.61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34,673,228.68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66,672,413.91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36,495,787.06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764,009,898.63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629,809,365.59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123,278,571.72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58,392,578.56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1,273,619.91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322,658.96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1,273,619.91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20,422,658.96</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112,630,890.11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143,338,736.50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262,630,890.11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143,338,736.50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-261,357,270.20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-122,916,077.54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15,818,666.67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45,818,666.67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-15,818,666.67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-153,897,365.15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-80,323,498.98</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276,582,643.08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356,906,142.06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122,685,277.93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276,582,643.08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777,351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949.17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,542.56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91,133.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-4,585,0</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47.19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55,414,</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952.81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837,351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949.17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339,710</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,495.37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06,086.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48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-58,274,</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88,024,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198.00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41,419,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464.07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115,493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,664.07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115,493</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,664.07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-27,469,</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466.07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466.07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466.07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-58,274,</w:t>
            </w:r>
          </w:p>
          <w:p>
            <w:pPr>
              <w:pStyle w:val="TableParagraph"/>
              <w:spacing w:line="240" w:lineRule="auto" w:before="106"/>
              <w:ind w:left="114" w:right="0"/>
              <w:jc w:val="center"/>
              <w:rPr>
                <w:rFonts w:ascii="Times New Roman" w:hAnsi="Times New Roman" w:cs="Times New Roman" w:eastAsia="Times New Roman" w:hint="default"/>
                <w:sz w:val="18"/>
                <w:szCs w:val="18"/>
              </w:rPr>
            </w:pPr>
            <w:r>
              <w:rPr>
                <w:rFonts w:ascii="Times New Roman"/>
                <w:sz w:val="18"/>
              </w:rPr>
              <w:t>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-58,274,</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200.00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779,077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54,313,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415.24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427,734</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,693.37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25,550.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55</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3"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777,351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33,659,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279,233</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,870.54</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1,248,2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44,831.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2"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5"/>
              <w:ind w:left="138"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-2,917,2</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03.26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57,082,</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796.74</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837,351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,641.94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33,659,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318.95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276,316</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,667.28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1,305,3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27,628.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8" w:right="0"/>
              <w:jc w:val="center"/>
              <w:rPr>
                <w:rFonts w:ascii="Times New Roman" w:hAnsi="Times New Roman" w:cs="Times New Roman" w:eastAsia="Times New Roman" w:hint="default"/>
                <w:sz w:val="18"/>
                <w:szCs w:val="18"/>
              </w:rPr>
            </w:pPr>
            <w:r>
              <w:rPr>
                <w:rFonts w:ascii="Times New Roman"/>
                <w:sz w:val="18"/>
              </w:rPr>
              <w:t>8,984,6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30.22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63,393,</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828.09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72,378,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458.31</w:t>
            </w:r>
          </w:p>
        </w:tc>
      </w:tr>
      <w:tr>
        <w:trPr>
          <w:trHeight w:val="715"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Times New Roman" w:hAnsi="Times New Roman" w:cs="Times New Roman" w:eastAsia="Times New Roman" w:hint="default"/>
                <w:sz w:val="18"/>
                <w:szCs w:val="18"/>
              </w:rPr>
            </w:pPr>
            <w:r>
              <w:rPr>
                <w:rFonts w:ascii="Times New Roman"/>
                <w:sz w:val="18"/>
              </w:rPr>
              <w:t>88,178,</w:t>
            </w:r>
          </w:p>
          <w:p>
            <w:pPr>
              <w:pStyle w:val="TableParagraph"/>
              <w:spacing w:line="240" w:lineRule="auto" w:before="105"/>
              <w:ind w:left="150" w:right="0"/>
              <w:jc w:val="left"/>
              <w:rPr>
                <w:rFonts w:ascii="Times New Roman" w:hAnsi="Times New Roman" w:cs="Times New Roman" w:eastAsia="Times New Roman" w:hint="default"/>
                <w:sz w:val="18"/>
                <w:szCs w:val="18"/>
              </w:rPr>
            </w:pPr>
            <w:r>
              <w:rPr>
                <w:rFonts w:ascii="Times New Roman"/>
                <w:sz w:val="18"/>
              </w:rPr>
              <w:t>458.31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5" w:right="0"/>
              <w:jc w:val="left"/>
              <w:rPr>
                <w:rFonts w:ascii="Times New Roman" w:hAnsi="Times New Roman" w:cs="Times New Roman" w:eastAsia="Times New Roman" w:hint="default"/>
                <w:sz w:val="18"/>
                <w:szCs w:val="18"/>
              </w:rPr>
            </w:pPr>
            <w:r>
              <w:rPr>
                <w:rFonts w:ascii="Times New Roman"/>
                <w:sz w:val="18"/>
              </w:rPr>
              <w:t>88,178,</w:t>
            </w:r>
          </w:p>
          <w:p>
            <w:pPr>
              <w:pStyle w:val="TableParagraph"/>
              <w:spacing w:line="240" w:lineRule="auto" w:before="105"/>
              <w:ind w:left="130" w:right="0"/>
              <w:jc w:val="left"/>
              <w:rPr>
                <w:rFonts w:ascii="Times New Roman" w:hAnsi="Times New Roman" w:cs="Times New Roman" w:eastAsia="Times New Roman" w:hint="default"/>
                <w:sz w:val="18"/>
                <w:szCs w:val="18"/>
              </w:rPr>
            </w:pPr>
            <w:r>
              <w:rPr>
                <w:rFonts w:ascii="Times New Roman"/>
                <w:sz w:val="18"/>
              </w:rPr>
              <w:t>458.31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8,984,6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30.22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-24,784,</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630.22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8,984,6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30.22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-8,984,6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30.22</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08"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837,351</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,641.94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42,643,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949.17</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339,710</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,495.37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06,086.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本期金额</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42,643,94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1,322,291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,133.67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42,643,94</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9.17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,542.56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1,322,291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,133.67</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89,225,</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194.60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100,894,6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Times New Roman" w:hAnsi="Times New Roman" w:cs="Times New Roman" w:eastAsia="Times New Roman" w:hint="default"/>
                <w:sz w:val="18"/>
                <w:szCs w:val="18"/>
              </w:rPr>
            </w:pPr>
            <w:r>
              <w:rPr>
                <w:rFonts w:ascii="Times New Roman"/>
                <w:sz w:val="18"/>
              </w:rPr>
              <w:t>116,694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,660.67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4"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60.67</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-27,469,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466.07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left"/>
              <w:rPr>
                <w:rFonts w:ascii="Times New Roman" w:hAnsi="Times New Roman" w:cs="Times New Roman" w:eastAsia="Times New Roman" w:hint="default"/>
                <w:sz w:val="18"/>
                <w:szCs w:val="18"/>
              </w:rPr>
            </w:pPr>
            <w:r>
              <w:rPr>
                <w:rFonts w:ascii="Times New Roman"/>
                <w:sz w:val="18"/>
              </w:rPr>
              <w:t>11,669,46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6.07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left"/>
              <w:rPr>
                <w:rFonts w:ascii="Times New Roman" w:hAnsi="Times New Roman" w:cs="Times New Roman" w:eastAsia="Times New Roman" w:hint="default"/>
                <w:sz w:val="18"/>
                <w:szCs w:val="18"/>
              </w:rPr>
            </w:pPr>
            <w:r>
              <w:rPr>
                <w:rFonts w:ascii="Times New Roman"/>
                <w:sz w:val="18"/>
              </w:rPr>
              <w:t>-11,669,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466.07</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36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54,313,41</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5.24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433,520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,737.16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1,423,185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,794.34</w:t>
            </w:r>
          </w:p>
        </w:tc>
      </w:tr>
    </w:tbl>
    <w:p>
      <w:pPr>
        <w:pStyle w:val="BodyText"/>
        <w:spacing w:line="240" w:lineRule="auto" w:before="51"/>
        <w:ind w:right="0"/>
        <w:jc w:val="left"/>
      </w:pPr>
      <w:r>
        <w:rPr/>
        <w:t>上期金额</w:t>
      </w:r>
    </w:p>
    <w:p>
      <w:pPr>
        <w:pStyle w:val="BodyText"/>
        <w:spacing w:line="240" w:lineRule="auto" w:before="117"/>
        <w:ind w:left="0" w:right="151"/>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33,659,31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279,233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,870.54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1,248,244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,831.43</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33,659,31</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8.95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279,233</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,870.54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1,248,244</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,831.43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8,984,630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65,061,</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672.02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74,046,30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89,846,</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302.24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89,846,30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2.24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8,984,630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-24,784,</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630.22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8,984,630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-8,984,6</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30.22</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-15,800,</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158,000,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777,351,6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41.94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42,643,94</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9.17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344,295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,542.56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1,322,291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,133.67</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40"/>
        <w:jc w:val="left"/>
      </w:pPr>
      <w:r>
        <w:rPr>
          <w:spacing w:val="-2"/>
        </w:rPr>
        <w:t>上海华峰超纤材料股份有限公司（以下简称“公司”或“本公司”）是在原华峰集团上海有限公司基础上整体变更设立的股</w:t>
      </w:r>
      <w:r>
        <w:rPr>
          <w:spacing w:val="-70"/>
        </w:rPr>
        <w:t> </w:t>
      </w:r>
      <w:r>
        <w:rPr>
          <w:spacing w:val="-70"/>
        </w:rPr>
      </w:r>
      <w:r>
        <w:rPr/>
        <w:t>份有限公司，由华峰集团有限公司和尤金焕等38位自然人作为发起人，注册资本为11,800万元（每股面值人民币1元）。公 司于2008年10月17日取得上海市工商行政管理局金山分局颁发的第310228000524099号企业法人营业执照。 </w:t>
      </w:r>
      <w:r>
        <w:rPr>
          <w:spacing w:val="-3"/>
        </w:rPr>
        <w:t>根据本公司2010年第二次临时股东大会、第一届董事会第八次会议决议，并经中国证券监督管理委员会证监许可【2011】132</w:t>
      </w:r>
      <w:r>
        <w:rPr>
          <w:spacing w:val="-86"/>
        </w:rPr>
        <w:t> </w:t>
      </w:r>
      <w:r>
        <w:rPr>
          <w:spacing w:val="-86"/>
        </w:rPr>
      </w:r>
      <w:r>
        <w:rPr/>
        <w:t>号文“关于核准上海华峰超纤材料股份有限公司首次公开发行股票并在创业板上市的批复”核准，本公司于2011年2月15日 公开发行4,000万股，每股面值1元，并于2011年2月22日在深圳证券交易所上市。 公司所属行业为塑料制品行业的子行业人造革合成革行业，细分行业为超细纤维PU合成革行业。 截止2014年12月31日，本公司累计发行股本总数15,800万股，公司注册资本为15,800.00万元。公司经营范围：超细纤维聚 </w:t>
      </w:r>
      <w:r>
        <w:rPr>
          <w:spacing w:val="-2"/>
        </w:rPr>
        <w:t>氨酯合成革（不含危险化学品）、聚氨酯革用树脂的研发、生产，化工产品（除危险品）、塑料制品、皮革制品的销售，从</w:t>
      </w:r>
      <w:r>
        <w:rPr>
          <w:spacing w:val="-71"/>
        </w:rPr>
        <w:t> </w:t>
      </w:r>
      <w:r>
        <w:rPr>
          <w:spacing w:val="-71"/>
        </w:rPr>
      </w:r>
      <w:r>
        <w:rPr/>
        <w:t>事货物与技术进出口业务。（企业经营涉及行政许可的，凭许可证件经营）。</w:t>
      </w:r>
    </w:p>
    <w:p>
      <w:pPr>
        <w:pStyle w:val="BodyText"/>
        <w:spacing w:line="240" w:lineRule="auto" w:before="19"/>
        <w:ind w:right="0"/>
        <w:jc w:val="left"/>
      </w:pPr>
      <w:r>
        <w:rPr/>
        <w:t>公司注册地：上海市金山区。</w:t>
      </w:r>
    </w:p>
    <w:p>
      <w:pPr>
        <w:spacing w:after="0" w:line="240"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本财务报表业经公司董事会于2015年3月26日批准报出。</w:t>
      </w:r>
    </w:p>
    <w:p>
      <w:pPr>
        <w:spacing w:line="240" w:lineRule="auto" w:before="0"/>
        <w:rPr>
          <w:rFonts w:ascii="宋体" w:hAnsi="宋体" w:cs="宋体" w:eastAsia="宋体" w:hint="default"/>
          <w:sz w:val="18"/>
          <w:szCs w:val="18"/>
        </w:rPr>
      </w:pPr>
    </w:p>
    <w:p>
      <w:pPr>
        <w:pStyle w:val="BodyText"/>
        <w:spacing w:line="352" w:lineRule="auto" w:before="153"/>
        <w:ind w:left="780" w:right="4731" w:hanging="627"/>
        <w:jc w:val="left"/>
      </w:pPr>
      <w:r>
        <w:rPr/>
        <w:pict>
          <v:group style="position:absolute;margin-left:87.480003pt;margin-top:23.083025pt;width:388.5pt;height:.1pt;mso-position-horizontal-relative:page;mso-position-vertical-relative:paragraph;z-index:-625552" coordorigin="1750,462" coordsize="7770,2">
            <v:shape style="position:absolute;left:1750;top:462;width:7770;height:2" coordorigin="1750,462" coordsize="7770,0" path="m1750,462l9520,462e" filled="false" stroked="true" strokeweight=".71997pt" strokecolor="#000000">
              <v:path arrowok="t"/>
            </v:shape>
            <w10:wrap type="none"/>
          </v:group>
        </w:pict>
      </w:r>
      <w:r>
        <w:rPr/>
        <w:pict>
          <v:group style="position:absolute;margin-left:87.480003pt;margin-top:40.813011pt;width:388.5pt;height:.1pt;mso-position-horizontal-relative:page;mso-position-vertical-relative:paragraph;z-index:-625528" coordorigin="1750,816" coordsize="7770,2">
            <v:shape style="position:absolute;left:1750;top:816;width:7770;height:2" coordorigin="1750,816" coordsize="7770,0" path="m1750,816l9520,816e" filled="false" stroked="true" strokeweight="1.5pt" strokecolor="#000000">
              <v:path arrowok="t"/>
            </v:shape>
            <w10:wrap type="none"/>
          </v:group>
        </w:pict>
      </w:r>
      <w:r>
        <w:rPr/>
        <w:pict>
          <v:group style="position:absolute;margin-left:87.480003pt;margin-top:58.393009pt;width:388.5pt;height:.1pt;mso-position-horizontal-relative:page;mso-position-vertical-relative:paragraph;z-index:-625504" coordorigin="1750,1168" coordsize="7770,2">
            <v:shape style="position:absolute;left:1750;top:1168;width:7770;height:2" coordorigin="1750,1168" coordsize="7770,0" path="m1750,1168l9520,1168e" filled="false" stroked="true" strokeweight="1.5pt" strokecolor="#000000">
              <v:path arrowok="t"/>
            </v:shape>
            <w10:wrap type="none"/>
          </v:group>
        </w:pict>
      </w:r>
      <w:r>
        <w:rPr/>
        <w:t>截止2014年12月31日，本公司合并财务报表范围内子公司如下： 子公司名称 江苏华峰超纤材料有限公司（以下简称“江苏超纤”） 江苏华峰化学有限公司（以下简称“江苏化学”）</w:t>
      </w:r>
    </w:p>
    <w:p>
      <w:pPr>
        <w:spacing w:line="30" w:lineRule="exact"/>
        <w:ind w:left="740" w:right="0" w:firstLine="0"/>
        <w:rPr>
          <w:rFonts w:ascii="宋体" w:hAnsi="宋体" w:cs="宋体" w:eastAsia="宋体" w:hint="default"/>
          <w:sz w:val="3"/>
          <w:szCs w:val="3"/>
        </w:rPr>
      </w:pPr>
      <w:r>
        <w:rPr>
          <w:rFonts w:ascii="宋体" w:hAnsi="宋体" w:cs="宋体" w:eastAsia="宋体" w:hint="default"/>
          <w:position w:val="0"/>
          <w:sz w:val="3"/>
          <w:szCs w:val="3"/>
        </w:rPr>
        <w:pict>
          <v:group style="width:390.75pt;height:1.5pt;mso-position-horizontal-relative:char;mso-position-vertical-relative:line" coordorigin="0,0" coordsize="7815,30">
            <v:group style="position:absolute;left:15;top:15;width:7785;height:2" coordorigin="15,15" coordsize="7785,2">
              <v:shape style="position:absolute;left:15;top:15;width:7785;height:2" coordorigin="15,15" coordsize="7785,0" path="m15,15l7799,15e" filled="false" stroked="true" strokeweight="1.5pt" strokecolor="#000000">
                <v:path arrowok="t"/>
              </v:shape>
            </v:group>
          </v:group>
        </w:pict>
      </w:r>
      <w:r>
        <w:rPr>
          <w:rFonts w:ascii="宋体" w:hAnsi="宋体" w:cs="宋体" w:eastAsia="宋体" w:hint="default"/>
          <w:position w:val="0"/>
          <w:sz w:val="3"/>
          <w:szCs w:val="3"/>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both"/>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49"/>
        <w:jc w:val="both"/>
      </w:pPr>
      <w:r>
        <w:rPr>
          <w:spacing w:val="-2"/>
        </w:rPr>
        <w:t>公司以持续经营为基础，根据实际发生的交易和事项，按照财政部颁布的《企业会计准则——基本准则》和各项具体会计准</w:t>
      </w:r>
      <w:r>
        <w:rPr>
          <w:spacing w:val="-66"/>
        </w:rPr>
        <w:t> </w:t>
      </w:r>
      <w:r>
        <w:rPr>
          <w:spacing w:val="-66"/>
        </w:rPr>
      </w:r>
      <w:r>
        <w:rPr>
          <w:spacing w:val="-2"/>
        </w:rPr>
        <w:t>则、企业会计准则应用指南、企业会计准则解释及其他相关规定（以下合称“企业会计准则”），以及中国证券监督管理委</w:t>
      </w:r>
      <w:r>
        <w:rPr>
          <w:spacing w:val="-65"/>
        </w:rPr>
        <w:t> </w:t>
      </w:r>
      <w:r>
        <w:rPr>
          <w:spacing w:val="-65"/>
        </w:rPr>
      </w:r>
      <w:r>
        <w:rPr/>
        <w:t>员会《公开发行证券的公司信息披露编报规则第15 号——财务报告的一般规定》的披露规定编制财务报表。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公司自报告期末起至少12个月以内具备持续经营能力，不存在影响持续经营能力的重大事项。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2"/>
          <w:szCs w:val="12"/>
        </w:rPr>
      </w:pPr>
    </w:p>
    <w:p>
      <w:pPr>
        <w:pStyle w:val="Heading2"/>
        <w:spacing w:line="240" w:lineRule="auto"/>
        <w:ind w:right="0"/>
        <w:jc w:val="both"/>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7250"/>
        <w:jc w:val="left"/>
      </w:pPr>
      <w:r>
        <w:rPr/>
        <w:t>具体会计政策和会计估计提示： 具体会计政策和会计估计提示：</w:t>
      </w:r>
    </w:p>
    <w:p>
      <w:pPr>
        <w:pStyle w:val="BodyText"/>
        <w:spacing w:line="240" w:lineRule="auto" w:before="19"/>
        <w:ind w:right="0"/>
        <w:jc w:val="both"/>
      </w:pPr>
      <w:r>
        <w:rPr/>
        <w:t>以下披露内容已涵盖了本公司根据实际生产经营特点制定的具体会计政策和会计估计。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spacing w:val="-2"/>
        </w:rPr>
        <w:t>公司所编制的财务报表符合企业会计准则的要求，真实、完整地反映了报告期公司的财务状况、经营成果、现金流量等有关</w:t>
      </w:r>
      <w:r>
        <w:rPr>
          <w:spacing w:val="-66"/>
        </w:rPr>
        <w:t> </w:t>
      </w:r>
      <w:r>
        <w:rPr>
          <w:spacing w:val="-66"/>
        </w:rPr>
      </w:r>
      <w:r>
        <w:rPr/>
        <w:t>信息。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自公历1月1日至12月31日止为一个会计年度。</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本公司营业周期为12个月。</w:t>
      </w:r>
    </w:p>
    <w:p>
      <w:pPr>
        <w:spacing w:after="0" w:line="240"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90"/>
        <w:jc w:val="left"/>
      </w:pPr>
      <w:r>
        <w:rPr/>
        <w:t>本公司采用人民币为记账本位币。</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9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jc w:val="left"/>
      </w:pPr>
      <w:r>
        <w:rPr>
          <w:spacing w:val="-2"/>
        </w:rPr>
        <w:t>同一控制下企业合并：本公司在企业合并中取得的资产和负债，按照合并日在被合并方资产、负债（包括最终控制方收购被</w:t>
      </w:r>
      <w:r>
        <w:rPr>
          <w:spacing w:val="-66"/>
        </w:rPr>
        <w:t> </w:t>
      </w:r>
      <w:r>
        <w:rPr>
          <w:spacing w:val="-66"/>
        </w:rPr>
      </w:r>
      <w:r>
        <w:rPr>
          <w:spacing w:val="-2"/>
        </w:rPr>
        <w:t>合并方而形成的商誉）在最终控制方合并财务报表中的账面价值计量。在合并中取得的净资产账面价值与支付的合并对价账</w:t>
      </w:r>
      <w:r>
        <w:rPr>
          <w:spacing w:val="-64"/>
        </w:rPr>
        <w:t> </w:t>
      </w:r>
      <w:r>
        <w:rPr>
          <w:spacing w:val="-64"/>
        </w:rPr>
      </w:r>
      <w:r>
        <w:rPr/>
        <w:t>面价值（或发行股份面值总额）的差额，调整资本公积中的股本溢价，资本公积中的股本溢价不足冲减的，调整留存收益。 </w:t>
      </w:r>
      <w:r>
        <w:rPr>
          <w:spacing w:val="-2"/>
        </w:rPr>
        <w:t>为企业合并发生的审计、法律服务、评估咨询等中介费用以及其他直接相关费用，于发生时计入当期损益；为企业合并而发</w:t>
      </w:r>
      <w:r>
        <w:rPr>
          <w:spacing w:val="-66"/>
        </w:rPr>
        <w:t> </w:t>
      </w:r>
      <w:r>
        <w:rPr>
          <w:spacing w:val="-66"/>
        </w:rPr>
      </w:r>
      <w:r>
        <w:rPr/>
        <w:t>行权益性证券的交易费用，冲减权益。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9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jc w:val="left"/>
      </w:pPr>
      <w:r>
        <w:rPr/>
        <w:t>1、</w:t>
      </w:r>
      <w:r>
        <w:rPr>
          <w:spacing w:val="60"/>
        </w:rPr>
        <w:t> </w:t>
      </w:r>
      <w:r>
        <w:rPr/>
        <w:t>合并范围</w:t>
      </w:r>
      <w:r>
        <w:rPr/>
        <w:t> </w:t>
      </w:r>
      <w:r>
        <w:rPr>
          <w:spacing w:val="-2"/>
        </w:rPr>
        <w:t>本公司合并财务报表的合并范围以控制为基础确定，所有子公司（包括本公司所控制的被投资方可分割的部分）均纳入合并</w:t>
      </w:r>
      <w:r>
        <w:rPr>
          <w:spacing w:val="-66"/>
        </w:rPr>
        <w:t> </w:t>
      </w:r>
      <w:r>
        <w:rPr>
          <w:spacing w:val="-66"/>
        </w:rPr>
      </w:r>
      <w:r>
        <w:rPr/>
        <w:t>财务报表。</w:t>
      </w:r>
    </w:p>
    <w:p>
      <w:pPr>
        <w:spacing w:line="240" w:lineRule="auto" w:before="4"/>
        <w:rPr>
          <w:rFonts w:ascii="宋体" w:hAnsi="宋体" w:cs="宋体" w:eastAsia="宋体" w:hint="default"/>
          <w:sz w:val="25"/>
          <w:szCs w:val="25"/>
        </w:rPr>
      </w:pPr>
    </w:p>
    <w:p>
      <w:pPr>
        <w:pStyle w:val="BodyText"/>
        <w:spacing w:line="316" w:lineRule="auto"/>
        <w:ind w:right="90"/>
        <w:jc w:val="left"/>
      </w:pPr>
      <w:r>
        <w:rPr/>
        <w:t>2、</w:t>
      </w:r>
      <w:r>
        <w:rPr>
          <w:spacing w:val="60"/>
        </w:rPr>
        <w:t> </w:t>
      </w:r>
      <w:r>
        <w:rPr/>
        <w:t>合并程序</w:t>
      </w:r>
      <w:r>
        <w:rPr/>
        <w:t> </w:t>
      </w:r>
      <w:r>
        <w:rPr>
          <w:spacing w:val="-2"/>
        </w:rPr>
        <w:t>本公司以自身和各子公司的财务报表为基础，根据其他有关资料，编制合并财务报表。本公司编制合并财务报表，将整个企</w:t>
      </w:r>
      <w:r>
        <w:rPr>
          <w:spacing w:val="-66"/>
        </w:rPr>
        <w:t> </w:t>
      </w:r>
      <w:r>
        <w:rPr>
          <w:spacing w:val="-66"/>
        </w:rPr>
      </w:r>
      <w:r>
        <w:rPr>
          <w:spacing w:val="-2"/>
        </w:rPr>
        <w:t>业集团视为一个会计主体，依据相关企业会计准则的确认、计量和列报要求，按照统一的会计政策，反映本企业集团整体财</w:t>
      </w:r>
      <w:r>
        <w:rPr>
          <w:spacing w:val="-66"/>
        </w:rPr>
        <w:t> </w:t>
      </w:r>
      <w:r>
        <w:rPr>
          <w:spacing w:val="-66"/>
        </w:rPr>
      </w:r>
      <w:r>
        <w:rPr/>
        <w:t>务状况、经营成果和现金流量。 </w:t>
      </w:r>
      <w:r>
        <w:rPr>
          <w:spacing w:val="-2"/>
        </w:rPr>
        <w:t>所有纳入合并财务报表合并范围的子公司所采用的会计政策、会计期间与本公司一致，如子公司采用的会计政策、会计期间</w:t>
      </w:r>
      <w:r>
        <w:rPr>
          <w:spacing w:val="-66"/>
        </w:rPr>
        <w:t> </w:t>
      </w:r>
      <w:r>
        <w:rPr>
          <w:spacing w:val="-66"/>
        </w:rPr>
      </w:r>
      <w:r>
        <w:rPr/>
        <w:t>与本公司不一致的，在编制合并财务报表时，按本公司的会计政策、会计期间进行必要的调整。</w:t>
      </w:r>
    </w:p>
    <w:p>
      <w:pPr>
        <w:pStyle w:val="BodyText"/>
        <w:spacing w:line="316" w:lineRule="auto" w:before="19"/>
        <w:ind w:left="153" w:right="90"/>
        <w:jc w:val="left"/>
      </w:pPr>
      <w:r>
        <w:rPr/>
        <w:t>增加子公司或业务 </w:t>
      </w:r>
      <w:r>
        <w:rPr>
          <w:spacing w:val="-2"/>
        </w:rPr>
        <w:t>在报告期内，若因同一控制下企业合并增加子公司或业务的，则调整合并资产负债表的期初数；将子公司或业务合并当期期</w:t>
      </w:r>
      <w:r>
        <w:rPr>
          <w:spacing w:val="-66"/>
        </w:rPr>
        <w:t> </w:t>
      </w:r>
      <w:r>
        <w:rPr>
          <w:spacing w:val="-66"/>
        </w:rPr>
      </w:r>
      <w:r>
        <w:rPr>
          <w:spacing w:val="-2"/>
        </w:rPr>
        <w:t>初至报告期末的收入、费用、利润纳入合并利润表；将子公司或业务合并当期期初至报告期末的现金流量纳入合并现金流量</w:t>
      </w:r>
      <w:r>
        <w:rPr>
          <w:spacing w:val="-66"/>
        </w:rPr>
        <w:t> </w:t>
      </w:r>
      <w:r>
        <w:rPr>
          <w:spacing w:val="-66"/>
        </w:rPr>
      </w:r>
      <w:r>
        <w:rPr/>
        <w:t>表，同时对比较报表的相关项目进行调整，视同合并后的报告主体自最终控制方开始控制时点起一直存在。 </w:t>
      </w:r>
      <w:r>
        <w:rPr>
          <w:spacing w:val="-2"/>
        </w:rPr>
        <w:t>因追加投资等原因能够对同一控制下的被投资方实施控制的，视同参与合并的各方在最终控制方开始控制时即以目前的状态</w:t>
      </w:r>
      <w:r>
        <w:rPr>
          <w:spacing w:val="-64"/>
        </w:rPr>
        <w:t> </w:t>
      </w:r>
      <w:r>
        <w:rPr>
          <w:spacing w:val="-64"/>
        </w:rPr>
      </w:r>
      <w:r>
        <w:rPr>
          <w:spacing w:val="-2"/>
        </w:rPr>
        <w:t>存在进行调整。在取得被合并方控制权之前持有的股权投资，在取得原股权之日与合并方和被合并方同处于同一控制之日孰</w:t>
      </w:r>
      <w:r>
        <w:rPr>
          <w:spacing w:val="-64"/>
        </w:rPr>
        <w:t> </w:t>
      </w:r>
      <w:r>
        <w:rPr>
          <w:spacing w:val="-64"/>
        </w:rPr>
      </w:r>
      <w:r>
        <w:rPr>
          <w:spacing w:val="-2"/>
        </w:rPr>
        <w:t>晚日起至合并日之间已确认有关损益、其他综合收益以及其他净资产变动，分别冲减比较报表期间的期初留存收益或当期损</w:t>
      </w:r>
      <w:r>
        <w:rPr>
          <w:spacing w:val="-64"/>
        </w:rPr>
        <w:t> </w:t>
      </w:r>
      <w:r>
        <w:rPr>
          <w:spacing w:val="-64"/>
        </w:rPr>
      </w:r>
      <w:r>
        <w:rPr/>
        <w:t>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9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90"/>
        <w:jc w:val="left"/>
      </w:pPr>
      <w:r>
        <w:rPr/>
        <w:t>在编制现金流量表时，将本公司库存现金以及可以随时用于支付的存款确认为现金。 </w:t>
      </w:r>
      <w:r>
        <w:rPr>
          <w:spacing w:val="-2"/>
        </w:rPr>
        <w:t>将同时具备期限短（从购买日起三个月内到期）、流动性强、易于转换为已知现金、价值变动风险很小四个条件的投资，确</w:t>
      </w:r>
      <w:r>
        <w:rPr>
          <w:spacing w:val="-68"/>
        </w:rPr>
        <w:t> </w:t>
      </w:r>
      <w:r>
        <w:rPr>
          <w:spacing w:val="-68"/>
        </w:rPr>
      </w:r>
      <w:r>
        <w:rPr/>
        <w:t>定为现金等价物。</w:t>
      </w:r>
    </w:p>
    <w:p>
      <w:pPr>
        <w:spacing w:after="0" w:line="316" w:lineRule="auto"/>
        <w:jc w:val="left"/>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594"/>
        <w:jc w:val="left"/>
      </w:pPr>
      <w:r>
        <w:rPr/>
        <w:t>外币业务采用交易发生日的即期汇率作为折算汇率折合成人民币记账。 </w:t>
      </w:r>
      <w:r>
        <w:rPr>
          <w:spacing w:val="-2"/>
        </w:rPr>
        <w:t>资产负债表日外币货币性项目余额按资产负债表日即期汇率折算，由此产生的汇兑差额，除属于与购建符合资本化条件的资</w:t>
      </w:r>
      <w:r>
        <w:rPr>
          <w:spacing w:val="-64"/>
        </w:rPr>
        <w:t> </w:t>
      </w:r>
      <w:r>
        <w:rPr>
          <w:spacing w:val="-64"/>
        </w:rPr>
      </w:r>
      <w:r>
        <w:rPr/>
        <w:t>产相关的外币专门借款产生的汇兑差额按照借款费用资本化的原则处理外，均计入当期损益。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9</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应收款项余额前五名。</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单独进行减值测试，按预计未来现金流量现值低于其账面价 值的差额计提坏账准备，计入当期损益。</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left="153" w:right="0"/>
        <w:jc w:val="left"/>
      </w:pPr>
      <w:r>
        <w:rPr/>
        <w:t>√ 适用 □ 不适用</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组合中，采用余额百分比法计提坏账准备的：</w:t>
      </w:r>
    </w:p>
    <w:p>
      <w:pPr>
        <w:pStyle w:val="BodyText"/>
        <w:spacing w:line="357" w:lineRule="auto" w:before="117"/>
        <w:ind w:left="153" w:right="6531"/>
        <w:jc w:val="left"/>
      </w:pPr>
      <w:r>
        <w:rPr/>
        <w:t>□ 适用 √ 不适用 组合中，采用其他方法计提坏账准备的：</w:t>
      </w:r>
    </w:p>
    <w:p>
      <w:pPr>
        <w:pStyle w:val="BodyText"/>
        <w:spacing w:line="240" w:lineRule="auto" w:before="29"/>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账龄时间较长且存在客观证据表明发生了减值。</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根据预计未来现金流量现值低于其账面价值的差额，确认减 值损失，计提坏账准备。</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4010"/>
        <w:jc w:val="left"/>
      </w:pPr>
      <w:r>
        <w:rPr/>
        <w:t>1、</w:t>
      </w:r>
      <w:r>
        <w:rPr>
          <w:spacing w:val="60"/>
        </w:rPr>
        <w:t> </w:t>
      </w:r>
      <w:r>
        <w:rPr/>
        <w:t>存货的分类</w:t>
      </w:r>
      <w:r>
        <w:rPr/>
        <w:t> 存货分类为：原材料、周转材料、库存商品、在产品、委托加工物资等。</w:t>
      </w:r>
    </w:p>
    <w:p>
      <w:pPr>
        <w:spacing w:line="240" w:lineRule="auto" w:before="4"/>
        <w:rPr>
          <w:rFonts w:ascii="宋体" w:hAnsi="宋体" w:cs="宋体" w:eastAsia="宋体" w:hint="default"/>
          <w:sz w:val="25"/>
          <w:szCs w:val="25"/>
        </w:rPr>
      </w:pPr>
    </w:p>
    <w:p>
      <w:pPr>
        <w:pStyle w:val="BodyText"/>
        <w:spacing w:line="316" w:lineRule="auto"/>
        <w:ind w:right="7250"/>
        <w:jc w:val="left"/>
      </w:pPr>
      <w:r>
        <w:rPr/>
        <w:t>2、</w:t>
      </w:r>
      <w:r>
        <w:rPr>
          <w:spacing w:val="60"/>
        </w:rPr>
        <w:t> </w:t>
      </w:r>
      <w:r>
        <w:rPr/>
        <w:t>发出存货的计价方法</w:t>
      </w:r>
      <w:r>
        <w:rPr/>
        <w:t> 存货发出时按加权平均法计价。</w:t>
      </w:r>
    </w:p>
    <w:p>
      <w:pPr>
        <w:spacing w:line="240" w:lineRule="auto" w:before="4"/>
        <w:rPr>
          <w:rFonts w:ascii="宋体" w:hAnsi="宋体" w:cs="宋体" w:eastAsia="宋体" w:hint="default"/>
          <w:sz w:val="25"/>
          <w:szCs w:val="25"/>
        </w:rPr>
      </w:pPr>
    </w:p>
    <w:p>
      <w:pPr>
        <w:pStyle w:val="BodyText"/>
        <w:spacing w:line="316" w:lineRule="auto"/>
        <w:ind w:right="0"/>
        <w:jc w:val="left"/>
      </w:pPr>
      <w:r>
        <w:rPr/>
        <w:t>3、</w:t>
      </w:r>
      <w:r>
        <w:rPr>
          <w:spacing w:val="60"/>
        </w:rPr>
        <w:t> </w:t>
      </w:r>
      <w:r>
        <w:rPr/>
        <w:t>不同类别存货可变现净值的确定依据</w:t>
      </w:r>
      <w:r>
        <w:rPr/>
        <w:t> </w:t>
      </w:r>
      <w:r>
        <w:rPr>
          <w:spacing w:val="-2"/>
        </w:rPr>
        <w:t>产成品、库存商品和用于出售的材料等直接用于出售的商品存货，在正常生产经营过程中，以该存货的估计售价减去估计的</w:t>
      </w:r>
      <w:r>
        <w:rPr>
          <w:spacing w:val="-66"/>
        </w:rPr>
        <w:t> </w:t>
      </w:r>
      <w:r>
        <w:rPr>
          <w:spacing w:val="-66"/>
        </w:rPr>
      </w:r>
      <w:r>
        <w:rPr>
          <w:spacing w:val="-2"/>
        </w:rPr>
        <w:t>销售费用和相关税费后的金额，确定其可变现净值；需要经过加工的材料存货，在正常生产经营过程中，以所生产的产成品</w:t>
      </w:r>
      <w:r>
        <w:rPr>
          <w:spacing w:val="-66"/>
        </w:rPr>
        <w:t> </w:t>
      </w:r>
      <w:r>
        <w:rPr>
          <w:spacing w:val="-66"/>
        </w:rPr>
      </w:r>
      <w:r>
        <w:rPr>
          <w:spacing w:val="-2"/>
        </w:rPr>
        <w:t>的估计售价减去至完工时估计将要发生的成本、估计的销售费用和相关税费后的金额，确定其可变现净值；为执行销售合同</w:t>
      </w:r>
      <w:r>
        <w:rPr>
          <w:spacing w:val="-66"/>
        </w:rPr>
        <w:t> </w:t>
      </w:r>
      <w:r>
        <w:rPr>
          <w:spacing w:val="-66"/>
        </w:rPr>
      </w:r>
      <w:r>
        <w:rPr>
          <w:spacing w:val="-2"/>
        </w:rPr>
        <w:t>或者劳务合同而持有的存货，其可变现净值以合同价格为基础计算，若持有存货的数量多于销售合同订购数量的，超出部分</w:t>
      </w:r>
      <w:r>
        <w:rPr>
          <w:spacing w:val="-66"/>
        </w:rPr>
        <w:t> </w:t>
      </w:r>
      <w:r>
        <w:rPr>
          <w:spacing w:val="-66"/>
        </w:rPr>
      </w:r>
      <w:r>
        <w:rPr/>
        <w:t>的存货的可变现净值以一般销售价格为基础计算。 </w:t>
      </w:r>
      <w:r>
        <w:rPr>
          <w:spacing w:val="-2"/>
        </w:rPr>
        <w:t>期末按照单个存货项目计提存货跌价准备；但对于数量繁多、单价较低的存货，按照存货类别计提存货跌价准备；与在同一</w:t>
      </w:r>
      <w:r>
        <w:rPr>
          <w:spacing w:val="-66"/>
        </w:rPr>
        <w:t> </w:t>
      </w:r>
      <w:r>
        <w:rPr>
          <w:spacing w:val="-66"/>
        </w:rPr>
      </w:r>
      <w:r>
        <w:rPr>
          <w:spacing w:val="-2"/>
        </w:rPr>
        <w:t>地区生产和销售的产品系列相关、具有相同或类似最终用途或目的，且难以与其他项目分开计量的存货，则合并计提存货跌</w:t>
      </w:r>
      <w:r>
        <w:rPr>
          <w:spacing w:val="-66"/>
        </w:rPr>
        <w:t> </w:t>
      </w:r>
      <w:r>
        <w:rPr>
          <w:spacing w:val="-66"/>
        </w:rPr>
      </w:r>
      <w:r>
        <w:rPr/>
        <w:t>价准备。</w:t>
      </w:r>
    </w:p>
    <w:p>
      <w:pPr>
        <w:pStyle w:val="BodyText"/>
        <w:spacing w:line="316" w:lineRule="auto" w:before="19"/>
        <w:ind w:right="950"/>
        <w:jc w:val="left"/>
      </w:pPr>
      <w:r>
        <w:rPr/>
        <w:t>除有明确证据表明资产负债表日市场价格异常外，存货项目的可变现净值以资产负债表日市场价格为基础确定。 本期期末存货项目的可变现净值以资产负债表日市场价格为基础确定。</w:t>
      </w:r>
    </w:p>
    <w:p>
      <w:pPr>
        <w:spacing w:line="240" w:lineRule="auto" w:before="4"/>
        <w:rPr>
          <w:rFonts w:ascii="宋体" w:hAnsi="宋体" w:cs="宋体" w:eastAsia="宋体" w:hint="default"/>
          <w:sz w:val="25"/>
          <w:szCs w:val="25"/>
        </w:rPr>
      </w:pPr>
    </w:p>
    <w:p>
      <w:pPr>
        <w:pStyle w:val="BodyText"/>
        <w:spacing w:line="316" w:lineRule="auto"/>
        <w:ind w:right="8090"/>
        <w:jc w:val="left"/>
      </w:pPr>
      <w:r>
        <w:rPr/>
        <w:t>4、</w:t>
      </w:r>
      <w:r>
        <w:rPr>
          <w:spacing w:val="60"/>
        </w:rPr>
        <w:t> </w:t>
      </w:r>
      <w:r>
        <w:rPr/>
        <w:t>存货的盘存制度</w:t>
      </w:r>
      <w:r>
        <w:rPr/>
        <w:t> 采用永续盘存制。</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right="0"/>
        <w:jc w:val="left"/>
      </w:pPr>
      <w:r>
        <w:rPr/>
        <w:t>5、</w:t>
      </w:r>
      <w:r>
        <w:rPr>
          <w:spacing w:val="60"/>
        </w:rPr>
        <w:t> </w:t>
      </w:r>
      <w:r>
        <w:rPr/>
        <w:t>低值易耗品和包装物的摊销方法</w:t>
      </w:r>
    </w:p>
    <w:p>
      <w:pPr>
        <w:pStyle w:val="BodyText"/>
        <w:spacing w:line="240" w:lineRule="auto" w:before="76"/>
        <w:ind w:right="0"/>
        <w:jc w:val="left"/>
      </w:pPr>
      <w:r>
        <w:rPr/>
        <w:t>（1）低值易耗品采用一次转销法；</w:t>
      </w:r>
    </w:p>
    <w:p>
      <w:pPr>
        <w:pStyle w:val="BodyText"/>
        <w:spacing w:line="240" w:lineRule="auto" w:before="76"/>
        <w:ind w:right="0"/>
        <w:jc w:val="left"/>
      </w:pPr>
      <w:r>
        <w:rPr/>
        <w:t>（2）包装物采用一次转销法。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jc w:val="left"/>
      </w:pPr>
      <w:r>
        <w:rPr/>
        <w:t>1、</w:t>
      </w:r>
      <w:r>
        <w:rPr>
          <w:spacing w:val="60"/>
        </w:rPr>
        <w:t> </w:t>
      </w:r>
      <w:r>
        <w:rPr/>
        <w:t>共同控制、重大影响的判断标准</w:t>
      </w:r>
      <w:r>
        <w:rPr/>
        <w:t>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能决策。本公司与其他合营方一同对被投资单位实施共同控制且对被投资单位净资产享有权利的，被投资单位为本公司的合</w:t>
      </w:r>
      <w:r>
        <w:rPr>
          <w:spacing w:val="-64"/>
        </w:rPr>
        <w:t> </w:t>
      </w:r>
      <w:r>
        <w:rPr>
          <w:spacing w:val="-64"/>
        </w:rPr>
      </w:r>
      <w:r>
        <w:rPr/>
        <w:t>营企业。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定。本能够对被投资单位施加重大影响的，被投资单位为本公司联营企业。</w:t>
      </w:r>
    </w:p>
    <w:p>
      <w:pPr>
        <w:spacing w:line="240" w:lineRule="auto" w:before="4"/>
        <w:rPr>
          <w:rFonts w:ascii="宋体" w:hAnsi="宋体" w:cs="宋体" w:eastAsia="宋体" w:hint="default"/>
          <w:sz w:val="25"/>
          <w:szCs w:val="25"/>
        </w:rPr>
      </w:pPr>
    </w:p>
    <w:p>
      <w:pPr>
        <w:pStyle w:val="BodyText"/>
        <w:spacing w:line="240" w:lineRule="auto"/>
        <w:ind w:right="0"/>
        <w:jc w:val="left"/>
      </w:pPr>
      <w:r>
        <w:rPr/>
        <w:t>2、</w:t>
      </w:r>
      <w:r>
        <w:rPr>
          <w:spacing w:val="60"/>
        </w:rPr>
        <w:t> </w:t>
      </w:r>
      <w:r>
        <w:rPr/>
        <w:t>初始投资成本的确定</w:t>
      </w:r>
    </w:p>
    <w:p>
      <w:pPr>
        <w:pStyle w:val="BodyText"/>
        <w:spacing w:line="316" w:lineRule="auto" w:before="76"/>
        <w:ind w:right="0"/>
        <w:jc w:val="left"/>
      </w:pPr>
      <w:r>
        <w:rPr/>
        <w:t>（1）企业合并形成的长期股权投资 </w:t>
      </w:r>
      <w:r>
        <w:rPr>
          <w:spacing w:val="-2"/>
        </w:rPr>
        <w:t>同一控制下的企业合并：公司以支付现金、转让非现金资产或承担债务方式以及以发行权益性证券作为合并对价的，在合并</w:t>
      </w:r>
      <w:r>
        <w:rPr>
          <w:spacing w:val="-66"/>
        </w:rPr>
        <w:t> </w:t>
      </w:r>
      <w:r>
        <w:rPr>
          <w:spacing w:val="-66"/>
        </w:rPr>
      </w:r>
      <w:r>
        <w:rPr/>
        <w:t>日按照取得被合并方所有者权益在最终控制方合并财务报表中的账面价值的份额作为长期股权投资的初始投资成本。</w:t>
      </w:r>
    </w:p>
    <w:p>
      <w:pPr>
        <w:pStyle w:val="BodyText"/>
        <w:spacing w:line="316" w:lineRule="auto" w:before="19"/>
        <w:ind w:right="3110"/>
        <w:jc w:val="left"/>
      </w:pPr>
      <w:r>
        <w:rPr/>
        <w:t>（2）其他方式取得的长期股权投资 以支付现金方式取得的长期股权投资，按照实际支付的购买价款作为初始投资成本。</w:t>
      </w:r>
    </w:p>
    <w:p>
      <w:pPr>
        <w:spacing w:after="0" w:line="316"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316" w:lineRule="auto" w:before="44"/>
        <w:ind w:left="153" w:right="7371"/>
        <w:jc w:val="left"/>
      </w:pPr>
      <w:r>
        <w:rPr/>
        <w:t>3、</w:t>
      </w:r>
      <w:r>
        <w:rPr>
          <w:spacing w:val="60"/>
        </w:rPr>
        <w:t> </w:t>
      </w:r>
      <w:r>
        <w:rPr/>
        <w:t>后续计量及损益确认方法</w:t>
      </w:r>
      <w:r>
        <w:rPr/>
        <w:t> 成本法核算的长期股权投资</w:t>
      </w:r>
    </w:p>
    <w:p>
      <w:pPr>
        <w:pStyle w:val="BodyText"/>
        <w:spacing w:line="316" w:lineRule="auto" w:before="19"/>
        <w:ind w:left="153" w:right="0"/>
        <w:jc w:val="left"/>
      </w:pP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jc w:val="left"/>
      </w:pPr>
      <w:r>
        <w:rPr>
          <w:spacing w:val="-2"/>
        </w:rPr>
        <w:t>固定资产指为生产商品、提供劳务、出租或经营管理而持有，并且使用寿命超过一个会计年度的有形资产。固定资产在同时</w:t>
      </w:r>
      <w:r>
        <w:rPr>
          <w:spacing w:val="-66"/>
        </w:rPr>
        <w:t> </w:t>
      </w:r>
      <w:r>
        <w:rPr>
          <w:spacing w:val="-66"/>
        </w:rPr>
      </w:r>
      <w:r>
        <w:rPr>
          <w:spacing w:val="-4"/>
        </w:rPr>
        <w:t>满足下列条件时予以确认：（</w:t>
      </w:r>
      <w:r>
        <w:rPr>
          <w:rFonts w:ascii="Times New Roman" w:hAnsi="Times New Roman" w:cs="Times New Roman" w:eastAsia="Times New Roman" w:hint="default"/>
          <w:spacing w:val="-4"/>
        </w:rPr>
        <w:t>1</w:t>
      </w:r>
      <w:r>
        <w:rPr>
          <w:spacing w:val="-4"/>
        </w:rPr>
        <w:t>）与该固定资产有关的经济利益很可能流入企业；（</w:t>
      </w:r>
      <w:r>
        <w:rPr>
          <w:rFonts w:ascii="Times New Roman" w:hAnsi="Times New Roman" w:cs="Times New Roman" w:eastAsia="Times New Roman" w:hint="default"/>
          <w:spacing w:val="-4"/>
        </w:rPr>
        <w:t>2</w:t>
      </w:r>
      <w:r>
        <w:rPr>
          <w:spacing w:val="-4"/>
        </w:rPr>
        <w:t>）该固定资产的成本能够可靠地计量。</w:t>
      </w:r>
    </w:p>
    <w:p>
      <w:pPr>
        <w:spacing w:line="240" w:lineRule="auto" w:before="9"/>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电子及其他设备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19-9.5%</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49"/>
        <w:jc w:val="both"/>
      </w:pPr>
      <w:r>
        <w:rPr>
          <w:spacing w:val="-2"/>
        </w:rPr>
        <w:t>在建工程项目按建造该项资产达到预定可使用状态前所发生的必要支出，作为固定资产的入账价值。所建造的固定资产在工</w:t>
      </w:r>
      <w:r>
        <w:rPr>
          <w:spacing w:val="-64"/>
        </w:rPr>
        <w:t> </w:t>
      </w:r>
      <w:r>
        <w:rPr>
          <w:spacing w:val="-64"/>
        </w:rPr>
      </w:r>
      <w:r>
        <w:rPr>
          <w:spacing w:val="-2"/>
        </w:rPr>
        <w:t>程已达到预定可使用状态，但尚未办理竣工决算的，自达到预定可使用状态之日起，根据工程预算、造价或者工程实际成本</w:t>
      </w:r>
      <w:r>
        <w:rPr>
          <w:spacing w:val="-66"/>
        </w:rPr>
        <w:t> </w:t>
      </w:r>
      <w:r>
        <w:rPr>
          <w:spacing w:val="-66"/>
        </w:rPr>
      </w:r>
      <w:r>
        <w:rPr>
          <w:spacing w:val="-2"/>
        </w:rPr>
        <w:t>等，按估计的价值转入固定资产，并按本公司固定资产折旧政策计提固定资产的折旧，待办理竣工决算后，再按实际成本调</w:t>
      </w:r>
      <w:r>
        <w:rPr>
          <w:spacing w:val="-66"/>
        </w:rPr>
        <w:t> </w:t>
      </w:r>
      <w:r>
        <w:rPr>
          <w:spacing w:val="-66"/>
        </w:rPr>
      </w:r>
      <w:r>
        <w:rPr/>
        <w:t>整原来的暂估价值，但不调整原已计提的折旧额。</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3"/>
        <w:spacing w:line="240" w:lineRule="auto"/>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w:t>
      </w:r>
      <w:r>
        <w:rPr>
          <w:spacing w:val="60"/>
        </w:rPr>
        <w:t> </w:t>
      </w:r>
      <w:r>
        <w:rPr/>
        <w:t>无形资产的计价方法</w:t>
      </w:r>
    </w:p>
    <w:p>
      <w:pPr>
        <w:pStyle w:val="BodyText"/>
        <w:spacing w:line="336" w:lineRule="auto" w:before="102"/>
        <w:ind w:right="0"/>
        <w:jc w:val="left"/>
      </w:pPr>
      <w:r>
        <w:rPr/>
        <w:t>（</w:t>
      </w:r>
      <w:r>
        <w:rPr>
          <w:rFonts w:ascii="Times New Roman" w:hAnsi="Times New Roman" w:cs="Times New Roman" w:eastAsia="Times New Roman" w:hint="default"/>
        </w:rPr>
        <w:t>1</w:t>
      </w:r>
      <w:r>
        <w:rPr/>
        <w:t>）公司取得无形资产时按成本进行初始计量 </w:t>
      </w:r>
      <w:r>
        <w:rPr>
          <w:spacing w:val="-2"/>
        </w:rPr>
        <w:t>外购无形资产的成本，包括购买价款、相关税费以及直接归属于使该项资产达到预定用途所发生的其他支出。购买无形资产</w:t>
      </w:r>
      <w:r>
        <w:rPr>
          <w:spacing w:val="-66"/>
        </w:rPr>
        <w:t> </w:t>
      </w:r>
      <w:r>
        <w:rPr>
          <w:spacing w:val="-66"/>
        </w:rPr>
      </w:r>
      <w:r>
        <w:rPr/>
        <w:t>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债务重组取得债务人用以抵债的无形资产，以该无形资产的公允价值为基础确定其入账价值，并将重组债务的账面价值与该</w:t>
      </w:r>
      <w:r>
        <w:rPr>
          <w:spacing w:val="-64"/>
        </w:rPr>
        <w:t> </w:t>
      </w:r>
      <w:r>
        <w:rPr>
          <w:spacing w:val="-64"/>
        </w:rPr>
      </w:r>
      <w:r>
        <w:rPr/>
        <w:t>用以抵债的无形资产公允价值之间的差额，计入当期损益。 </w:t>
      </w:r>
      <w:r>
        <w:rPr>
          <w:spacing w:val="-2"/>
        </w:rPr>
        <w:t>以同一控制下的企业吸收合并方式取得的无形资产按被合并方的账面价值确定其入账价值；以非同一控制下的企业吸收合并</w:t>
      </w:r>
      <w:r>
        <w:rPr>
          <w:spacing w:val="-64"/>
        </w:rPr>
        <w:t> </w:t>
      </w:r>
      <w:r>
        <w:rPr>
          <w:spacing w:val="-64"/>
        </w:rPr>
      </w:r>
      <w:r>
        <w:rPr/>
        <w:t>方式取得的无形资产按公允价值确定其入账价值。</w:t>
      </w:r>
    </w:p>
    <w:p>
      <w:pPr>
        <w:spacing w:after="0" w:line="33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内部自行开发的无形资产，其成本包括：开发该无形资产时耗用的材料、劳务成本、注册费、在开发过程中使用的其他专利</w:t>
      </w:r>
      <w:r>
        <w:rPr>
          <w:spacing w:val="-66"/>
        </w:rPr>
        <w:t> </w:t>
      </w:r>
      <w:r>
        <w:rPr>
          <w:spacing w:val="-66"/>
        </w:rPr>
      </w:r>
      <w:r>
        <w:rPr/>
        <w:t>权和特许权的摊销以及满足资本化条件的利息费用，以及为使该无形资产达到预定用途前所发生的其他直接费用。</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153" w:right="6531"/>
        <w:jc w:val="left"/>
      </w:pPr>
      <w:r>
        <w:rPr/>
        <w:t>（</w:t>
      </w:r>
      <w:r>
        <w:rPr>
          <w:rFonts w:ascii="Times New Roman" w:hAnsi="Times New Roman" w:cs="Times New Roman" w:eastAsia="Times New Roman" w:hint="default"/>
        </w:rPr>
        <w:t>2</w:t>
      </w:r>
      <w:r>
        <w:rPr/>
        <w:t>）后续计量 在取得无形资产时分析判断其使用寿命。</w:t>
      </w:r>
    </w:p>
    <w:p>
      <w:pPr>
        <w:pStyle w:val="BodyText"/>
        <w:spacing w:line="319" w:lineRule="auto" w:before="41"/>
        <w:ind w:left="153" w:right="0"/>
        <w:jc w:val="left"/>
      </w:pPr>
      <w:r>
        <w:rPr>
          <w:spacing w:val="-2"/>
        </w:rPr>
        <w:t>对于使用寿命有限的无形资产，在为企业带来经济利益的期限内按直线法摊销；无法预见无形资产为企业带来经济利益期限</w:t>
      </w:r>
      <w:r>
        <w:rPr>
          <w:spacing w:val="-64"/>
        </w:rPr>
        <w:t> </w:t>
      </w:r>
      <w:r>
        <w:rPr>
          <w:spacing w:val="-64"/>
        </w:rPr>
      </w:r>
      <w:r>
        <w:rPr/>
        <w:t>的，视为使用寿命不确定的无形资产，不予摊销。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40" w:lineRule="auto"/>
        <w:ind w:left="153" w:right="0"/>
        <w:jc w:val="left"/>
      </w:pPr>
      <w:r>
        <w:rPr>
          <w:rFonts w:ascii="Times New Roman" w:hAnsi="Times New Roman" w:cs="Times New Roman" w:eastAsia="Times New Roman" w:hint="default"/>
        </w:rPr>
        <w:t>2</w:t>
      </w:r>
      <w:r>
        <w:rPr/>
        <w:t>、</w:t>
      </w:r>
      <w:r>
        <w:rPr>
          <w:spacing w:val="60"/>
        </w:rPr>
        <w:t> </w:t>
      </w:r>
      <w:r>
        <w:rPr/>
        <w:t>使用寿命有限的无形资产的使用寿命估计情况：</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2791"/>
        <w:gridCol w:w="2743"/>
        <w:gridCol w:w="2886"/>
      </w:tblGrid>
      <w:tr>
        <w:trPr>
          <w:trHeight w:val="435" w:hRule="exact"/>
        </w:trPr>
        <w:tc>
          <w:tcPr>
            <w:tcW w:w="279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288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432" w:hRule="exact"/>
        </w:trPr>
        <w:tc>
          <w:tcPr>
            <w:tcW w:w="2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土地使用权证规定年限</w:t>
            </w:r>
          </w:p>
        </w:tc>
      </w:tr>
      <w:tr>
        <w:trPr>
          <w:trHeight w:val="432" w:hRule="exact"/>
        </w:trPr>
        <w:tc>
          <w:tcPr>
            <w:tcW w:w="2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2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32" w:hRule="exact"/>
        </w:trPr>
        <w:tc>
          <w:tcPr>
            <w:tcW w:w="2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2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r>
        <w:trPr>
          <w:trHeight w:val="432" w:hRule="exact"/>
        </w:trPr>
        <w:tc>
          <w:tcPr>
            <w:tcW w:w="279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8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预计受益期限</w:t>
            </w:r>
          </w:p>
        </w:tc>
      </w:tr>
    </w:tbl>
    <w:p>
      <w:pPr>
        <w:pStyle w:val="BodyText"/>
        <w:spacing w:line="360" w:lineRule="auto" w:before="51"/>
        <w:ind w:left="153" w:right="4011"/>
        <w:jc w:val="left"/>
      </w:pPr>
      <w:r>
        <w:rPr/>
        <w:t>每期末，对使用寿命有限的无形资产的使用寿命及摊销方法进行复核。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18"/>
          <w:szCs w:val="18"/>
        </w:rPr>
      </w:pPr>
    </w:p>
    <w:p>
      <w:pPr>
        <w:pStyle w:val="BodyText"/>
        <w:spacing w:line="240" w:lineRule="auto" w:before="142"/>
        <w:ind w:left="153" w:right="0"/>
        <w:jc w:val="left"/>
      </w:pPr>
      <w:r>
        <w:rPr>
          <w:rFonts w:ascii="Times New Roman" w:hAnsi="Times New Roman" w:cs="Times New Roman" w:eastAsia="Times New Roman" w:hint="default"/>
        </w:rPr>
        <w:t>3</w:t>
      </w:r>
      <w:r>
        <w:rPr/>
        <w:t>、</w:t>
      </w:r>
      <w:r>
        <w:rPr>
          <w:spacing w:val="60"/>
        </w:rPr>
        <w:t> </w:t>
      </w:r>
      <w:r>
        <w:rPr/>
        <w:t>使用寿命不确定的无形资产的判断依据：</w:t>
      </w:r>
    </w:p>
    <w:p>
      <w:pPr>
        <w:pStyle w:val="BodyText"/>
        <w:spacing w:line="240" w:lineRule="auto" w:before="103"/>
        <w:ind w:left="153" w:right="0"/>
        <w:jc w:val="left"/>
      </w:pPr>
      <w:r>
        <w:rPr/>
        <w:t>截止</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日，本公司无使用寿命不确定的无形资产。</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48" w:lineRule="auto"/>
        <w:ind w:left="153" w:right="0"/>
        <w:jc w:val="left"/>
      </w:pPr>
      <w:r>
        <w:rPr>
          <w:rFonts w:ascii="Times New Roman" w:hAnsi="Times New Roman" w:cs="Times New Roman" w:eastAsia="Times New Roman" w:hint="default"/>
        </w:rPr>
        <w:t>1</w:t>
      </w:r>
      <w:r>
        <w:rPr/>
        <w:t>、</w:t>
      </w:r>
      <w:r>
        <w:rPr>
          <w:spacing w:val="60"/>
        </w:rPr>
        <w:t> </w:t>
      </w:r>
      <w:r>
        <w:rPr/>
        <w:t>划分公司内部研究开发项目的研究阶段和开发阶段具体标准</w:t>
      </w:r>
      <w:r>
        <w:rPr/>
        <w:t> 公司内部研究开发项目的支出分为研究阶段支出和开发阶段支出。 研究阶段：为获取并理解新的科学或技术知识等而进行的独创性的有计划调查、研究活动的阶段。</w:t>
      </w:r>
    </w:p>
    <w:p>
      <w:pPr>
        <w:pStyle w:val="BodyText"/>
        <w:spacing w:line="319" w:lineRule="auto" w:before="34"/>
        <w:ind w:left="153" w:right="0"/>
        <w:jc w:val="left"/>
      </w:pPr>
      <w:r>
        <w:rPr>
          <w:spacing w:val="-2"/>
        </w:rPr>
        <w:t>开发阶段：在进行商业性生产或使用前，将研究成果或其他知识应用于某项计划或设计，以生产出新的或具有实质性改进的</w:t>
      </w:r>
      <w:r>
        <w:rPr>
          <w:spacing w:val="-66"/>
        </w:rPr>
        <w:t> </w:t>
      </w:r>
      <w:r>
        <w:rPr>
          <w:spacing w:val="-66"/>
        </w:rPr>
      </w:r>
      <w:r>
        <w:rPr/>
        <w:t>材料、装置、产品等活动的阶段。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38" w:lineRule="auto"/>
        <w:ind w:left="153" w:right="3831"/>
        <w:jc w:val="left"/>
      </w:pPr>
      <w:r>
        <w:rPr>
          <w:rFonts w:ascii="Times New Roman" w:hAnsi="Times New Roman" w:cs="Times New Roman" w:eastAsia="Times New Roman" w:hint="default"/>
        </w:rPr>
        <w:t>2</w:t>
      </w:r>
      <w:r>
        <w:rPr/>
        <w:t>、</w:t>
      </w:r>
      <w:r>
        <w:rPr>
          <w:spacing w:val="60"/>
        </w:rPr>
        <w:t> </w:t>
      </w:r>
      <w:r>
        <w:rPr/>
        <w:t>开发阶段支出符合资本化的具体标准</w:t>
      </w:r>
      <w:r>
        <w:rPr/>
        <w:t> 内部研究开发项目开发阶段的支出，同时满足下列条件时确认为无形资产：</w:t>
      </w:r>
    </w:p>
    <w:p>
      <w:pPr>
        <w:pStyle w:val="BodyText"/>
        <w:spacing w:line="240" w:lineRule="auto" w:before="43"/>
        <w:ind w:left="15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102"/>
        <w:ind w:left="15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2" w:lineRule="auto" w:before="101"/>
        <w:ind w:left="153" w:right="141"/>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）无形资产产生经济利益的方式，包括能够证明运用该无形资产生产的产品存在市场或无形资产自身存在市场，无形资 产将在内部使用的，能够证明其有用性；</w:t>
      </w:r>
    </w:p>
    <w:p>
      <w:pPr>
        <w:pStyle w:val="BodyText"/>
        <w:spacing w:line="240" w:lineRule="auto" w:before="70"/>
        <w:ind w:left="153" w:right="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38" w:lineRule="auto" w:before="102"/>
        <w:ind w:left="153" w:right="1131"/>
        <w:jc w:val="left"/>
      </w:pPr>
      <w:r>
        <w:rPr/>
        <w:t>（</w:t>
      </w:r>
      <w:r>
        <w:rPr>
          <w:rFonts w:ascii="Times New Roman" w:hAnsi="Times New Roman" w:cs="Times New Roman" w:eastAsia="Times New Roman" w:hint="default"/>
        </w:rPr>
        <w:t>5</w:t>
      </w:r>
      <w:r>
        <w:rPr/>
        <w:t>）归属于该无形资产开发阶段的支出能够可靠地计量。 开发阶段的支出，若不满足上列条件的，于发生时计入当期损益。研究阶段的支出，在发生时计入当期损益。</w:t>
      </w:r>
    </w:p>
    <w:p>
      <w:pPr>
        <w:spacing w:after="0" w:line="338"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r>
        <w:rPr>
          <w:rFonts w:ascii="Times New Roman" w:hAnsi="Times New Roman" w:cs="Times New Roman" w:eastAsia="Times New Roman" w:hint="default"/>
        </w:rPr>
        <w:t>15</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151"/>
        <w:jc w:val="both"/>
      </w:pPr>
      <w:r>
        <w:rPr>
          <w:spacing w:val="-2"/>
        </w:rPr>
        <w:t>长期股权投资、采用成本模式计量的固定资产、在建工程、无形资产等长期资产，于资产负债表日存在减值迹象的，进行减</w:t>
      </w:r>
      <w:r>
        <w:rPr>
          <w:spacing w:val="-66"/>
        </w:rPr>
        <w:t> </w:t>
      </w:r>
      <w:r>
        <w:rPr>
          <w:spacing w:val="-66"/>
        </w:rPr>
      </w:r>
      <w:r>
        <w:rPr>
          <w:spacing w:val="-2"/>
        </w:rPr>
        <w:t>值测试。减值测试结果表明资产的可收回金额低于其账面价值的，按其差额计提减值准备并计入减值损失。可收回金额为资</w:t>
      </w:r>
      <w:r>
        <w:rPr>
          <w:spacing w:val="-66"/>
        </w:rPr>
        <w:t> </w:t>
      </w:r>
      <w:r>
        <w:rPr>
          <w:spacing w:val="-66"/>
        </w:rPr>
      </w:r>
      <w:r>
        <w:rPr>
          <w:spacing w:val="-2"/>
        </w:rPr>
        <w:t>产的公允价值减去处置费用后的净额与资产预计未来现金流量的现值两者之间的较高者。资产减值准备按单项资产为基础计</w:t>
      </w:r>
      <w:r>
        <w:rPr>
          <w:spacing w:val="-64"/>
        </w:rPr>
        <w:t> </w:t>
      </w:r>
      <w:r>
        <w:rPr>
          <w:spacing w:val="-64"/>
        </w:rPr>
      </w:r>
      <w:r>
        <w:rPr>
          <w:spacing w:val="-2"/>
        </w:rPr>
        <w:t>算并确认，如果难以对单项资产的可收回金额进行估计的，以该资产所属的资产组确定资产组的可收回金额。资产组是能够</w:t>
      </w:r>
      <w:r>
        <w:rPr>
          <w:spacing w:val="-66"/>
        </w:rPr>
        <w:t> </w:t>
      </w:r>
      <w:r>
        <w:rPr>
          <w:spacing w:val="-66"/>
        </w:rPr>
      </w:r>
      <w:r>
        <w:rPr/>
        <w:t>独立产生现金流入的最小资产组合。</w:t>
      </w:r>
    </w:p>
    <w:p>
      <w:pPr>
        <w:pStyle w:val="BodyText"/>
        <w:spacing w:line="240" w:lineRule="auto" w:before="56"/>
        <w:ind w:left="153" w:right="0"/>
        <w:jc w:val="both"/>
      </w:pPr>
      <w:r>
        <w:rPr/>
        <w:t>上述资产减值损失一经确认，在以后会计期间不予转回。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Heading3"/>
        <w:spacing w:line="240" w:lineRule="auto"/>
        <w:ind w:right="0"/>
        <w:jc w:val="both"/>
        <w:rPr>
          <w:b w:val="0"/>
          <w:bCs w:val="0"/>
        </w:rPr>
      </w:pPr>
      <w:r>
        <w:rPr>
          <w:rFonts w:ascii="Times New Roman" w:hAnsi="Times New Roman" w:cs="Times New Roman" w:eastAsia="Times New Roman" w:hint="default"/>
        </w:rPr>
        <w:t>16</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长期待摊费用为已经发生但应由本期和以后各期负担的分摊期限在一年以上的各项费用。</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340" w:lineRule="auto"/>
        <w:ind w:left="153" w:right="6891"/>
        <w:jc w:val="left"/>
      </w:pPr>
      <w:r>
        <w:rPr>
          <w:rFonts w:ascii="Times New Roman" w:hAnsi="Times New Roman" w:cs="Times New Roman" w:eastAsia="Times New Roman" w:hint="default"/>
        </w:rPr>
        <w:t>1</w:t>
      </w:r>
      <w:r>
        <w:rPr/>
        <w:t>、</w:t>
      </w:r>
      <w:r>
        <w:rPr>
          <w:spacing w:val="60"/>
        </w:rPr>
        <w:t> </w:t>
      </w:r>
      <w:r>
        <w:rPr/>
        <w:t>摊销方法</w:t>
      </w:r>
      <w:r>
        <w:rPr/>
        <w:t> 长期待摊费用在受益期内平均摊销。</w:t>
      </w:r>
    </w:p>
    <w:p>
      <w:pPr>
        <w:spacing w:line="240" w:lineRule="auto" w:before="0"/>
        <w:rPr>
          <w:rFonts w:ascii="宋体" w:hAnsi="宋体" w:cs="宋体" w:eastAsia="宋体" w:hint="default"/>
          <w:sz w:val="18"/>
          <w:szCs w:val="18"/>
        </w:rPr>
      </w:pPr>
    </w:p>
    <w:p>
      <w:pPr>
        <w:pStyle w:val="BodyText"/>
        <w:spacing w:line="240" w:lineRule="auto" w:before="156"/>
        <w:ind w:left="153" w:right="0"/>
        <w:jc w:val="both"/>
      </w:pPr>
      <w:r>
        <w:rPr>
          <w:rFonts w:ascii="Times New Roman" w:hAnsi="Times New Roman" w:cs="Times New Roman" w:eastAsia="Times New Roman" w:hint="default"/>
        </w:rPr>
        <w:t>2</w:t>
      </w:r>
      <w:r>
        <w:rPr/>
        <w:t>、</w:t>
      </w:r>
      <w:r>
        <w:rPr>
          <w:spacing w:val="60"/>
        </w:rPr>
        <w:t> </w:t>
      </w:r>
      <w:r>
        <w:rPr/>
        <w:t>摊销年限</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4554"/>
        <w:gridCol w:w="3866"/>
      </w:tblGrid>
      <w:tr>
        <w:trPr>
          <w:trHeight w:val="435" w:hRule="exact"/>
        </w:trPr>
        <w:tc>
          <w:tcPr>
            <w:tcW w:w="455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3866"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摊销年限</w:t>
            </w:r>
          </w:p>
        </w:tc>
      </w:tr>
      <w:tr>
        <w:trPr>
          <w:trHeight w:val="432" w:hRule="exact"/>
        </w:trPr>
        <w:tc>
          <w:tcPr>
            <w:tcW w:w="455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1"/>
              <w:ind w:left="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3866"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、职工薪酬</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0"/>
        <w:jc w:val="left"/>
      </w:pPr>
      <w:r>
        <w:rPr/>
        <w:t>（</w:t>
      </w:r>
      <w:r>
        <w:rPr>
          <w:rFonts w:ascii="Times New Roman" w:hAnsi="Times New Roman" w:cs="Times New Roman" w:eastAsia="Times New Roman" w:hint="default"/>
        </w:rPr>
        <w:t>1</w:t>
      </w:r>
      <w:r>
        <w:rPr/>
        <w:t>）短期薪酬的会计处理方法 本公司在职工为本公司提供服务的会计期间，将实际发生的短期薪酬确认为负债，并计入当期损益或相关资产成本。 </w:t>
      </w:r>
      <w:r>
        <w:rPr>
          <w:spacing w:val="-2"/>
        </w:rPr>
        <w:t>本公司为职工缴纳的社会保险费和住房公积金，以及按规定提取的工会经费和职工教育经费，在职工为本公司提供服务的会</w:t>
      </w:r>
      <w:r>
        <w:rPr>
          <w:spacing w:val="-64"/>
        </w:rPr>
        <w:t> </w:t>
      </w:r>
      <w:r>
        <w:rPr>
          <w:spacing w:val="-64"/>
        </w:rPr>
      </w:r>
      <w:r>
        <w:rPr/>
        <w:t>计期间，根据规定的计提基础和计提比例计算确定相应的职工薪酬金额。</w:t>
      </w:r>
    </w:p>
    <w:p>
      <w:pPr>
        <w:pStyle w:val="BodyText"/>
        <w:spacing w:line="240" w:lineRule="auto" w:before="43"/>
        <w:ind w:right="0"/>
        <w:jc w:val="left"/>
      </w:pPr>
      <w:r>
        <w:rPr/>
        <w:t>职工福利费为非货币性福利的，如能够可靠计量的，按照公允价值计量。</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BodyText"/>
        <w:spacing w:line="240" w:lineRule="auto"/>
        <w:ind w:right="0"/>
        <w:jc w:val="left"/>
      </w:pPr>
      <w:r>
        <w:rPr/>
        <w:t>（</w:t>
      </w:r>
      <w:r>
        <w:rPr>
          <w:rFonts w:ascii="Times New Roman" w:hAnsi="Times New Roman" w:cs="Times New Roman" w:eastAsia="Times New Roman" w:hint="default"/>
        </w:rPr>
        <w:t>2</w:t>
      </w:r>
      <w:r>
        <w:rPr/>
        <w:t>）离职后福利的会计处理方法</w:t>
      </w:r>
    </w:p>
    <w:p>
      <w:pPr>
        <w:pStyle w:val="BodyText"/>
        <w:spacing w:line="328" w:lineRule="auto" w:before="103"/>
        <w:ind w:right="0"/>
        <w:jc w:val="left"/>
      </w:pPr>
      <w:r>
        <w:rPr/>
        <w:t>（</w:t>
      </w:r>
      <w:r>
        <w:rPr>
          <w:rFonts w:ascii="Times New Roman" w:hAnsi="Times New Roman" w:cs="Times New Roman" w:eastAsia="Times New Roman" w:hint="default"/>
        </w:rPr>
        <w:t>1</w:t>
      </w:r>
      <w:r>
        <w:rPr/>
        <w:t>）设定提存计划 </w:t>
      </w:r>
      <w:r>
        <w:rPr>
          <w:spacing w:val="-2"/>
        </w:rPr>
        <w:t>本公司按当地政府的相关规定为职工缴纳基本养老保险和失业保险，在职工为本公司提供服务的会计期间，按以当地规定的</w:t>
      </w:r>
      <w:r>
        <w:rPr>
          <w:spacing w:val="-64"/>
        </w:rPr>
        <w:t> </w:t>
      </w:r>
      <w:r>
        <w:rPr>
          <w:spacing w:val="-64"/>
        </w:rPr>
      </w:r>
      <w:r>
        <w:rPr/>
        <w:t>缴纳基数和比例计算应缴纳金额，确认为负债，并计入当期损益或相关资产成本。</w:t>
      </w:r>
    </w:p>
    <w:p>
      <w:pPr>
        <w:pStyle w:val="BodyText"/>
        <w:spacing w:line="336" w:lineRule="auto" w:before="49"/>
        <w:ind w:right="0"/>
        <w:jc w:val="left"/>
      </w:pPr>
      <w:r>
        <w:rPr/>
        <w:t>（</w:t>
      </w:r>
      <w:r>
        <w:rPr>
          <w:rFonts w:ascii="Times New Roman" w:hAnsi="Times New Roman" w:cs="Times New Roman" w:eastAsia="Times New Roman" w:hint="default"/>
        </w:rPr>
        <w:t>2</w:t>
      </w:r>
      <w:r>
        <w:rPr/>
        <w:t>）设定受益计划 </w:t>
      </w:r>
      <w:r>
        <w:rPr>
          <w:spacing w:val="-2"/>
        </w:rPr>
        <w:t>本公司根据预期累计福利单位法确定的公式将设定受益计划产生的福利义务归属于职工提供服务的期间，并计入当期损益或</w:t>
      </w:r>
      <w:r>
        <w:rPr>
          <w:spacing w:val="-64"/>
        </w:rPr>
        <w:t> </w:t>
      </w:r>
      <w:r>
        <w:rPr>
          <w:spacing w:val="-64"/>
        </w:rPr>
      </w:r>
      <w:r>
        <w:rPr/>
        <w:t>相关资产成本。 </w:t>
      </w:r>
      <w:r>
        <w:rPr>
          <w:spacing w:val="-2"/>
        </w:rPr>
        <w:t>设定受益计划义务现值减去设定受益计划资产公允价值所形成的赤字或盈余确认为一项设定受益计划净负债或净资产。设定</w:t>
      </w:r>
      <w:r>
        <w:rPr>
          <w:spacing w:val="-64"/>
        </w:rPr>
        <w:t> </w:t>
      </w:r>
      <w:r>
        <w:rPr>
          <w:spacing w:val="-64"/>
        </w:rPr>
      </w:r>
      <w:r>
        <w:rPr/>
        <w:t>受益计划存在盈余的，本公司以设定受益计划的盈余和资产上限两项的孰低者计量设定受益计划净资产。 </w:t>
      </w:r>
      <w:r>
        <w:rPr>
          <w:spacing w:val="-2"/>
        </w:rPr>
        <w:t>所有设定受益计划义务，包括预期在职工提供服务的年度报告期间结束后的十二个月内支付的义务，根据资产负债表日与设</w:t>
      </w:r>
      <w:r>
        <w:rPr>
          <w:spacing w:val="-64"/>
        </w:rPr>
        <w:t> </w:t>
      </w:r>
      <w:r>
        <w:rPr>
          <w:spacing w:val="-64"/>
        </w:rPr>
      </w:r>
      <w:r>
        <w:rPr/>
        <w:t>定受益计划义务期限和币种相匹配的国债或活跃市场上的高质量公司债券的市场收益率予以折现。</w:t>
      </w:r>
    </w:p>
    <w:p>
      <w:pPr>
        <w:spacing w:after="0" w:line="336" w:lineRule="auto"/>
        <w:jc w:val="left"/>
        <w:sectPr>
          <w:pgSz w:w="11910" w:h="16840"/>
          <w:pgMar w:header="747" w:footer="982" w:top="1060" w:bottom="1180" w:left="980" w:right="980"/>
        </w:sectPr>
      </w:pPr>
    </w:p>
    <w:p>
      <w:pPr>
        <w:spacing w:line="240" w:lineRule="auto" w:before="12"/>
        <w:rPr>
          <w:rFonts w:ascii="宋体" w:hAnsi="宋体" w:cs="宋体" w:eastAsia="宋体" w:hint="default"/>
          <w:sz w:val="25"/>
          <w:szCs w:val="25"/>
        </w:rPr>
      </w:pPr>
    </w:p>
    <w:p>
      <w:pPr>
        <w:pStyle w:val="BodyText"/>
        <w:spacing w:line="338" w:lineRule="auto" w:before="44"/>
        <w:ind w:left="153" w:right="0"/>
        <w:jc w:val="left"/>
      </w:pPr>
      <w:r>
        <w:rPr>
          <w:spacing w:val="-2"/>
        </w:rPr>
        <w:t>设定受益计划产生的服务成本和设定受益计划净负债或净资产的利息净额计入当期损益或相关资产成本；重新计量设定受益</w:t>
      </w:r>
      <w:r>
        <w:rPr>
          <w:spacing w:val="-64"/>
        </w:rPr>
        <w:t> </w:t>
      </w:r>
      <w:r>
        <w:rPr>
          <w:spacing w:val="-64"/>
        </w:rPr>
      </w:r>
      <w:r>
        <w:rPr/>
        <w:t>计划净负债或净资产所产生的变动计入其他综合收益，并且在后续会计期间不转回至损益。 在设定受益计划结算时，按在结算日确定的设定受益计划义务现值和结算价格两者的差额，确认结算利得或损失。</w:t>
      </w:r>
    </w:p>
    <w:p>
      <w:pPr>
        <w:spacing w:line="240" w:lineRule="auto" w:before="0"/>
        <w:rPr>
          <w:rFonts w:ascii="宋体" w:hAnsi="宋体" w:cs="宋体" w:eastAsia="宋体" w:hint="default"/>
          <w:sz w:val="18"/>
          <w:szCs w:val="18"/>
        </w:rPr>
      </w:pPr>
    </w:p>
    <w:p>
      <w:pPr>
        <w:pStyle w:val="BodyText"/>
        <w:spacing w:line="328" w:lineRule="auto" w:before="159"/>
        <w:ind w:left="153" w:right="0"/>
        <w:jc w:val="left"/>
      </w:pPr>
      <w:r>
        <w:rPr/>
        <w:t>（</w:t>
      </w:r>
      <w:r>
        <w:rPr>
          <w:rFonts w:ascii="Times New Roman" w:hAnsi="Times New Roman" w:cs="Times New Roman" w:eastAsia="Times New Roman" w:hint="default"/>
        </w:rPr>
        <w:t>3</w:t>
      </w:r>
      <w:r>
        <w:rPr/>
        <w:t>）辞退福利的会计处理方法 </w:t>
      </w:r>
      <w:r>
        <w:rPr>
          <w:spacing w:val="-2"/>
        </w:rPr>
        <w:t>本公司在不能单方面撤回因解除劳动关系计划或裁减建议所提供的辞退福利时，或确认与涉及支付辞退福利的重组相关的成</w:t>
      </w:r>
      <w:r>
        <w:rPr>
          <w:spacing w:val="-64"/>
        </w:rPr>
        <w:t> </w:t>
      </w:r>
      <w:r>
        <w:rPr>
          <w:spacing w:val="-64"/>
        </w:rPr>
      </w:r>
      <w:r>
        <w:rPr>
          <w:spacing w:val="-3"/>
        </w:rPr>
        <w:t>本或费用时（两者孰早），确认辞退福利产生的职工薪酬负债，并计入当期损益。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240" w:lineRule="auto"/>
        <w:ind w:left="153" w:right="0"/>
        <w:jc w:val="left"/>
      </w:pPr>
      <w:r>
        <w:rPr/>
        <w:t>（</w:t>
      </w:r>
      <w:r>
        <w:rPr>
          <w:rFonts w:ascii="Times New Roman" w:hAnsi="Times New Roman" w:cs="Times New Roman" w:eastAsia="Times New Roman" w:hint="default"/>
        </w:rPr>
        <w:t>4</w:t>
      </w:r>
      <w:r>
        <w:rPr/>
        <w:t>）其他长期职工福利的会计处理方法</w:t>
      </w:r>
    </w:p>
    <w:p>
      <w:pPr>
        <w:pStyle w:val="BodyText"/>
        <w:spacing w:line="240" w:lineRule="auto" w:before="102"/>
        <w:ind w:left="1323" w:right="0"/>
        <w:jc w:val="left"/>
      </w:pPr>
      <w:r>
        <w:rPr/>
        <w:t>无</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w:t>
      </w:r>
      <w:r>
        <w:rPr>
          <w:spacing w:val="60"/>
        </w:rPr>
        <w:t> </w:t>
      </w:r>
      <w:r>
        <w:rPr/>
        <w:t>销售商品收入确认和计量原则</w:t>
      </w:r>
    </w:p>
    <w:p>
      <w:pPr>
        <w:pStyle w:val="BodyText"/>
        <w:spacing w:line="324" w:lineRule="auto" w:before="103"/>
        <w:ind w:right="0"/>
        <w:jc w:val="left"/>
      </w:pPr>
      <w:r>
        <w:rPr/>
        <w:t>（</w:t>
      </w:r>
      <w:r>
        <w:rPr>
          <w:rFonts w:ascii="Times New Roman" w:hAnsi="Times New Roman" w:cs="Times New Roman" w:eastAsia="Times New Roman" w:hint="default"/>
        </w:rPr>
        <w:t>1</w:t>
      </w:r>
      <w:r>
        <w:rPr/>
        <w:t>）销售商品收入确认和计量的一般原则 </w:t>
      </w:r>
      <w:r>
        <w:rPr>
          <w:spacing w:val="-2"/>
        </w:rPr>
        <w:t>公司已将商品所有权上的主要风险和报酬转移给购买方；公司既没有保留与所有权相联系的继续管理权，也没有对已售出的</w:t>
      </w:r>
      <w:r>
        <w:rPr>
          <w:spacing w:val="-64"/>
        </w:rPr>
        <w:t> </w:t>
      </w:r>
      <w:r>
        <w:rPr>
          <w:spacing w:val="-64"/>
        </w:rPr>
      </w:r>
      <w:r>
        <w:rPr>
          <w:spacing w:val="-2"/>
        </w:rPr>
        <w:t>商品实施有效控制；收入的金额能够可靠地计量；相关的经济利益很可能流入企业；相关的已发生或将发生的成本能够可靠</w:t>
      </w:r>
      <w:r>
        <w:rPr>
          <w:spacing w:val="-66"/>
        </w:rPr>
        <w:t> </w:t>
      </w:r>
      <w:r>
        <w:rPr>
          <w:spacing w:val="-66"/>
        </w:rPr>
      </w:r>
      <w:r>
        <w:rPr/>
        <w:t>地计量时，确认商品销售收入实现。</w:t>
      </w:r>
    </w:p>
    <w:p>
      <w:pPr>
        <w:pStyle w:val="BodyText"/>
        <w:spacing w:line="240" w:lineRule="auto" w:before="53"/>
        <w:ind w:right="0"/>
        <w:jc w:val="left"/>
      </w:pPr>
      <w:r>
        <w:rPr/>
        <w:t>（</w:t>
      </w:r>
      <w:r>
        <w:rPr>
          <w:rFonts w:ascii="Times New Roman" w:hAnsi="Times New Roman" w:cs="Times New Roman" w:eastAsia="Times New Roman" w:hint="default"/>
        </w:rPr>
        <w:t>2</w:t>
      </w:r>
      <w:r>
        <w:rPr/>
        <w:t>）本公司销售商品收入确认的具体判断标准</w:t>
      </w:r>
    </w:p>
    <w:p>
      <w:pPr>
        <w:pStyle w:val="BodyText"/>
        <w:spacing w:line="338" w:lineRule="auto" w:before="103"/>
        <w:ind w:right="0"/>
        <w:jc w:val="left"/>
      </w:pPr>
      <w:r>
        <w:rPr/>
        <w:t>公司主要产品为超细纤维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44"/>
        </w:rPr>
        <w:t> </w:t>
      </w:r>
      <w:r>
        <w:rPr/>
        <w:t>合成革的研制开发、生产、销售与服务，报告期内不同业务类别的收入具体确认原则如下： </w:t>
      </w:r>
      <w:r>
        <w:rPr>
          <w:rFonts w:ascii="Times New Roman" w:hAnsi="Times New Roman" w:cs="Times New Roman" w:eastAsia="Times New Roman" w:hint="default"/>
        </w:rPr>
        <w:t>1</w:t>
      </w:r>
      <w:r>
        <w:rPr/>
        <w:t>）在同时具备下列条件后确认内销收入： </w:t>
      </w:r>
      <w:r>
        <w:rPr>
          <w:spacing w:val="-2"/>
        </w:rPr>
        <w:t>根据与客户签订的销售协议的规定，完成相关产品生产，经检验合格交与客户，根据合同规定的金额开具发票；产品销售收</w:t>
      </w:r>
      <w:r>
        <w:rPr>
          <w:spacing w:val="-66"/>
        </w:rPr>
        <w:t> </w:t>
      </w:r>
      <w:r>
        <w:rPr>
          <w:spacing w:val="-66"/>
        </w:rPr>
      </w:r>
      <w:r>
        <w:rPr/>
        <w:t>入货款金额已确定，款项已收讫或预计可以收回；销售产品的单位成本能够合理计算。 </w:t>
      </w:r>
      <w:r>
        <w:rPr>
          <w:rFonts w:ascii="Times New Roman" w:hAnsi="Times New Roman" w:cs="Times New Roman" w:eastAsia="Times New Roman" w:hint="default"/>
        </w:rPr>
        <w:t>2</w:t>
      </w:r>
      <w:r>
        <w:rPr/>
        <w:t>）在同时具备下列条件后确认外销收入：</w:t>
      </w:r>
    </w:p>
    <w:p>
      <w:pPr>
        <w:pStyle w:val="BodyText"/>
        <w:spacing w:line="319" w:lineRule="auto" w:before="19"/>
        <w:ind w:right="151"/>
        <w:jc w:val="both"/>
      </w:pPr>
      <w:r>
        <w:rPr>
          <w:spacing w:val="-2"/>
        </w:rPr>
        <w:t>根据与客户签订的出口销售协议的规定，完成相关产品生产，经检验合格后向海关报关出口，取得报关单，并取得提单（运</w:t>
      </w:r>
      <w:r>
        <w:rPr>
          <w:spacing w:val="-66"/>
        </w:rPr>
        <w:t> </w:t>
      </w:r>
      <w:r>
        <w:rPr>
          <w:spacing w:val="-66"/>
        </w:rPr>
      </w:r>
      <w:r>
        <w:rPr>
          <w:spacing w:val="-2"/>
        </w:rPr>
        <w:t>单）；产品出口收入货款金额已确定，款项已收讫或预计可以收回，并开具出口销售发票；出口产品的单位成本能够合理计</w:t>
      </w:r>
      <w:r>
        <w:rPr>
          <w:spacing w:val="-72"/>
        </w:rPr>
        <w:t> </w:t>
      </w:r>
      <w:r>
        <w:rPr>
          <w:spacing w:val="-72"/>
        </w:rPr>
      </w:r>
      <w:r>
        <w:rPr/>
        <w:t>算。</w:t>
      </w:r>
    </w:p>
    <w:p>
      <w:pPr>
        <w:pStyle w:val="BodyText"/>
        <w:spacing w:line="340" w:lineRule="auto" w:before="56"/>
        <w:ind w:right="3781"/>
        <w:jc w:val="left"/>
      </w:pPr>
      <w:r>
        <w:rPr/>
        <w:t>（</w:t>
      </w:r>
      <w:r>
        <w:rPr>
          <w:rFonts w:ascii="Times New Roman" w:hAnsi="Times New Roman" w:cs="Times New Roman" w:eastAsia="Times New Roman" w:hint="default"/>
        </w:rPr>
        <w:t>3</w:t>
      </w:r>
      <w:r>
        <w:rPr/>
        <w:t>）关于本公司销售商品收入相应的业务特点分析和介绍 公司主要产品为超细纤维 </w:t>
      </w:r>
      <w:r>
        <w:rPr>
          <w:rFonts w:ascii="Times New Roman" w:hAnsi="Times New Roman" w:cs="Times New Roman" w:eastAsia="Times New Roman" w:hint="default"/>
        </w:rPr>
        <w:t>PU</w:t>
      </w:r>
      <w:r>
        <w:rPr>
          <w:rFonts w:ascii="Times New Roman" w:hAnsi="Times New Roman" w:cs="Times New Roman" w:eastAsia="Times New Roman" w:hint="default"/>
          <w:spacing w:val="44"/>
        </w:rPr>
        <w:t> </w:t>
      </w:r>
      <w:r>
        <w:rPr/>
        <w:t>合成革系列产品，主要包括超细纤维基布、超</w:t>
      </w:r>
    </w:p>
    <w:p>
      <w:pPr>
        <w:pStyle w:val="BodyText"/>
        <w:spacing w:line="319" w:lineRule="auto" w:before="17"/>
        <w:ind w:right="0"/>
        <w:jc w:val="left"/>
      </w:pPr>
      <w:r>
        <w:rPr>
          <w:spacing w:val="-2"/>
        </w:rPr>
        <w:t>细纤维绒面革和超细纤维贴面革。产品销售分为国内销售与出口销售，其中主要为国内销售；公司销售模式分为直销模式和</w:t>
      </w:r>
      <w:r>
        <w:rPr>
          <w:spacing w:val="-66"/>
        </w:rPr>
        <w:t> </w:t>
      </w:r>
      <w:r>
        <w:rPr>
          <w:spacing w:val="-66"/>
        </w:rPr>
      </w:r>
      <w:r>
        <w:rPr/>
        <w:t>经销模式两种，其中，以直销模式作为公司的主要销售模式。</w:t>
      </w:r>
    </w:p>
    <w:p>
      <w:pPr>
        <w:pStyle w:val="BodyText"/>
        <w:spacing w:line="240" w:lineRule="auto" w:before="56"/>
        <w:ind w:right="0"/>
        <w:jc w:val="left"/>
      </w:pPr>
      <w:r>
        <w:rPr/>
        <w:t>（</w:t>
      </w:r>
      <w:r>
        <w:rPr>
          <w:rFonts w:ascii="Times New Roman" w:hAnsi="Times New Roman" w:cs="Times New Roman" w:eastAsia="Times New Roman" w:hint="default"/>
        </w:rPr>
        <w:t>4</w:t>
      </w:r>
      <w:r>
        <w:rPr/>
        <w:t>）本公司销售商品收入所采用的会计政策与同行业其他上市公司不存在显著差别。</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0"/>
        <w:jc w:val="left"/>
      </w:pPr>
      <w:r>
        <w:rPr>
          <w:rFonts w:ascii="Times New Roman" w:hAnsi="Times New Roman" w:cs="Times New Roman" w:eastAsia="Times New Roman" w:hint="default"/>
        </w:rPr>
        <w:t>2</w:t>
      </w:r>
      <w:r>
        <w:rPr/>
        <w:t>、</w:t>
      </w:r>
      <w:r>
        <w:rPr>
          <w:spacing w:val="60"/>
        </w:rPr>
        <w:t> </w:t>
      </w:r>
      <w:r>
        <w:rPr/>
        <w:t>让渡资产使用权收入的确认和计量原则</w:t>
      </w:r>
    </w:p>
    <w:p>
      <w:pPr>
        <w:pStyle w:val="BodyText"/>
        <w:spacing w:line="340" w:lineRule="auto" w:before="102"/>
        <w:ind w:right="410"/>
        <w:jc w:val="left"/>
      </w:pPr>
      <w:r>
        <w:rPr/>
        <w:t>（</w:t>
      </w:r>
      <w:r>
        <w:rPr>
          <w:rFonts w:ascii="Times New Roman" w:hAnsi="Times New Roman" w:cs="Times New Roman" w:eastAsia="Times New Roman" w:hint="default"/>
        </w:rPr>
        <w:t>1</w:t>
      </w:r>
      <w:r>
        <w:rPr/>
        <w:t>）让渡资产使用权收入确认和计量的总体原则 与交易相关的经济利益很可能流入企业，收入的金额能够可靠地计量时。分别下列情况确定让渡资产使用权收入金额：</w:t>
      </w:r>
    </w:p>
    <w:p>
      <w:pPr>
        <w:pStyle w:val="BodyText"/>
        <w:spacing w:line="240" w:lineRule="auto" w:before="40"/>
        <w:ind w:right="0"/>
        <w:jc w:val="left"/>
      </w:pPr>
      <w:r>
        <w:rPr/>
        <w:t>①利息收入金额，按照他人使用本企业货币资金的时间和实际利率计算确定。</w:t>
      </w:r>
    </w:p>
    <w:p>
      <w:pPr>
        <w:pStyle w:val="BodyText"/>
        <w:spacing w:line="240" w:lineRule="auto" w:before="116"/>
        <w:ind w:right="0"/>
        <w:jc w:val="left"/>
      </w:pPr>
      <w:r>
        <w:rPr/>
        <w:t>②使用费收入金额，按照有关合同或协议约定的收费时间和方法计算确定。</w:t>
      </w:r>
    </w:p>
    <w:p>
      <w:pPr>
        <w:pStyle w:val="BodyText"/>
        <w:spacing w:line="338" w:lineRule="auto" w:before="117"/>
        <w:ind w:right="6260"/>
        <w:jc w:val="left"/>
      </w:pPr>
      <w:r>
        <w:rPr/>
        <w:t>（</w:t>
      </w:r>
      <w:r>
        <w:rPr>
          <w:rFonts w:ascii="Times New Roman" w:hAnsi="Times New Roman" w:cs="Times New Roman" w:eastAsia="Times New Roman" w:hint="default"/>
        </w:rPr>
        <w:t>2</w:t>
      </w:r>
      <w:r>
        <w:rPr/>
        <w:t>）本公司确认让渡资产使用权收入的依据 本公司本期无让渡资产使用权收入。</w:t>
      </w:r>
    </w:p>
    <w:p>
      <w:pPr>
        <w:spacing w:after="0" w:line="338"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90"/>
        <w:jc w:val="left"/>
        <w:rPr>
          <w:b w:val="0"/>
          <w:bCs w:val="0"/>
        </w:rPr>
      </w:pPr>
      <w:r>
        <w:rPr>
          <w:rFonts w:ascii="Times New Roman" w:hAnsi="Times New Roman" w:cs="Times New Roman" w:eastAsia="Times New Roman" w:hint="default"/>
        </w:rPr>
        <w:t>19</w:t>
      </w:r>
      <w:r>
        <w:rPr/>
        <w:t>、政府补助</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153" w:right="91"/>
        <w:jc w:val="left"/>
      </w:pPr>
      <w:r>
        <w:rPr/>
        <w:t>（</w:t>
      </w:r>
      <w:r>
        <w:rPr>
          <w:rFonts w:ascii="Times New Roman" w:hAnsi="Times New Roman" w:cs="Times New Roman" w:eastAsia="Times New Roman" w:hint="default"/>
        </w:rPr>
        <w:t>1</w:t>
      </w:r>
      <w:r>
        <w:rPr/>
        <w:t>）与资产相关的政府补助判断依据及会计处理方法 政府补助，是本公司从政府无偿取得的货币性资产与非货币性资产。分为与资产相关的政府补助和与收益相关的政府补助。 </w:t>
      </w:r>
      <w:r>
        <w:rPr>
          <w:spacing w:val="-2"/>
        </w:rPr>
        <w:t>与资产相关的政府补助，是指企业取得的、用于购建或以其他方式形成长期资产的政府补助，包括购买固定资产或无形资产</w:t>
      </w:r>
      <w:r>
        <w:rPr>
          <w:spacing w:val="-66"/>
        </w:rPr>
        <w:t> </w:t>
      </w:r>
      <w:r>
        <w:rPr>
          <w:spacing w:val="-66"/>
        </w:rPr>
      </w:r>
      <w:r>
        <w:rPr/>
        <w:t>的财政拨款、固定资产专门借款的财政贴息等。与收益相关的政府补助，是指除与资产相关的政府补助之外的政府补助。</w:t>
      </w:r>
    </w:p>
    <w:p>
      <w:pPr>
        <w:pStyle w:val="BodyText"/>
        <w:spacing w:line="357" w:lineRule="auto" w:before="42"/>
        <w:ind w:right="1350"/>
        <w:jc w:val="left"/>
      </w:pPr>
      <w:r>
        <w:rPr/>
        <w:t>本公司将政府补助划分为与资产相关的具体标准为： 本公司将所取得的用于购建或以其他方式形成长期资产的政府补助界定为与资产相关的政府补助； 本公司将政府补助划分为与收益相关的具体标准为： 资产相关的政府补助之外的政府补助界定为与收益相关的政府补助； 对于政府文件未明确规定补助对象的，本公司将该政府补助划分为与资产相关或与收益相关的判断依据为：</w:t>
      </w:r>
    </w:p>
    <w:p>
      <w:pPr>
        <w:pStyle w:val="BodyText"/>
        <w:spacing w:line="302" w:lineRule="auto" w:before="28"/>
        <w:ind w:right="180"/>
        <w:jc w:val="left"/>
      </w:pPr>
      <w:r>
        <w:rPr/>
        <w:t>（</w:t>
      </w:r>
      <w:r>
        <w:rPr>
          <w:rFonts w:ascii="Times New Roman" w:hAnsi="Times New Roman" w:cs="Times New Roman" w:eastAsia="Times New Roman" w:hint="default"/>
        </w:rPr>
        <w:t>1</w:t>
      </w:r>
      <w:r>
        <w:rPr/>
        <w:t>）政府文件明确了补助所针对的特定项目的，根据该特定项目的预算中将形成资产的支出金额和计入费用的支出金额的 相对比例进行划分，对该划分比例需在每个资产负债表日进行复核，必要时进行变更；</w:t>
      </w:r>
    </w:p>
    <w:p>
      <w:pPr>
        <w:pStyle w:val="BodyText"/>
        <w:spacing w:line="240" w:lineRule="auto" w:before="69"/>
        <w:ind w:right="90"/>
        <w:jc w:val="left"/>
      </w:pPr>
      <w:r>
        <w:rPr/>
        <w:t>（</w:t>
      </w:r>
      <w:r>
        <w:rPr>
          <w:rFonts w:ascii="Times New Roman" w:hAnsi="Times New Roman" w:cs="Times New Roman" w:eastAsia="Times New Roman" w:hint="default"/>
        </w:rPr>
        <w:t>2</w:t>
      </w:r>
      <w:r>
        <w:rPr/>
        <w:t>）政府文件中对用途仅作一般性表述，没有指明特定项目的，作为与收益相关的政府补助。</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6"/>
          <w:szCs w:val="16"/>
        </w:rPr>
      </w:pPr>
    </w:p>
    <w:p>
      <w:pPr>
        <w:pStyle w:val="BodyText"/>
        <w:spacing w:line="240" w:lineRule="auto"/>
        <w:ind w:right="90"/>
        <w:jc w:val="left"/>
      </w:pPr>
      <w:r>
        <w:rPr/>
        <w:t>（</w:t>
      </w:r>
      <w:r>
        <w:rPr>
          <w:rFonts w:ascii="Times New Roman" w:hAnsi="Times New Roman" w:cs="Times New Roman" w:eastAsia="Times New Roman" w:hint="default"/>
        </w:rPr>
        <w:t>2</w:t>
      </w:r>
      <w:r>
        <w:rPr/>
        <w:t>）与收益相关的政府补助判断依据及会计处理方法</w:t>
      </w:r>
    </w:p>
    <w:p>
      <w:pPr>
        <w:pStyle w:val="BodyText"/>
        <w:spacing w:line="328" w:lineRule="auto" w:before="102"/>
        <w:ind w:right="90"/>
        <w:jc w:val="left"/>
      </w:pPr>
      <w:r>
        <w:rPr>
          <w:rFonts w:ascii="Times New Roman" w:hAnsi="Times New Roman" w:cs="Times New Roman" w:eastAsia="Times New Roman" w:hint="default"/>
        </w:rPr>
        <w:t>1</w:t>
      </w:r>
      <w:r>
        <w:rPr/>
        <w:t>、会计处理方法 </w:t>
      </w:r>
      <w:r>
        <w:rPr>
          <w:spacing w:val="-2"/>
        </w:rPr>
        <w:t>与购建固定资产、无形资产等长期资产相关的政府补助，确认为递延收益，按照所建造或购买的资产使用年限分期计入营业</w:t>
      </w:r>
      <w:r>
        <w:rPr>
          <w:spacing w:val="-66"/>
        </w:rPr>
        <w:t> </w:t>
      </w:r>
      <w:r>
        <w:rPr>
          <w:spacing w:val="-66"/>
        </w:rPr>
      </w:r>
      <w:r>
        <w:rPr/>
        <w:t>外收入；</w:t>
      </w:r>
    </w:p>
    <w:p>
      <w:pPr>
        <w:pStyle w:val="BodyText"/>
        <w:spacing w:line="319" w:lineRule="auto" w:before="49"/>
        <w:ind w:right="90"/>
        <w:jc w:val="left"/>
      </w:pPr>
      <w:r>
        <w:rPr>
          <w:spacing w:val="-2"/>
        </w:rPr>
        <w:t>与收益相关的政府补助，用于补偿企业以后期间的相关费用或损失的，取得时确认为递延收益，在确认相关费用的期间计入</w:t>
      </w:r>
      <w:r>
        <w:rPr>
          <w:spacing w:val="-66"/>
        </w:rPr>
        <w:t> </w:t>
      </w:r>
      <w:r>
        <w:rPr>
          <w:spacing w:val="-66"/>
        </w:rPr>
      </w:r>
      <w:r>
        <w:rPr/>
        <w:t>当期营业外收入；用于补偿企业已发生的相关费用或损失的，取得时直接计入当期营业外收入。</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3"/>
          <w:szCs w:val="13"/>
        </w:rPr>
      </w:pPr>
    </w:p>
    <w:p>
      <w:pPr>
        <w:pStyle w:val="BodyText"/>
        <w:spacing w:line="328" w:lineRule="auto"/>
        <w:ind w:right="90"/>
        <w:jc w:val="left"/>
      </w:pPr>
      <w:r>
        <w:rPr>
          <w:rFonts w:ascii="Times New Roman" w:hAnsi="Times New Roman" w:cs="Times New Roman" w:eastAsia="Times New Roman" w:hint="default"/>
        </w:rPr>
        <w:t>2</w:t>
      </w:r>
      <w:r>
        <w:rPr/>
        <w:t>、 确认时点 对期末有证据表明公司能够符合财政扶持政策规定的相关条件且预计能够收到财政扶持资金的，按应收金额确认政府补助。 除此之外，政府补助均在实际收到时确认。</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Heading3"/>
        <w:spacing w:line="240" w:lineRule="auto"/>
        <w:ind w:right="90"/>
        <w:jc w:val="left"/>
        <w:rPr>
          <w:b w:val="0"/>
          <w:bCs w:val="0"/>
        </w:rPr>
      </w:pPr>
      <w:r>
        <w:rPr>
          <w:rFonts w:ascii="Times New Roman" w:hAnsi="Times New Roman" w:cs="Times New Roman" w:eastAsia="Times New Roman" w:hint="default"/>
        </w:rPr>
        <w:t>20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90"/>
        <w:jc w:val="both"/>
      </w:pPr>
      <w:r>
        <w:rPr>
          <w:spacing w:val="-2"/>
        </w:rPr>
        <w:t>对于可抵扣暂时性差异确认递延所得税资产，以未来期间很可能取得的用来抵扣可抵扣暂时性差异的应纳税所得额为限。对</w:t>
      </w:r>
      <w:r>
        <w:rPr>
          <w:spacing w:val="-64"/>
        </w:rPr>
        <w:t> </w:t>
      </w:r>
      <w:r>
        <w:rPr>
          <w:spacing w:val="-64"/>
        </w:rPr>
      </w:r>
      <w:r>
        <w:rPr>
          <w:spacing w:val="-2"/>
        </w:rPr>
        <w:t>于能够结转以后年度的可抵扣亏损和税款抵减，以很可能获得用来抵扣可抵扣亏损和税款抵减的未来应纳税所得额为限，确</w:t>
      </w:r>
      <w:r>
        <w:rPr>
          <w:spacing w:val="-64"/>
        </w:rPr>
        <w:t> </w:t>
      </w:r>
      <w:r>
        <w:rPr>
          <w:spacing w:val="-64"/>
        </w:rPr>
      </w:r>
      <w:r>
        <w:rPr/>
        <w:t>认相应的递延所得税资产。</w:t>
      </w:r>
    </w:p>
    <w:p>
      <w:pPr>
        <w:pStyle w:val="BodyText"/>
        <w:spacing w:line="357" w:lineRule="auto" w:before="56"/>
        <w:ind w:left="153" w:right="90"/>
        <w:jc w:val="left"/>
      </w:pPr>
      <w:r>
        <w:rPr/>
        <w:t>对于应纳税暂时性差异，除特殊情况外，确认递延所得税负债。 </w:t>
      </w:r>
      <w:r>
        <w:rPr>
          <w:spacing w:val="-2"/>
        </w:rPr>
        <w:t>不确认递延所得税资产或递延所得税负债的特殊情况包括：商誉的初始确认；除企业合并以外的发生时既不影响会计利润也</w:t>
      </w:r>
    </w:p>
    <w:p>
      <w:pPr>
        <w:pStyle w:val="BodyText"/>
        <w:spacing w:line="338" w:lineRule="auto"/>
        <w:ind w:left="153" w:right="90"/>
        <w:jc w:val="left"/>
      </w:pPr>
      <w:r>
        <w:rPr/>
        <w:t>不影响应纳税所得额（或可抵扣亏损）的其他交易或事项。 </w:t>
      </w:r>
      <w:r>
        <w:rPr>
          <w:spacing w:val="-2"/>
        </w:rPr>
        <w:t>当拥有以净额结算的法定权利，且意图以净额结算或取得资产、清偿负债同时进行时，当期所得税资产及当期所得税负债以</w:t>
      </w:r>
      <w:r>
        <w:rPr>
          <w:spacing w:val="-66"/>
        </w:rPr>
        <w:t> </w:t>
      </w:r>
      <w:r>
        <w:rPr>
          <w:spacing w:val="-66"/>
        </w:rPr>
      </w:r>
      <w:r>
        <w:rPr/>
        <w:t>抵销后的净额列报。</w:t>
      </w:r>
    </w:p>
    <w:p>
      <w:pPr>
        <w:pStyle w:val="BodyText"/>
        <w:spacing w:line="319" w:lineRule="auto" w:before="41"/>
        <w:ind w:left="153" w:right="191"/>
        <w:jc w:val="both"/>
      </w:pP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的期间内，涉及的纳税主体意图以净额结算当期所得税资产和负债或是同时取得资产、清偿负债时，递延所得税资产及递延</w:t>
      </w:r>
      <w:r>
        <w:rPr>
          <w:spacing w:val="-66"/>
        </w:rPr>
        <w:t> </w:t>
      </w:r>
      <w:r>
        <w:rPr>
          <w:spacing w:val="-66"/>
        </w:rPr>
      </w:r>
      <w:r>
        <w:rPr/>
        <w:t>所得税负债以抵销后的净额列报。</w:t>
      </w:r>
    </w:p>
    <w:p>
      <w:pPr>
        <w:spacing w:after="0" w:line="319" w:lineRule="auto"/>
        <w:jc w:val="both"/>
        <w:sectPr>
          <w:pgSz w:w="11910" w:h="16840"/>
          <w:pgMar w:header="747" w:footer="982" w:top="1060" w:bottom="1180" w:left="980" w:right="94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8"/>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9"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会计准则修订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董事会审议通过</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w:t>
      </w:r>
      <w:r>
        <w:rPr>
          <w:rFonts w:ascii="Times New Roman" w:hAnsi="Times New Roman" w:cs="Times New Roman" w:eastAsia="Times New Roman" w:hint="default"/>
        </w:rPr>
        <w:t>1</w:t>
      </w:r>
      <w:r>
        <w:rPr/>
        <w:t>）执行财政部于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年修订及新颁布的准则</w:t>
      </w:r>
    </w:p>
    <w:p>
      <w:pPr>
        <w:pStyle w:val="BodyText"/>
        <w:spacing w:line="240" w:lineRule="auto" w:before="102"/>
        <w:ind w:right="0"/>
        <w:jc w:val="left"/>
      </w:pPr>
      <w:r>
        <w:rPr/>
        <w:t>本公司已执行财政部于</w:t>
      </w:r>
      <w:r>
        <w:rPr>
          <w:spacing w:val="-46"/>
        </w:rPr>
        <w:t> </w:t>
      </w:r>
      <w:r>
        <w:rPr>
          <w:rFonts w:ascii="Times New Roman" w:hAnsi="Times New Roman" w:cs="Times New Roman" w:eastAsia="Times New Roman" w:hint="default"/>
        </w:rPr>
        <w:t>2014 </w:t>
      </w:r>
      <w:r>
        <w:rPr/>
        <w:t>年颁布的下列新的及修订的企业会计准则：</w:t>
      </w:r>
    </w:p>
    <w:p>
      <w:pPr>
        <w:pStyle w:val="BodyText"/>
        <w:spacing w:line="240" w:lineRule="auto" w:before="103"/>
        <w:ind w:right="0"/>
        <w:jc w:val="left"/>
      </w:pPr>
      <w:r>
        <w:rPr/>
        <w:t>《企业会计准则</w:t>
      </w:r>
      <w:r>
        <w:rPr>
          <w:rFonts w:ascii="Times New Roman" w:hAnsi="Times New Roman" w:cs="Times New Roman" w:eastAsia="Times New Roman" w:hint="default"/>
        </w:rPr>
        <w:t>—</w:t>
      </w:r>
      <w:r>
        <w:rPr/>
        <w:t>基本准则</w:t>
      </w:r>
      <w:r>
        <w:rPr>
          <w:spacing w:val="-90"/>
        </w:rPr>
        <w:t>》</w:t>
      </w:r>
      <w:r>
        <w:rPr/>
        <w:t>（修订</w:t>
      </w:r>
      <w:r>
        <w:rPr>
          <w:spacing w:val="-90"/>
        </w:rPr>
        <w:t>）</w:t>
      </w:r>
      <w:r>
        <w:rPr/>
        <w:t>、</w:t>
      </w:r>
    </w:p>
    <w:p>
      <w:pPr>
        <w:pStyle w:val="BodyText"/>
        <w:spacing w:line="240" w:lineRule="auto" w:before="102"/>
        <w:ind w:right="0"/>
        <w:jc w:val="left"/>
      </w:pPr>
      <w:r>
        <w:rPr/>
        <w:t>《企业会计准则第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长期股权投资</w:t>
      </w:r>
      <w:r>
        <w:rPr>
          <w:spacing w:val="-90"/>
        </w:rPr>
        <w:t>》</w:t>
      </w:r>
      <w:r>
        <w:rPr/>
        <w:t>（修订</w:t>
      </w:r>
      <w:r>
        <w:rPr>
          <w:spacing w:val="-90"/>
        </w:rPr>
        <w:t>）</w:t>
      </w:r>
      <w:r>
        <w:rPr/>
        <w:t>、</w:t>
      </w:r>
    </w:p>
    <w:p>
      <w:pPr>
        <w:pStyle w:val="BodyText"/>
        <w:spacing w:line="240" w:lineRule="auto" w:before="102"/>
        <w:ind w:right="0"/>
        <w:jc w:val="left"/>
      </w:pPr>
      <w:r>
        <w:rPr/>
        <w:t>《企业会计准则第</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职工薪酬</w:t>
      </w:r>
      <w:r>
        <w:rPr>
          <w:spacing w:val="-90"/>
        </w:rPr>
        <w:t>》</w:t>
      </w:r>
      <w:r>
        <w:rPr/>
        <w:t>（修订</w:t>
      </w:r>
      <w:r>
        <w:rPr>
          <w:spacing w:val="-90"/>
        </w:rPr>
        <w:t>）</w:t>
      </w:r>
      <w:r>
        <w:rPr/>
        <w:t>、</w:t>
      </w:r>
    </w:p>
    <w:p>
      <w:pPr>
        <w:pStyle w:val="BodyText"/>
        <w:spacing w:line="240" w:lineRule="auto" w:before="103"/>
        <w:ind w:right="0"/>
        <w:jc w:val="left"/>
      </w:pPr>
      <w:r>
        <w:rPr/>
        <w:t>《企业会计准则第</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财务报表列报</w:t>
      </w:r>
      <w:r>
        <w:rPr>
          <w:spacing w:val="-90"/>
        </w:rPr>
        <w:t>》</w:t>
      </w:r>
      <w:r>
        <w:rPr/>
        <w:t>（修订</w:t>
      </w:r>
      <w:r>
        <w:rPr>
          <w:spacing w:val="-90"/>
        </w:rPr>
        <w:t>）</w:t>
      </w:r>
      <w:r>
        <w:rPr/>
        <w:t>、</w:t>
      </w:r>
    </w:p>
    <w:p>
      <w:pPr>
        <w:pStyle w:val="BodyText"/>
        <w:spacing w:line="240" w:lineRule="auto" w:before="102"/>
        <w:ind w:right="0"/>
        <w:jc w:val="left"/>
      </w:pPr>
      <w:r>
        <w:rPr/>
        <w:t>《企业会计准则第</w:t>
      </w:r>
      <w:r>
        <w:rPr>
          <w:spacing w:val="-46"/>
        </w:rPr>
        <w:t> </w:t>
      </w:r>
      <w:r>
        <w:rPr>
          <w:rFonts w:ascii="Times New Roman" w:hAnsi="Times New Roman" w:cs="Times New Roman" w:eastAsia="Times New Roman" w:hint="default"/>
        </w:rPr>
        <w:t>33</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合并财务报表</w:t>
      </w:r>
      <w:r>
        <w:rPr>
          <w:spacing w:val="-90"/>
        </w:rPr>
        <w:t>》</w:t>
      </w:r>
      <w:r>
        <w:rPr/>
        <w:t>（修订</w:t>
      </w:r>
      <w:r>
        <w:rPr>
          <w:spacing w:val="-90"/>
        </w:rPr>
        <w:t>）</w:t>
      </w:r>
      <w:r>
        <w:rPr/>
        <w:t>、</w:t>
      </w:r>
    </w:p>
    <w:p>
      <w:pPr>
        <w:pStyle w:val="BodyText"/>
        <w:spacing w:line="240" w:lineRule="auto" w:before="102"/>
        <w:ind w:right="0"/>
        <w:jc w:val="left"/>
      </w:pPr>
      <w:r>
        <w:rPr/>
        <w:t>《企业会计准则第</w:t>
      </w:r>
      <w:r>
        <w:rPr>
          <w:spacing w:val="-46"/>
        </w:rPr>
        <w:t> </w:t>
      </w:r>
      <w:r>
        <w:rPr>
          <w:rFonts w:ascii="Times New Roman" w:hAnsi="Times New Roman" w:cs="Times New Roman" w:eastAsia="Times New Roman" w:hint="default"/>
        </w:rPr>
        <w:t>37</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金融工具列报</w:t>
      </w:r>
      <w:r>
        <w:rPr>
          <w:spacing w:val="-90"/>
        </w:rPr>
        <w:t>》</w:t>
      </w:r>
      <w:r>
        <w:rPr/>
        <w:t>（修订</w:t>
      </w:r>
      <w:r>
        <w:rPr>
          <w:spacing w:val="-90"/>
        </w:rPr>
        <w:t>）</w:t>
      </w:r>
      <w:r>
        <w:rPr/>
        <w:t>、</w:t>
      </w:r>
    </w:p>
    <w:p>
      <w:pPr>
        <w:pStyle w:val="BodyText"/>
        <w:spacing w:line="240" w:lineRule="auto" w:before="103"/>
        <w:ind w:right="0"/>
        <w:jc w:val="left"/>
      </w:pPr>
      <w:r>
        <w:rPr/>
        <w:t>《企业会计准则第</w:t>
      </w:r>
      <w:r>
        <w:rPr>
          <w:spacing w:val="-46"/>
        </w:rPr>
        <w:t> </w:t>
      </w:r>
      <w:r>
        <w:rPr>
          <w:rFonts w:ascii="Times New Roman" w:hAnsi="Times New Roman" w:cs="Times New Roman" w:eastAsia="Times New Roman" w:hint="default"/>
        </w:rPr>
        <w:t>39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公允价值计量</w:t>
      </w:r>
      <w:r>
        <w:rPr>
          <w:spacing w:val="-90"/>
        </w:rPr>
        <w:t>》</w:t>
      </w:r>
      <w:r>
        <w:rPr/>
        <w:t>、</w:t>
      </w:r>
    </w:p>
    <w:p>
      <w:pPr>
        <w:pStyle w:val="BodyText"/>
        <w:spacing w:line="240" w:lineRule="auto" w:before="102"/>
        <w:ind w:right="0"/>
        <w:jc w:val="left"/>
      </w:pPr>
      <w:r>
        <w:rPr/>
        <w:t>《企业会计准则第</w:t>
      </w:r>
      <w:r>
        <w:rPr>
          <w:spacing w:val="-46"/>
        </w:rPr>
        <w:t> </w:t>
      </w:r>
      <w:r>
        <w:rPr>
          <w:rFonts w:ascii="Times New Roman" w:hAnsi="Times New Roman" w:cs="Times New Roman" w:eastAsia="Times New Roman" w:hint="default"/>
        </w:rPr>
        <w:t>40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1"/>
        </w:rPr>
        <w:t>—</w:t>
      </w:r>
      <w:r>
        <w:rPr/>
        <w:t>合营安排</w:t>
      </w:r>
      <w:r>
        <w:rPr>
          <w:spacing w:val="-90"/>
        </w:rPr>
        <w:t>》</w:t>
      </w:r>
      <w:r>
        <w:rPr/>
        <w:t>、</w:t>
      </w:r>
    </w:p>
    <w:p>
      <w:pPr>
        <w:pStyle w:val="BodyText"/>
        <w:spacing w:line="340" w:lineRule="auto" w:before="102"/>
        <w:ind w:right="5272"/>
        <w:jc w:val="left"/>
      </w:pPr>
      <w:r>
        <w:rPr/>
        <w:t>《企业会计准则第</w:t>
      </w:r>
      <w:r>
        <w:rPr>
          <w:spacing w:val="-43"/>
        </w:rPr>
        <w:t> </w:t>
      </w:r>
      <w:r>
        <w:rPr>
          <w:rFonts w:ascii="Times New Roman" w:hAnsi="Times New Roman" w:cs="Times New Roman" w:eastAsia="Times New Roman" w:hint="default"/>
        </w:rPr>
        <w:t>41</w:t>
      </w:r>
      <w:r>
        <w:rPr>
          <w:rFonts w:ascii="Times New Roman" w:hAnsi="Times New Roman" w:cs="Times New Roman" w:eastAsia="Times New Roman" w:hint="default"/>
          <w:spacing w:val="2"/>
        </w:rPr>
        <w:t> </w:t>
      </w:r>
      <w:r>
        <w:rPr>
          <w:spacing w:val="-6"/>
        </w:rPr>
        <w:t>号</w:t>
      </w:r>
      <w:r>
        <w:rPr>
          <w:rFonts w:ascii="Times New Roman" w:hAnsi="Times New Roman" w:cs="Times New Roman" w:eastAsia="Times New Roman" w:hint="default"/>
          <w:spacing w:val="-6"/>
        </w:rPr>
        <w:t>——</w:t>
      </w:r>
      <w:r>
        <w:rPr>
          <w:spacing w:val="-6"/>
        </w:rPr>
        <w:t>在其他主体中权益的披露》。</w:t>
      </w:r>
      <w:r>
        <w:rPr/>
        <w:t> 本公司执行上述企业会计准则的主要影响如下：</w:t>
      </w:r>
    </w:p>
    <w:p>
      <w:pPr>
        <w:pStyle w:val="BodyText"/>
        <w:spacing w:line="240" w:lineRule="auto" w:before="40"/>
        <w:ind w:right="0"/>
        <w:jc w:val="left"/>
      </w:pPr>
      <w:r>
        <w:rPr/>
        <w:t>①将原放在其他非流动负债列示的政府补助</w:t>
      </w:r>
      <w:r>
        <w:rPr>
          <w:spacing w:val="-47"/>
        </w:rPr>
        <w:t> </w:t>
      </w:r>
      <w:r>
        <w:rPr>
          <w:rFonts w:ascii="Times New Roman" w:hAnsi="Times New Roman" w:cs="Times New Roman" w:eastAsia="Times New Roman" w:hint="default"/>
        </w:rPr>
        <w:t>18,715,000.00</w:t>
      </w:r>
      <w:r>
        <w:rPr>
          <w:rFonts w:ascii="Times New Roman" w:hAnsi="Times New Roman" w:cs="Times New Roman" w:eastAsia="Times New Roman" w:hint="default"/>
          <w:spacing w:val="-2"/>
        </w:rPr>
        <w:t> </w:t>
      </w:r>
      <w:r>
        <w:rPr/>
        <w:t>元重分类至递延收益项目列示，并进行了追溯调整。</w:t>
      </w:r>
    </w:p>
    <w:p>
      <w:pPr>
        <w:pStyle w:val="BodyText"/>
        <w:spacing w:line="360" w:lineRule="auto" w:before="102"/>
        <w:ind w:right="1850"/>
        <w:jc w:val="left"/>
      </w:pPr>
      <w:r>
        <w:rPr/>
        <w:t>②将期末待抵扣增值税进项税额，从应交税费重分类至其他流动资产项目列报，并进行了追溯调整。 上述追溯调整仅属于对财务报表项目列示的重分类，对公司本期以及前期财务报表未产生实质影响。</w:t>
      </w:r>
    </w:p>
    <w:p>
      <w:pPr>
        <w:spacing w:line="240" w:lineRule="auto" w:before="0"/>
        <w:rPr>
          <w:rFonts w:ascii="宋体" w:hAnsi="宋体" w:cs="宋体" w:eastAsia="宋体" w:hint="default"/>
          <w:sz w:val="18"/>
          <w:szCs w:val="18"/>
        </w:rPr>
      </w:pPr>
    </w:p>
    <w:p>
      <w:pPr>
        <w:pStyle w:val="BodyText"/>
        <w:spacing w:line="240" w:lineRule="auto" w:before="142"/>
        <w:ind w:right="0"/>
        <w:jc w:val="left"/>
      </w:pPr>
      <w:r>
        <w:rPr/>
        <w:t>（</w:t>
      </w:r>
      <w:r>
        <w:rPr>
          <w:rFonts w:ascii="Times New Roman" w:hAnsi="Times New Roman" w:cs="Times New Roman" w:eastAsia="Times New Roman" w:hint="default"/>
        </w:rPr>
        <w:t>2</w:t>
      </w:r>
      <w:r>
        <w:rPr/>
        <w:t>）无其他重要会计政策变更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 适用 √ 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17%,6%</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15%,25%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按实际缴纳的营业税、增值税及消费税 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w:t>
            </w:r>
          </w:p>
        </w:tc>
      </w:tr>
    </w:tbl>
    <w:p>
      <w:pPr>
        <w:pStyle w:val="BodyText"/>
        <w:spacing w:line="240" w:lineRule="auto" w:before="51"/>
        <w:ind w:right="0"/>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上海华峰超纤材料股份有限公司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江苏华峰超纤材料有限公司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153" w:right="148"/>
        <w:jc w:val="both"/>
      </w:pPr>
      <w:r>
        <w:rPr>
          <w:rFonts w:ascii="Times New Roman" w:hAnsi="Times New Roman" w:cs="Times New Roman" w:eastAsia="Times New Roman" w:hint="default"/>
          <w:spacing w:val="-5"/>
        </w:rPr>
        <w:t>1</w:t>
      </w:r>
      <w:r>
        <w:rPr>
          <w:spacing w:val="-5"/>
        </w:rPr>
        <w:t>、根据《高新技术企业认定管理办法》（国科发火</w:t>
      </w:r>
      <w:r>
        <w:rPr>
          <w:rFonts w:ascii="Times New Roman" w:hAnsi="Times New Roman" w:cs="Times New Roman" w:eastAsia="Times New Roman" w:hint="default"/>
          <w:spacing w:val="-5"/>
        </w:rPr>
        <w:t>[2008]172</w:t>
      </w:r>
      <w:r>
        <w:rPr>
          <w:rFonts w:ascii="Times New Roman" w:hAnsi="Times New Roman" w:cs="Times New Roman" w:eastAsia="Times New Roman" w:hint="default"/>
          <w:spacing w:val="28"/>
        </w:rPr>
        <w:t> </w:t>
      </w:r>
      <w:r>
        <w:rPr>
          <w:spacing w:val="-5"/>
        </w:rPr>
        <w:t>号）和《高新技术企业认定管理工作指引》（国科发火</w:t>
      </w:r>
      <w:r>
        <w:rPr>
          <w:rFonts w:ascii="Times New Roman" w:hAnsi="Times New Roman" w:cs="Times New Roman" w:eastAsia="Times New Roman" w:hint="default"/>
          <w:spacing w:val="-5"/>
        </w:rPr>
        <w:t>[2008]362</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33"/>
        </w:rPr>
      </w:r>
      <w:r>
        <w:rPr>
          <w:spacing w:val="-2"/>
        </w:rPr>
        <w:t>号）有关规定，上海市科学技术委员会、上海市财政局、上海市国家税务局、上海市地方税务局联合颁发《高新技术企业证</w:t>
      </w:r>
      <w:r>
        <w:rPr>
          <w:spacing w:val="-68"/>
        </w:rPr>
        <w:t> </w:t>
      </w:r>
      <w:r>
        <w:rPr>
          <w:spacing w:val="-68"/>
        </w:rPr>
      </w:r>
      <w:r>
        <w:rPr>
          <w:spacing w:val="-8"/>
        </w:rPr>
        <w:t>书》（证书编号：</w:t>
      </w:r>
      <w:r>
        <w:rPr>
          <w:rFonts w:ascii="Times New Roman" w:hAnsi="Times New Roman" w:cs="Times New Roman" w:eastAsia="Times New Roman" w:hint="default"/>
          <w:spacing w:val="-8"/>
        </w:rPr>
        <w:t>GR201431000649</w:t>
      </w:r>
      <w:r>
        <w:rPr>
          <w:spacing w:val="-8"/>
        </w:rPr>
        <w:t>），认定本公司为高新技术企业，认定有效期为</w:t>
      </w:r>
      <w:r>
        <w:rPr>
          <w:spacing w:val="-43"/>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spacing w:val="-4"/>
        </w:rPr>
        <w:t>年，企业所得税税率按照</w:t>
      </w:r>
      <w:r>
        <w:rPr>
          <w:spacing w:val="-43"/>
        </w:rPr>
        <w:t> </w:t>
      </w:r>
      <w:r>
        <w:rPr>
          <w:rFonts w:ascii="Times New Roman" w:hAnsi="Times New Roman" w:cs="Times New Roman" w:eastAsia="Times New Roman" w:hint="default"/>
        </w:rPr>
        <w:t>15% </w:t>
      </w:r>
      <w:r>
        <w:rPr/>
        <w:t>执行。</w:t>
      </w:r>
    </w:p>
    <w:p>
      <w:pPr>
        <w:pStyle w:val="BodyText"/>
        <w:spacing w:line="300" w:lineRule="auto" w:before="65"/>
        <w:ind w:right="151"/>
        <w:jc w:val="both"/>
      </w:pPr>
      <w:r>
        <w:rPr>
          <w:rFonts w:ascii="Times New Roman" w:hAnsi="Times New Roman" w:cs="Times New Roman" w:eastAsia="Times New Roman" w:hint="default"/>
          <w:spacing w:val="-2"/>
        </w:rPr>
        <w:t>2</w:t>
      </w:r>
      <w:r>
        <w:rPr>
          <w:spacing w:val="-2"/>
        </w:rPr>
        <w:t>、根据《上海市经济信息化委、市国税局、市地税局、市环保局、市安全监管局关于公布</w:t>
      </w:r>
      <w:r>
        <w:rPr>
          <w:spacing w:val="-42"/>
        </w:rPr>
        <w:t> </w:t>
      </w:r>
      <w:r>
        <w:rPr>
          <w:rFonts w:ascii="Times New Roman" w:hAnsi="Times New Roman" w:cs="Times New Roman" w:eastAsia="Times New Roman" w:hint="default"/>
        </w:rPr>
        <w:t>2012</w:t>
      </w:r>
      <w:r>
        <w:rPr>
          <w:rFonts w:ascii="Times New Roman" w:hAnsi="Times New Roman" w:cs="Times New Roman" w:eastAsia="Times New Roman" w:hint="default"/>
          <w:spacing w:val="3"/>
        </w:rPr>
        <w:t> </w:t>
      </w:r>
      <w:r>
        <w:rPr>
          <w:spacing w:val="-1"/>
        </w:rPr>
        <w:t>年度上海市节能节水、环境</w:t>
      </w:r>
      <w:r>
        <w:rPr/>
        <w:t> </w:t>
      </w:r>
      <w:r>
        <w:rPr>
          <w:spacing w:val="-3"/>
        </w:rPr>
        <w:t>保护、安全生产设备认定名单的通知》（沪经信节（</w:t>
      </w:r>
      <w:r>
        <w:rPr>
          <w:rFonts w:ascii="Times New Roman" w:hAnsi="Times New Roman" w:cs="Times New Roman" w:eastAsia="Times New Roman" w:hint="default"/>
          <w:spacing w:val="-3"/>
        </w:rPr>
        <w:t>2013</w:t>
      </w:r>
      <w:r>
        <w:rPr>
          <w:spacing w:val="-3"/>
        </w:rPr>
        <w:t>）</w:t>
      </w:r>
      <w:r>
        <w:rPr>
          <w:rFonts w:ascii="Times New Roman" w:hAnsi="Times New Roman" w:cs="Times New Roman" w:eastAsia="Times New Roman" w:hint="default"/>
          <w:spacing w:val="-3"/>
        </w:rPr>
        <w:t>225</w:t>
      </w:r>
      <w:r>
        <w:rPr>
          <w:rFonts w:ascii="Times New Roman" w:hAnsi="Times New Roman" w:cs="Times New Roman" w:eastAsia="Times New Roman" w:hint="default"/>
        </w:rPr>
        <w:t> </w:t>
      </w:r>
      <w:r>
        <w:rPr/>
        <w:t>号有关规定，公司购置用于环境保护、节能节水、安全生产 专用设备享受所得税抵免的税收优惠。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Heading2"/>
        <w:spacing w:line="240" w:lineRule="auto"/>
        <w:ind w:right="0"/>
        <w:jc w:val="both"/>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82,671.93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38,293.65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191,226,730.44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276,765,735.08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191,309,402.37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其他说明</w:t>
      </w:r>
    </w:p>
    <w:p>
      <w:pPr>
        <w:spacing w:line="240" w:lineRule="auto" w:before="11"/>
        <w:rPr>
          <w:rFonts w:ascii="宋体" w:hAnsi="宋体" w:cs="宋体" w:eastAsia="宋体" w:hint="default"/>
          <w:sz w:val="28"/>
          <w:szCs w:val="28"/>
        </w:rPr>
      </w:pPr>
      <w:r>
        <w:rPr/>
        <w:br w:type="column"/>
      </w:r>
      <w:r>
        <w:rPr>
          <w:rFonts w:ascii="宋体"/>
          <w:sz w:val="28"/>
        </w:rPr>
      </w:r>
    </w:p>
    <w:p>
      <w:pPr>
        <w:pStyle w:val="Heading3"/>
        <w:spacing w:line="240" w:lineRule="auto"/>
        <w:ind w:right="0"/>
        <w:jc w:val="left"/>
        <w:rPr>
          <w:b w:val="0"/>
          <w:bCs w:val="0"/>
        </w:rPr>
      </w:pPr>
      <w:r>
        <w:rPr/>
        <w:t>期末无受限制的货币资金。</w:t>
      </w:r>
      <w:r>
        <w:rPr>
          <w:b w:val="0"/>
          <w:bCs w:val="0"/>
        </w:rPr>
      </w:r>
    </w:p>
    <w:p>
      <w:pPr>
        <w:spacing w:after="0" w:line="240" w:lineRule="auto"/>
        <w:jc w:val="left"/>
        <w:sectPr>
          <w:type w:val="continuous"/>
          <w:pgSz w:w="11910" w:h="16840"/>
          <w:pgMar w:top="1060" w:bottom="1180" w:left="980" w:right="980"/>
          <w:cols w:num="2" w:equalWidth="0">
            <w:col w:w="875" w:space="360"/>
            <w:col w:w="8715"/>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7"/>
          <w:szCs w:val="27"/>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5,276,39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96,951,19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61,993,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537.50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3,125,907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58,867,630.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center"/>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5,276,39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96,951,19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61,993,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537.50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3,125,907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58,867,630.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40" w:lineRule="auto" w:before="116"/>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0"/>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206" w:hRule="exact"/>
        </w:trPr>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392"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101,128,619.54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5,056,430.98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1,097,248.92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219,449.78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102,227,594.31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5,276,398.52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r>
    </w:tbl>
    <w:p>
      <w:pPr>
        <w:pStyle w:val="BodyText"/>
        <w:spacing w:line="240" w:lineRule="auto" w:before="51"/>
        <w:ind w:right="0"/>
        <w:jc w:val="left"/>
      </w:pPr>
      <w:r>
        <w:rPr/>
        <w:t>确定该组合依据的说明：</w:t>
      </w:r>
    </w:p>
    <w:p>
      <w:pPr>
        <w:pStyle w:val="BodyText"/>
        <w:spacing w:line="240" w:lineRule="auto" w:before="117"/>
        <w:ind w:left="153" w:right="0"/>
        <w:jc w:val="left"/>
      </w:pPr>
      <w:r>
        <w:rPr/>
        <w:t>本期计提坏账准备金额</w:t>
      </w:r>
      <w:r>
        <w:rPr>
          <w:spacing w:val="-46"/>
        </w:rPr>
        <w:t> </w:t>
      </w:r>
      <w:r>
        <w:rPr>
          <w:rFonts w:ascii="Times New Roman" w:hAnsi="Times New Roman" w:cs="Times New Roman" w:eastAsia="Times New Roman" w:hint="default"/>
        </w:rPr>
        <w:t>2,188,040.02</w:t>
      </w:r>
      <w:r>
        <w:rPr>
          <w:rFonts w:ascii="Times New Roman" w:hAnsi="Times New Roman" w:cs="Times New Roman" w:eastAsia="Times New Roman" w:hint="default"/>
          <w:spacing w:val="-1"/>
        </w:rPr>
        <w:t> </w:t>
      </w:r>
      <w:r>
        <w:rPr/>
        <w:t>元；本期无收回或转回重要坏账准备的情况。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BodyText"/>
        <w:spacing w:line="240" w:lineRule="auto"/>
        <w:ind w:right="0"/>
        <w:jc w:val="left"/>
      </w:pPr>
      <w:r>
        <w:rPr/>
        <w:t>组合中，采用余额百分比法计提坏账准备的应收账款：</w:t>
      </w:r>
    </w:p>
    <w:p>
      <w:pPr>
        <w:pStyle w:val="BodyText"/>
        <w:spacing w:line="338" w:lineRule="auto" w:before="117"/>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40" w:lineRule="auto" w:before="44"/>
        <w:ind w:right="-18"/>
        <w:jc w:val="left"/>
      </w:pPr>
      <w:r>
        <w:rPr/>
        <w:t>本期计提坏账准备金额</w:t>
      </w:r>
      <w:r>
        <w:rPr>
          <w:spacing w:val="-46"/>
        </w:rPr>
        <w:t> </w:t>
      </w:r>
      <w:r>
        <w:rPr>
          <w:rFonts w:ascii="Times New Roman" w:hAnsi="Times New Roman" w:cs="Times New Roman" w:eastAsia="Times New Roman" w:hint="default"/>
        </w:rPr>
        <w:t>2,188,040.02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453" w:space="2375"/>
            <w:col w:w="1122"/>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714" w:type="dxa"/>
        <w:tblLayout w:type="fixed"/>
        <w:tblCellMar>
          <w:top w:w="0" w:type="dxa"/>
          <w:left w:w="0" w:type="dxa"/>
          <w:bottom w:w="0" w:type="dxa"/>
          <w:right w:w="0" w:type="dxa"/>
        </w:tblCellMar>
        <w:tblLook w:val="01E0"/>
      </w:tblPr>
      <w:tblGrid>
        <w:gridCol w:w="2268"/>
        <w:gridCol w:w="1985"/>
        <w:gridCol w:w="1873"/>
        <w:gridCol w:w="1678"/>
      </w:tblGrid>
      <w:tr>
        <w:trPr>
          <w:trHeight w:val="356" w:hRule="exact"/>
        </w:trPr>
        <w:tc>
          <w:tcPr>
            <w:tcW w:w="2268"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536"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268" w:type="dxa"/>
            <w:vMerge/>
            <w:tcBorders>
              <w:left w:val="single" w:sz="6" w:space="0" w:color="000000"/>
              <w:bottom w:val="single" w:sz="12" w:space="0" w:color="000000"/>
              <w:right w:val="single" w:sz="6" w:space="0" w:color="000000"/>
            </w:tcBorders>
          </w:tcPr>
          <w:p>
            <w:pP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2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4" w:right="28"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10,591,175.52</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10.36</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529,558.78</w:t>
            </w:r>
          </w:p>
        </w:tc>
      </w:tr>
      <w:tr>
        <w:trPr>
          <w:trHeight w:val="353"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9,110,049.89</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8.91</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455,502.49</w:t>
            </w:r>
          </w:p>
        </w:tc>
      </w:tr>
      <w:tr>
        <w:trPr>
          <w:trHeight w:val="352"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6,627,555.94</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6.48</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331,377.80</w:t>
            </w:r>
          </w:p>
        </w:tc>
      </w:tr>
      <w:tr>
        <w:trPr>
          <w:trHeight w:val="352"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5,450,000.00</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5.33</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272,500.00</w:t>
            </w:r>
          </w:p>
        </w:tc>
      </w:tr>
      <w:tr>
        <w:trPr>
          <w:trHeight w:val="353"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4,713,896.96</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4.61</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235,694.85</w:t>
            </w:r>
          </w:p>
        </w:tc>
      </w:tr>
      <w:tr>
        <w:trPr>
          <w:trHeight w:val="352" w:hRule="exact"/>
        </w:trPr>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36,492,678.31</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35.69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1,824,633.92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spacing w:line="520" w:lineRule="auto" w:before="35"/>
        <w:ind w:left="154" w:right="5570" w:hanging="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）因金融资产转移而终止确认的应收账款</w:t>
      </w:r>
      <w:r>
        <w:rPr>
          <w:rFonts w:ascii="宋体" w:hAnsi="宋体" w:cs="宋体" w:eastAsia="宋体" w:hint="default"/>
          <w:b/>
          <w:bCs/>
          <w:spacing w:val="1"/>
          <w:w w:val="99"/>
          <w:sz w:val="21"/>
          <w:szCs w:val="21"/>
        </w:rPr>
        <w:t> </w:t>
      </w:r>
      <w:r>
        <w:rPr>
          <w:rFonts w:ascii="宋体" w:hAnsi="宋体" w:cs="宋体" w:eastAsia="宋体" w:hint="default"/>
          <w:sz w:val="21"/>
          <w:szCs w:val="21"/>
        </w:rPr>
        <w:t>本期无因金融资产转移而终止确认的应收账款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3"/>
        <w:spacing w:line="240" w:lineRule="auto" w:before="50"/>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9,581,601.15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7,275,587.83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237" w:right="0"/>
              <w:jc w:val="lef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280,363.78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9,861,964.93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7,275,587.83</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16" w:type="dxa"/>
        <w:tblLayout w:type="fixed"/>
        <w:tblCellMar>
          <w:top w:w="0" w:type="dxa"/>
          <w:left w:w="0" w:type="dxa"/>
          <w:bottom w:w="0" w:type="dxa"/>
          <w:right w:w="0" w:type="dxa"/>
        </w:tblCellMar>
        <w:tblLook w:val="01E0"/>
      </w:tblPr>
      <w:tblGrid>
        <w:gridCol w:w="3076"/>
        <w:gridCol w:w="2324"/>
        <w:gridCol w:w="2354"/>
      </w:tblGrid>
      <w:tr>
        <w:trPr>
          <w:trHeight w:val="667" w:hRule="exact"/>
        </w:trPr>
        <w:tc>
          <w:tcPr>
            <w:tcW w:w="307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23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54" w:type="dxa"/>
            <w:tcBorders>
              <w:top w:val="single" w:sz="6" w:space="0" w:color="000000"/>
              <w:left w:val="single" w:sz="6" w:space="0" w:color="000000"/>
              <w:bottom w:val="single" w:sz="12" w:space="0" w:color="000000"/>
              <w:right w:val="nil" w:sz="6" w:space="0" w:color="auto"/>
            </w:tcBorders>
          </w:tcPr>
          <w:p>
            <w:pPr>
              <w:pStyle w:val="TableParagraph"/>
              <w:spacing w:line="316" w:lineRule="auto" w:before="21"/>
              <w:ind w:left="628" w:right="456" w:hanging="180"/>
              <w:jc w:val="left"/>
              <w:rPr>
                <w:rFonts w:ascii="宋体" w:hAnsi="宋体" w:cs="宋体" w:eastAsia="宋体" w:hint="default"/>
                <w:sz w:val="18"/>
                <w:szCs w:val="18"/>
              </w:rPr>
            </w:pPr>
            <w:r>
              <w:rPr>
                <w:rFonts w:ascii="宋体" w:hAnsi="宋体" w:cs="宋体" w:eastAsia="宋体" w:hint="default"/>
                <w:sz w:val="18"/>
                <w:szCs w:val="18"/>
              </w:rPr>
              <w:t>占预付款期末余额 合计数的比例</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2,149,928.16</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21.80</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2,133,095.50</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21.63</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1,034,652.99</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10.49</w:t>
            </w:r>
          </w:p>
        </w:tc>
      </w:tr>
      <w:tr>
        <w:trPr>
          <w:trHeight w:val="353"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831,035.60</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8.43</w:t>
            </w:r>
          </w:p>
        </w:tc>
      </w:tr>
      <w:tr>
        <w:trPr>
          <w:trHeight w:val="352" w:hRule="exact"/>
        </w:trPr>
        <w:tc>
          <w:tcPr>
            <w:tcW w:w="307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326,312.36</w:t>
            </w:r>
          </w:p>
        </w:tc>
        <w:tc>
          <w:tcPr>
            <w:tcW w:w="235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z w:val="18"/>
              </w:rPr>
              <w:t>3.31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2"/>
        <w:rPr>
          <w:rFonts w:ascii="宋体" w:hAnsi="宋体" w:cs="宋体" w:eastAsia="宋体" w:hint="default"/>
          <w:b/>
          <w:bCs/>
          <w:sz w:val="27"/>
          <w:szCs w:val="27"/>
        </w:rPr>
      </w:pPr>
    </w:p>
    <w:p>
      <w:pPr>
        <w:spacing w:line="384" w:lineRule="exact"/>
        <w:ind w:left="70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389.6pt;height:19.2pt;mso-position-horizontal-relative:char;mso-position-vertical-relative:line" coordorigin="0,0" coordsize="7792,384">
            <v:group style="position:absolute;left:15;top:14;width:3076;height:2" coordorigin="15,14" coordsize="3076,2">
              <v:shape style="position:absolute;left:15;top:14;width:3076;height:2" coordorigin="15,14" coordsize="3076,0" path="m15,14l3091,14e" filled="false" stroked="true" strokeweight=".72003pt" strokecolor="#000000">
                <v:path arrowok="t"/>
              </v:shape>
            </v:group>
            <v:group style="position:absolute;left:3105;top:14;width:2310;height:2" coordorigin="3105,14" coordsize="2310,2">
              <v:shape style="position:absolute;left:3105;top:14;width:2310;height:2" coordorigin="3105,14" coordsize="2310,0" path="m3105,14l5415,14e" filled="false" stroked="true" strokeweight=".72003pt" strokecolor="#000000">
                <v:path arrowok="t"/>
              </v:shape>
            </v:group>
            <v:group style="position:absolute;left:5429;top:14;width:2348;height:2" coordorigin="5429,14" coordsize="2348,2">
              <v:shape style="position:absolute;left:5429;top:14;width:2348;height:2" coordorigin="5429,14" coordsize="2348,0" path="m5429,14l7777,14e" filled="false" stroked="true" strokeweight=".72pt" strokecolor="#000000">
                <v:path arrowok="t"/>
              </v:shape>
            </v:group>
            <v:group style="position:absolute;left:22;top:7;width:2;height:347" coordorigin="22,7" coordsize="2,347">
              <v:shape style="position:absolute;left:22;top:7;width:2;height:347" coordorigin="22,7" coordsize="0,347" path="m22,7l22,354e" filled="false" stroked="true" strokeweight=".72pt" strokecolor="#000000">
                <v:path arrowok="t"/>
              </v:shape>
            </v:group>
            <v:group style="position:absolute;left:15;top:369;width:3076;height:2" coordorigin="15,369" coordsize="3076,2">
              <v:shape style="position:absolute;left:15;top:369;width:3076;height:2" coordorigin="15,369" coordsize="3076,0" path="m15,369l3091,369e" filled="false" stroked="true" strokeweight="1.5pt" strokecolor="#000000">
                <v:path arrowok="t"/>
              </v:shape>
            </v:group>
            <v:group style="position:absolute;left:3098;top:7;width:2;height:347" coordorigin="3098,7" coordsize="2,347">
              <v:shape style="position:absolute;left:3098;top:7;width:2;height:347" coordorigin="3098,7" coordsize="0,347" path="m3098,7l3098,354e" filled="false" stroked="true" strokeweight=".72pt" strokecolor="#000000">
                <v:path arrowok="t"/>
              </v:shape>
            </v:group>
            <v:group style="position:absolute;left:3091;top:369;width:2325;height:2" coordorigin="3091,369" coordsize="2325,2">
              <v:shape style="position:absolute;left:3091;top:369;width:2325;height:2" coordorigin="3091,369" coordsize="2325,0" path="m3091,369l5415,369e" filled="false" stroked="true" strokeweight="1.5pt" strokecolor="#000000">
                <v:path arrowok="t"/>
              </v:shape>
            </v:group>
            <v:group style="position:absolute;left:5422;top:7;width:2;height:347" coordorigin="5422,7" coordsize="2,347">
              <v:shape style="position:absolute;left:5422;top:7;width:2;height:347" coordorigin="5422,7" coordsize="0,347" path="m5422,7l5422,354e" filled="false" stroked="true" strokeweight=".72pt" strokecolor="#000000">
                <v:path arrowok="t"/>
              </v:shape>
            </v:group>
            <v:group style="position:absolute;left:5415;top:369;width:30;height:2" coordorigin="5415,369" coordsize="30,2">
              <v:shape style="position:absolute;left:5415;top:369;width:30;height:2" coordorigin="5415,369" coordsize="30,0" path="m5415,369l5445,369e" filled="false" stroked="true" strokeweight="1.5pt" strokecolor="#000000">
                <v:path arrowok="t"/>
              </v:shape>
            </v:group>
            <v:group style="position:absolute;left:5445;top:369;width:2332;height:2" coordorigin="5445,369" coordsize="2332,2">
              <v:shape style="position:absolute;left:5445;top:369;width:2332;height:2" coordorigin="5445,369" coordsize="2332,0" path="m5445,369l7777,369e" filled="false" stroked="true" strokeweight="1.5pt" strokecolor="#000000">
                <v:path arrowok="t"/>
              </v:shape>
              <v:shape style="position:absolute;left:22;top:14;width:3076;height:355" type="#_x0000_t202" filled="false" stroked="false">
                <v:textbox inset="0,0,0,0">
                  <w:txbxContent>
                    <w:p>
                      <w:pPr>
                        <w:spacing w:before="28"/>
                        <w:ind w:left="0" w:right="1"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098;top:14;width:2325;height:355" type="#_x0000_t202" filled="false" stroked="false">
                <v:textbox inset="0,0,0,0">
                  <w:txbxContent>
                    <w:p>
                      <w:pPr>
                        <w:spacing w:before="68"/>
                        <w:ind w:left="1370" w:right="0" w:firstLine="0"/>
                        <w:jc w:val="left"/>
                        <w:rPr>
                          <w:rFonts w:ascii="Times New Roman" w:hAnsi="Times New Roman" w:cs="Times New Roman" w:eastAsia="Times New Roman" w:hint="default"/>
                          <w:sz w:val="18"/>
                          <w:szCs w:val="18"/>
                        </w:rPr>
                      </w:pPr>
                      <w:r>
                        <w:rPr>
                          <w:rFonts w:ascii="Times New Roman"/>
                          <w:sz w:val="18"/>
                        </w:rPr>
                        <w:t>6,475,024.61</w:t>
                      </w:r>
                    </w:p>
                  </w:txbxContent>
                </v:textbox>
                <w10:wrap type="none"/>
              </v:shape>
              <v:shape style="position:absolute;left:7361;top:106;width:40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65.66</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b/>
          <w:bCs/>
          <w:sz w:val="24"/>
          <w:szCs w:val="24"/>
        </w:rPr>
      </w:pPr>
    </w:p>
    <w:p>
      <w:pPr>
        <w:pStyle w:val="BodyText"/>
        <w:spacing w:line="240" w:lineRule="auto" w:before="44"/>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2,352,159.73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2,352,159.73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22,499,</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826.75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92.57%</w:t>
            </w:r>
          </w:p>
        </w:tc>
        <w:tc>
          <w:tcPr>
            <w:tcW w:w="81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22,499,826.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75</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4,868,111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4,589,630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1,804,7</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78.66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142,401.7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1,662,376.9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4,868,111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278,481.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4,589,630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24,304,</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605.41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142,401.7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24,162,203.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57" w:lineRule="auto" w:before="117"/>
        <w:ind w:left="153" w:right="161"/>
        <w:jc w:val="left"/>
      </w:pPr>
      <w:r>
        <w:rPr/>
        <w:t>□ 适用 √ 不适用 组合中，按账龄分析法计提坏账准备的其他应收款：</w:t>
      </w:r>
    </w:p>
    <w:p>
      <w:pPr>
        <w:pStyle w:val="BodyText"/>
        <w:spacing w:line="240" w:lineRule="auto" w:before="28"/>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206" w:hRule="exact"/>
        </w:trPr>
        <w:tc>
          <w:tcPr>
            <w:tcW w:w="2391" w:type="dxa"/>
            <w:tcBorders>
              <w:top w:val="single" w:sz="4" w:space="0" w:color="000000"/>
              <w:left w:val="single" w:sz="4" w:space="0" w:color="000000"/>
              <w:bottom w:val="nil" w:sz="6" w:space="0" w:color="auto"/>
              <w:right w:val="single" w:sz="4" w:space="0" w:color="000000"/>
            </w:tcBorders>
            <w:shd w:val="clear" w:color="auto" w:fill="D3D3D3"/>
          </w:tcPr>
          <w:p>
            <w:pPr/>
          </w:p>
        </w:tc>
        <w:tc>
          <w:tcPr>
            <w:tcW w:w="717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6"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391" w:type="dxa"/>
            <w:vMerge/>
            <w:tcBorders>
              <w:left w:val="single" w:sz="4" w:space="0" w:color="000000"/>
              <w:bottom w:val="nil" w:sz="6" w:space="0" w:color="auto"/>
              <w:right w:val="single" w:sz="4" w:space="0" w:color="000000"/>
            </w:tcBorders>
            <w:shd w:val="clear" w:color="auto" w:fill="D3D3D3"/>
          </w:tcPr>
          <w:p>
            <w:pPr/>
          </w:p>
        </w:tc>
        <w:tc>
          <w:tcPr>
            <w:tcW w:w="23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391"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3"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6" w:right="0"/>
              <w:jc w:val="left"/>
              <w:rPr>
                <w:rFonts w:ascii="Times New Roman" w:hAnsi="Times New Roman" w:cs="Times New Roman" w:eastAsia="Times New Roman" w:hint="default"/>
                <w:sz w:val="18"/>
                <w:szCs w:val="18"/>
              </w:rPr>
            </w:pPr>
            <w:r>
              <w:rPr>
                <w:rFonts w:ascii="Times New Roman"/>
                <w:sz w:val="18"/>
              </w:rPr>
              <w:t>4,683,470.77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9" w:right="0"/>
              <w:jc w:val="left"/>
              <w:rPr>
                <w:rFonts w:ascii="Times New Roman" w:hAnsi="Times New Roman" w:cs="Times New Roman" w:eastAsia="Times New Roman" w:hint="default"/>
                <w:sz w:val="18"/>
                <w:szCs w:val="18"/>
              </w:rPr>
            </w:pPr>
            <w:r>
              <w:rPr>
                <w:rFonts w:ascii="Times New Roman"/>
                <w:sz w:val="18"/>
              </w:rPr>
              <w:t>234,173.54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1"/>
        <w:gridCol w:w="2393"/>
        <w:gridCol w:w="2392"/>
        <w:gridCol w:w="2392"/>
      </w:tblGrid>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136,041.02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4,868,111.79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278,481.74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5.72%</w:t>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60" w:lineRule="auto" w:before="26"/>
        <w:ind w:left="153" w:right="5631"/>
        <w:jc w:val="left"/>
      </w:pPr>
      <w:r>
        <w:rPr/>
        <w:t>□ 适用 √ 不适用 组合中，采用其他方法计提坏账准备的其他应收款：</w:t>
      </w:r>
    </w:p>
    <w:p>
      <w:pPr>
        <w:pStyle w:val="BodyText"/>
        <w:spacing w:line="240" w:lineRule="auto" w:before="26"/>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136,080.00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进口关税及增值税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3,030,696.40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923,101.48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474,492.76</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22,499,826.75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856,607.17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638,580.32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506,315.46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243,096.86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4,868,111.79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24,304,605.41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代缴进口关税及增 值税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1,944,244.61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97,212.23</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代缴进口关税及增 值税</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1,086,451.79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54,322.59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474,492.76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23,724.64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3,725,189.16</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186,259.46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61,028,510.26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61,028,510.26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49,475,952.04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49,475,952.04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51,899,021.05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51,899,021.05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40,101,178.07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40,101,178.07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80,202,104.66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79,384,632.65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74,838,068.17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1,149,008.40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73,689,059.77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4,478,351.18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4,478,351.18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3,565,895.30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3,565,895.30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4,997,165.02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4,997,165.02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3,376,820.06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3,376,820.06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202,605,152.17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817,472.01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201,787,680.16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171,357,913.64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1,149,008.40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170,208,905.24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1,149,008.40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1,712,006.73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2,043,543.12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817,472.01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1,149,008.40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1,712,006.73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2,043,543.12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817,472.01</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待抵扣的增值税进项税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5,593,566.51</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5,593,566.51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after="0" w:line="240" w:lineRule="auto"/>
        <w:jc w:val="right"/>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196"/>
        <w:gridCol w:w="1196"/>
        <w:gridCol w:w="1195"/>
        <w:gridCol w:w="1285"/>
        <w:gridCol w:w="1367"/>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310,988,606.56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547,950,846.22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10,306,979.62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8,620,548.57</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877,866,980.97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4,922,422.52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116,968,703.33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2,619,209.21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2,691,397.87</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127,201,732.93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7,089,490.71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2,619,209.21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2,691,397.87</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12,400,097.79</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4,922,422.52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109,879,212.62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114,801,635.14</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5,119,898.40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1,177,344.00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6,297,242.40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5,119,898.40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1,177,344.00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6,297,242.40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315,911,029.08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659,799,651.15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12,926,188.83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10,134,602.44</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998,771,471.50</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58,285,880.48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181,108,140.16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5,415,935.72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5,966,799.67</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250,776,756.03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14,995,942.14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49,801,407.28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1,414,479.95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1,152,153.09</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67,363,982.46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14,995,942.14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49,801,407.28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1,414,479.95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1,152,153.09</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67,363,982.46</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4,034,327.72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1,118,476.80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5,152,804.52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4,034,327.72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1,118,476.80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5,152,804.52</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73,281,822.62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226,875,219.72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6,830,415.67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6,000,475.96</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312,987,933.97</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242,629,206.46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432,924,431.43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6,095,773.16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4,134,126.48</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685,783,537.53</w:t>
            </w:r>
          </w:p>
        </w:tc>
      </w:tr>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252,702,726.08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366,842,706.06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4,891,043.90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2,653,748.90</w:t>
            </w:r>
          </w:p>
        </w:tc>
        <w:tc>
          <w:tcPr>
            <w:tcW w:w="128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627,090,224.94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16,317,999.47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16,317,999.47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11,421,903.25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11,421,903.25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建筑工程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1,671,198.22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1,671,198.22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1,782,386.83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1,782,386.83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17,989,197.69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17,989,197.69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13,204,290.08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13,204,290.08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361"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安装工</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128,130,</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11,421,9</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115,954,</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109,879,</w:t>
            </w:r>
          </w:p>
        </w:tc>
        <w:tc>
          <w:tcPr>
            <w:tcW w:w="73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1,179,64</w:t>
            </w:r>
          </w:p>
        </w:tc>
        <w:tc>
          <w:tcPr>
            <w:tcW w:w="7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16,317,9</w:t>
            </w: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r>
      <w:tr>
        <w:trPr>
          <w:trHeight w:val="353"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208" w:right="0"/>
              <w:jc w:val="left"/>
              <w:rPr>
                <w:rFonts w:ascii="Times New Roman" w:hAnsi="Times New Roman" w:cs="Times New Roman" w:eastAsia="Times New Roman" w:hint="default"/>
                <w:sz w:val="18"/>
                <w:szCs w:val="18"/>
              </w:rPr>
            </w:pPr>
            <w:r>
              <w:rPr>
                <w:rFonts w:ascii="Times New Roman"/>
                <w:sz w:val="18"/>
              </w:rPr>
              <w:t>000.00</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03.25</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956.94</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212.62</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8.10</w:t>
            </w:r>
          </w:p>
        </w:tc>
        <w:tc>
          <w:tcPr>
            <w:tcW w:w="7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99.47</w:t>
            </w: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建筑工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1,782,38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6.83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5,690,97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4,922,42</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2.52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879,744.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1,671,19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8.22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在建</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128,130,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13,204,2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90.08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121,645,</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935.45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114,801,</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635.14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2,059,39</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2.70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17,989,1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97.69</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467,270.18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437,107.54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467,270.18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437,107.54</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12</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64"/>
        <w:gridCol w:w="1396"/>
        <w:gridCol w:w="1368"/>
        <w:gridCol w:w="1382"/>
        <w:gridCol w:w="1380"/>
        <w:gridCol w:w="1579"/>
      </w:tblGrid>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8"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73,910,067.66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323,747.15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114,105.90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74,372,466.71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257,386,700.00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5,875.80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257,453,825.80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257,386,700.00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61,250.00</w:t>
            </w: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5,875.80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257,453,825.80</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331,296,767.66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384,997.15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119,981.70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331,826,292.51</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5,372,956.51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74,172.10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15,646.00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58,680.91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5,521,455.52</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1,472,522.06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36,381.32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11,459.76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1,521,563.14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1,472,522.06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36,381.32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11,459.76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1,521,563.14</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6,845,478.57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110,553.42</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16,846.00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70,140.67</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7,043,018.66</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324,451,289.09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274,443.73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49,841.03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324,783,273.85</w:t>
            </w:r>
          </w:p>
        </w:tc>
      </w:tr>
      <w:tr>
        <w:trPr>
          <w:trHeight w:val="402" w:hRule="exact"/>
        </w:trPr>
        <w:tc>
          <w:tcPr>
            <w:tcW w:w="24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68,537,111.15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249,575.05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8,900.00</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55,424.99</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68,851,011.19</w:t>
            </w:r>
          </w:p>
        </w:tc>
      </w:tr>
    </w:tbl>
    <w:p>
      <w:pPr>
        <w:pStyle w:val="BodyText"/>
        <w:spacing w:line="240" w:lineRule="auto" w:before="51"/>
        <w:ind w:right="0"/>
        <w:jc w:val="left"/>
      </w:pPr>
      <w:r>
        <w:rPr/>
        <w:t>本期末通过公司内部研发形成的无形资产占无形资产余额的比例</w:t>
      </w:r>
      <w:r>
        <w:rPr>
          <w:spacing w:val="-46"/>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5" w:right="0"/>
              <w:jc w:val="left"/>
              <w:rPr>
                <w:rFonts w:ascii="Times New Roman" w:hAnsi="Times New Roman" w:cs="Times New Roman" w:eastAsia="Times New Roman" w:hint="default"/>
                <w:sz w:val="18"/>
                <w:szCs w:val="18"/>
              </w:rPr>
            </w:pPr>
            <w:r>
              <w:rPr>
                <w:rFonts w:ascii="Times New Roman"/>
                <w:sz w:val="18"/>
              </w:rPr>
              <w:t>257,386,700.00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本期新增，尚未办妥</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13</w:t>
      </w:r>
      <w:r>
        <w:rPr/>
        <w:t>、长期待摊费用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信息披露费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957,442.07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385,650.07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571,792.00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957,442.07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385,650.07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571,792.00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6,372,352.27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956,826.55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4,417,158.94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662,573.84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189,671,312.00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47,400,828.00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43,500.00</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应付职工薪酬（期末已 计提未支付）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18,090,075.25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2,713,511.29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11,546,402.37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1,731,960.36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固定资产报废（房屋建 筑物）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811,654.69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121,748.20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811,654.69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121,748.20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可弥补的亏损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7,212,468.90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1,803,117.22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222,157,863.11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52,996,031.26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17,065,216.00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2,559,782.40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52,996,031.26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2,559,782.40</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23,554,799.51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56,301,376.64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23,554,799.51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56,301,376.64</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68,475,927.11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31,842,783.96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114,665.50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381,960.01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28,660.01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721,553.02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230,100.00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68,849,352.62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32,946,296.99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17</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6,883,809.87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5,697,072.50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97,787.41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11,727.01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10,990.62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10,216.70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11,246.25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1,352.36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7,003,834.15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5,720,368.57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11,925,401.59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112,169,665.85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105,717,984.55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9,005,302.84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9,005,302.84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11,925,401.59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121,174,968.69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114,723,287.39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11,731,252.37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99,977,444.58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93,449,463.28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18,259,233.67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3,990,003.71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3,990,003.71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5,018,519.62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5,018,519.62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2,832,002.00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2,832,002.00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194,149.22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351,695.94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427,995.94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117,849.22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11,925,401.59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112,169,665.85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105,717,984.55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18,377,082.89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8,620,662.12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8,620,662.12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384,640.72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384,640.72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9,005,302.84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9,005,302.84</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379,201.87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47,330,772.71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1,396,023.71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175,689.92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119,998.50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26,007.90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491,758.02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491,758.00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5,201.58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48,413,833.58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2,007,914.82</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20</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38,881.37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354,085.56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177,493.67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211,424.59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37,837.50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806,009.32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1,371,519.47</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189,501,312.00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206,086,312.00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18,715,000.00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189,501,312.00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206,086,312.00</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涉及政府补助的项目：</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技术中心建设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市级重点技改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江苏超纤专项资 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187,413,912.00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187,413,912.00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江苏化学专项资 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2,087,400.00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2,087,400.00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189,501,312.00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206,086,312.00</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pStyle w:val="BodyText"/>
        <w:spacing w:line="300" w:lineRule="auto" w:before="116"/>
        <w:ind w:right="14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、根据上海市经济和信息化委员会、上海市财政局、上海市国家税务局、上海市地方税务局、中华人民共和国上海海关文 件沪经信技</w:t>
      </w:r>
      <w:r>
        <w:rPr>
          <w:rFonts w:ascii="Times New Roman" w:hAnsi="Times New Roman" w:cs="Times New Roman" w:eastAsia="Times New Roman" w:hint="default"/>
        </w:rPr>
        <w:t>[2009]707</w:t>
      </w:r>
      <w:r>
        <w:rPr>
          <w:rFonts w:ascii="Times New Roman" w:hAnsi="Times New Roman" w:cs="Times New Roman" w:eastAsia="Times New Roman" w:hint="default"/>
          <w:spacing w:val="-1"/>
        </w:rPr>
        <w:t> </w:t>
      </w:r>
      <w:r>
        <w:rPr/>
        <w:t>号文，公司于</w:t>
      </w:r>
      <w:r>
        <w:rPr>
          <w:spacing w:val="-46"/>
        </w:rPr>
        <w:t> </w:t>
      </w:r>
      <w:r>
        <w:rPr>
          <w:rFonts w:ascii="Times New Roman" w:hAnsi="Times New Roman" w:cs="Times New Roman" w:eastAsia="Times New Roman" w:hint="default"/>
        </w:rPr>
        <w:t>2009</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日收到上海市企业技术创新服务中心所拨入技术中心建设专项补贴</w:t>
      </w:r>
      <w:r>
        <w:rPr>
          <w:spacing w:val="-46"/>
        </w:rPr>
        <w:t> </w:t>
      </w:r>
      <w:r>
        <w:rPr>
          <w:rFonts w:ascii="Times New Roman" w:hAnsi="Times New Roman" w:cs="Times New Roman" w:eastAsia="Times New Roman" w:hint="default"/>
        </w:rPr>
        <w:t>60</w:t>
      </w:r>
    </w:p>
    <w:p>
      <w:pPr>
        <w:pStyle w:val="BodyText"/>
        <w:spacing w:line="240" w:lineRule="auto" w:before="13"/>
        <w:ind w:right="0"/>
        <w:jc w:val="left"/>
        <w:rPr>
          <w:rFonts w:ascii="Times New Roman" w:hAnsi="Times New Roman" w:cs="Times New Roman" w:eastAsia="Times New Roman" w:hint="default"/>
        </w:rPr>
      </w:pPr>
      <w:r>
        <w:rPr/>
        <w:t>万元。该技术中心于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月份完成验收并投入使用，从</w:t>
      </w:r>
      <w:r>
        <w:rPr>
          <w:spacing w:val="-50"/>
        </w:rPr>
        <w:t> </w:t>
      </w:r>
      <w:r>
        <w:rPr>
          <w:rFonts w:ascii="Times New Roman" w:hAnsi="Times New Roman" w:cs="Times New Roman" w:eastAsia="Times New Roman" w:hint="default"/>
        </w:rPr>
        <w:t>2011</w:t>
      </w:r>
      <w:r>
        <w:rPr>
          <w:rFonts w:ascii="Times New Roman" w:hAnsi="Times New Roman" w:cs="Times New Roman" w:eastAsia="Times New Roman" w:hint="default"/>
          <w:spacing w:val="-4"/>
        </w:rPr>
        <w:t> </w:t>
      </w:r>
      <w:r>
        <w:rPr/>
        <w:t>年</w:t>
      </w:r>
      <w:r>
        <w:rPr>
          <w:spacing w:val="-50"/>
        </w:rPr>
        <w:t>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月份起按照</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t>年进行摊销，本期确认收益</w:t>
      </w:r>
      <w:r>
        <w:rPr>
          <w:spacing w:val="-50"/>
        </w:rPr>
        <w:t> </w:t>
      </w:r>
      <w:r>
        <w:rPr>
          <w:rFonts w:ascii="Times New Roman" w:hAnsi="Times New Roman" w:cs="Times New Roman" w:eastAsia="Times New Roman" w:hint="default"/>
        </w:rPr>
        <w:t>120,000.00</w:t>
      </w:r>
    </w:p>
    <w:p>
      <w:pPr>
        <w:pStyle w:val="BodyText"/>
        <w:spacing w:line="240" w:lineRule="auto" w:before="64"/>
        <w:ind w:right="0"/>
        <w:jc w:val="left"/>
      </w:pPr>
      <w:r>
        <w:rPr/>
        <w:t>元，期末余额</w:t>
      </w:r>
      <w:r>
        <w:rPr>
          <w:spacing w:val="-46"/>
        </w:rPr>
        <w:t> </w:t>
      </w:r>
      <w:r>
        <w:rPr>
          <w:rFonts w:ascii="Times New Roman" w:hAnsi="Times New Roman" w:cs="Times New Roman" w:eastAsia="Times New Roman" w:hint="default"/>
        </w:rPr>
        <w:t>170,000.00</w:t>
      </w:r>
      <w:r>
        <w:rPr>
          <w:rFonts w:ascii="Times New Roman" w:hAnsi="Times New Roman" w:cs="Times New Roman" w:eastAsia="Times New Roman" w:hint="default"/>
          <w:spacing w:val="-1"/>
        </w:rPr>
        <w:t> </w:t>
      </w:r>
      <w:r>
        <w:rPr/>
        <w:t>元。</w:t>
      </w:r>
    </w:p>
    <w:p>
      <w:pPr>
        <w:pStyle w:val="BodyText"/>
        <w:spacing w:line="240" w:lineRule="auto" w:before="101"/>
        <w:ind w:right="0"/>
        <w:jc w:val="left"/>
      </w:pPr>
      <w:r>
        <w:rPr>
          <w:rFonts w:ascii="Times New Roman" w:hAnsi="Times New Roman" w:cs="Times New Roman" w:eastAsia="Times New Roman" w:hint="default"/>
        </w:rPr>
        <w:t>2</w:t>
      </w:r>
      <w:r>
        <w:rPr/>
        <w:t>、根据上海市金山区经济委员会《金山区经委关于上海华峰超纤材料股份有限公司年产</w:t>
      </w:r>
      <w:r>
        <w:rPr>
          <w:spacing w:val="-46"/>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万平米定岛超细纤维聚氨酯合</w:t>
      </w:r>
    </w:p>
    <w:p>
      <w:pPr>
        <w:pStyle w:val="BodyText"/>
        <w:spacing w:line="240" w:lineRule="auto" w:before="63"/>
        <w:ind w:right="0"/>
        <w:jc w:val="left"/>
      </w:pPr>
      <w:r>
        <w:rPr/>
        <w:t>成革生产投资建设项目上海市重点技术改造专项资金申请报告的批复</w:t>
      </w:r>
      <w:r>
        <w:rPr>
          <w:rFonts w:ascii="Times New Roman" w:hAnsi="Times New Roman" w:cs="Times New Roman" w:eastAsia="Times New Roman" w:hint="default"/>
        </w:rPr>
        <w:t>{</w:t>
      </w:r>
      <w:r>
        <w:rPr/>
        <w:t>沪府发</w:t>
      </w:r>
      <w:r>
        <w:rPr>
          <w:rFonts w:ascii="Times New Roman" w:hAnsi="Times New Roman" w:cs="Times New Roman" w:eastAsia="Times New Roman" w:hint="default"/>
        </w:rPr>
        <w:t>[2004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5</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t>，公司于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日收到</w:t>
      </w:r>
    </w:p>
    <w:p>
      <w:pPr>
        <w:pStyle w:val="BodyText"/>
        <w:spacing w:line="240" w:lineRule="auto" w:before="63"/>
        <w:ind w:right="0"/>
        <w:jc w:val="left"/>
      </w:pPr>
      <w:r>
        <w:rPr/>
        <w:t>上海市金山区财政局拨付的上海市重点技术改造项目专项资金</w:t>
      </w:r>
      <w:r>
        <w:rPr>
          <w:spacing w:val="-47"/>
        </w:rPr>
        <w:t> </w:t>
      </w:r>
      <w:r>
        <w:rPr>
          <w:rFonts w:ascii="Times New Roman" w:hAnsi="Times New Roman" w:cs="Times New Roman" w:eastAsia="Times New Roman" w:hint="default"/>
        </w:rPr>
        <w:t>20,100,000.00</w:t>
      </w:r>
      <w:r>
        <w:rPr>
          <w:rFonts w:ascii="Times New Roman" w:hAnsi="Times New Roman" w:cs="Times New Roman" w:eastAsia="Times New Roman" w:hint="default"/>
          <w:spacing w:val="-2"/>
        </w:rPr>
        <w:t> </w:t>
      </w:r>
      <w:r>
        <w:rPr/>
        <w:t>元。该专项资金从</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月份起按照</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年</w:t>
      </w:r>
    </w:p>
    <w:p>
      <w:pPr>
        <w:pStyle w:val="BodyText"/>
        <w:spacing w:line="240" w:lineRule="auto" w:before="64"/>
        <w:ind w:right="0"/>
        <w:jc w:val="left"/>
      </w:pPr>
      <w:r>
        <w:rPr/>
        <w:t>进行摊销，本期确认收益</w:t>
      </w:r>
      <w:r>
        <w:rPr>
          <w:spacing w:val="-47"/>
        </w:rPr>
        <w:t> </w:t>
      </w:r>
      <w:r>
        <w:rPr>
          <w:rFonts w:ascii="Times New Roman" w:hAnsi="Times New Roman" w:cs="Times New Roman" w:eastAsia="Times New Roman" w:hint="default"/>
        </w:rPr>
        <w:t>2,010,000.00</w:t>
      </w:r>
      <w:r>
        <w:rPr>
          <w:rFonts w:ascii="Times New Roman" w:hAnsi="Times New Roman" w:cs="Times New Roman" w:eastAsia="Times New Roman" w:hint="default"/>
          <w:spacing w:val="-2"/>
        </w:rPr>
        <w:t> </w:t>
      </w:r>
      <w:r>
        <w:rPr/>
        <w:t>元，期末余额</w:t>
      </w:r>
      <w:r>
        <w:rPr>
          <w:spacing w:val="-47"/>
        </w:rPr>
        <w:t> </w:t>
      </w:r>
      <w:r>
        <w:rPr>
          <w:rFonts w:ascii="Times New Roman" w:hAnsi="Times New Roman" w:cs="Times New Roman" w:eastAsia="Times New Roman" w:hint="default"/>
        </w:rPr>
        <w:t>16,415,000.00</w:t>
      </w:r>
      <w:r>
        <w:rPr>
          <w:rFonts w:ascii="Times New Roman" w:hAnsi="Times New Roman" w:cs="Times New Roman" w:eastAsia="Times New Roman" w:hint="default"/>
          <w:spacing w:val="-2"/>
        </w:rPr>
        <w:t> </w:t>
      </w:r>
      <w:r>
        <w:rPr/>
        <w:t>元。</w:t>
      </w:r>
    </w:p>
    <w:p>
      <w:pPr>
        <w:pStyle w:val="BodyText"/>
        <w:spacing w:line="240" w:lineRule="auto" w:before="102"/>
        <w:ind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spacing w:val="-5"/>
        </w:rPr>
        <w:t>、</w:t>
      </w:r>
      <w:r>
        <w:rPr/>
        <w:t>根据启东市财政</w:t>
      </w:r>
      <w:r>
        <w:rPr>
          <w:spacing w:val="-5"/>
        </w:rPr>
        <w:t>局</w:t>
      </w:r>
      <w:r>
        <w:rPr/>
        <w:t>《关于安排江苏华峰超纤材料有限公司有关补助及奖励金的函</w:t>
      </w:r>
      <w:r>
        <w:rPr>
          <w:rFonts w:ascii="Times New Roman" w:hAnsi="Times New Roman" w:cs="Times New Roman" w:eastAsia="Times New Roman" w:hint="default"/>
        </w:rPr>
        <w:t>{</w:t>
      </w:r>
      <w:r>
        <w:rPr/>
        <w:t>启财函</w:t>
      </w:r>
      <w:r>
        <w:rPr>
          <w:rFonts w:ascii="Times New Roman" w:hAnsi="Times New Roman" w:cs="Times New Roman" w:eastAsia="Times New Roman" w:hint="default"/>
        </w:rPr>
        <w:t>[2014</w:t>
      </w:r>
      <w:r>
        <w:rPr>
          <w:rFonts w:ascii="Times New Roman" w:hAnsi="Times New Roman" w:cs="Times New Roman" w:eastAsia="Times New Roman" w:hint="default"/>
          <w:spacing w:val="-2"/>
        </w:rPr>
        <w:t>]</w:t>
      </w:r>
      <w:r>
        <w:rPr>
          <w:rFonts w:ascii="Times New Roman" w:hAnsi="Times New Roman" w:cs="Times New Roman" w:eastAsia="Times New Roman" w:hint="default"/>
        </w:rPr>
        <w:t>2 </w:t>
      </w:r>
      <w:r>
        <w:rPr/>
        <w:t>号</w:t>
      </w:r>
      <w:r>
        <w:rPr>
          <w:rFonts w:ascii="Times New Roman" w:hAnsi="Times New Roman" w:cs="Times New Roman" w:eastAsia="Times New Roman" w:hint="default"/>
        </w:rPr>
        <w:t>}</w:t>
      </w:r>
      <w:r>
        <w:rPr>
          <w:spacing w:val="-90"/>
        </w:rPr>
        <w:t>》</w:t>
      </w:r>
      <w:r>
        <w:rPr>
          <w:spacing w:val="-5"/>
        </w:rPr>
        <w:t>，</w:t>
      </w: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8</w:t>
      </w:r>
    </w:p>
    <w:p>
      <w:pPr>
        <w:pStyle w:val="BodyText"/>
        <w:spacing w:line="240" w:lineRule="auto" w:before="63"/>
        <w:ind w:right="0"/>
        <w:jc w:val="left"/>
        <w:rPr>
          <w:rFonts w:ascii="Times New Roman" w:hAnsi="Times New Roman" w:cs="Times New Roman" w:eastAsia="Times New Roman" w:hint="default"/>
        </w:rPr>
      </w:pPr>
      <w:r>
        <w:rPr/>
        <w:t>月</w:t>
      </w:r>
      <w:r>
        <w:rPr>
          <w:spacing w:val="-46"/>
        </w:rPr>
        <w:t> </w:t>
      </w:r>
      <w:r>
        <w:rPr>
          <w:rFonts w:ascii="Times New Roman" w:hAnsi="Times New Roman" w:cs="Times New Roman" w:eastAsia="Times New Roman" w:hint="default"/>
        </w:rPr>
        <w:t>29</w:t>
      </w:r>
      <w:r>
        <w:rPr>
          <w:rFonts w:ascii="Times New Roman" w:hAnsi="Times New Roman" w:cs="Times New Roman" w:eastAsia="Times New Roman" w:hint="default"/>
          <w:spacing w:val="-1"/>
        </w:rPr>
        <w:t> </w:t>
      </w:r>
      <w:r>
        <w:rPr/>
        <w:t>日收到</w:t>
      </w:r>
      <w:r>
        <w:rPr>
          <w:spacing w:val="1"/>
        </w:rPr>
        <w:t>江</w:t>
      </w:r>
      <w:r>
        <w:rPr/>
        <w:t>苏启东吕四港经济开发区管委会拨付的地基处理补偿费</w:t>
      </w:r>
      <w:r>
        <w:rPr>
          <w:spacing w:val="-82"/>
        </w:rPr>
        <w:t>、</w:t>
      </w:r>
      <w:r>
        <w:rPr/>
        <w:t>引进高新技术企业奖励费等有关费用</w:t>
      </w:r>
      <w:r>
        <w:rPr>
          <w:spacing w:val="-46"/>
        </w:rPr>
        <w:t> </w:t>
      </w:r>
      <w:r>
        <w:rPr>
          <w:rFonts w:ascii="Times New Roman" w:hAnsi="Times New Roman" w:cs="Times New Roman" w:eastAsia="Times New Roman" w:hint="default"/>
        </w:rPr>
        <w:t>187,413,912.00</w:t>
      </w:r>
    </w:p>
    <w:p>
      <w:pPr>
        <w:pStyle w:val="BodyText"/>
        <w:spacing w:line="240" w:lineRule="auto" w:before="64"/>
        <w:ind w:right="0"/>
        <w:jc w:val="left"/>
      </w:pPr>
      <w:r>
        <w:rPr/>
        <w:t>元。该专项资金从项目建成后按照</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年进行摊销，本期未确认收益，期末余额</w:t>
      </w:r>
      <w:r>
        <w:rPr>
          <w:spacing w:val="-46"/>
        </w:rPr>
        <w:t> </w:t>
      </w:r>
      <w:r>
        <w:rPr>
          <w:rFonts w:ascii="Times New Roman" w:hAnsi="Times New Roman" w:cs="Times New Roman" w:eastAsia="Times New Roman" w:hint="default"/>
        </w:rPr>
        <w:t>187,413,912.00</w:t>
      </w:r>
      <w:r>
        <w:rPr>
          <w:rFonts w:ascii="Times New Roman" w:hAnsi="Times New Roman" w:cs="Times New Roman" w:eastAsia="Times New Roman" w:hint="default"/>
          <w:spacing w:val="-1"/>
        </w:rPr>
        <w:t> </w:t>
      </w:r>
      <w:r>
        <w:rPr/>
        <w:t>元。</w:t>
      </w:r>
    </w:p>
    <w:p>
      <w:pPr>
        <w:pStyle w:val="BodyText"/>
        <w:spacing w:line="240" w:lineRule="auto" w:before="101"/>
        <w:ind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spacing w:val="-15"/>
        </w:rPr>
        <w:t>、</w:t>
      </w:r>
      <w:r>
        <w:rPr/>
        <w:t>根据江苏</w:t>
      </w:r>
      <w:r>
        <w:rPr>
          <w:spacing w:val="-2"/>
        </w:rPr>
        <w:t>省</w:t>
      </w:r>
      <w:r>
        <w:rPr/>
        <w:t>启东市财政</w:t>
      </w:r>
      <w:r>
        <w:rPr>
          <w:spacing w:val="-15"/>
        </w:rPr>
        <w:t>局</w:t>
      </w:r>
      <w:r>
        <w:rPr/>
        <w:t>《关于安排</w:t>
      </w:r>
      <w:r>
        <w:rPr>
          <w:spacing w:val="-2"/>
        </w:rPr>
        <w:t>江</w:t>
      </w:r>
      <w:r>
        <w:rPr/>
        <w:t>苏华峰化学有限公司有关补助及奖励金的函</w:t>
      </w:r>
      <w:r>
        <w:rPr>
          <w:rFonts w:ascii="Times New Roman" w:hAnsi="Times New Roman" w:cs="Times New Roman" w:eastAsia="Times New Roman" w:hint="default"/>
        </w:rPr>
        <w:t>{</w:t>
      </w:r>
      <w:r>
        <w:rPr/>
        <w:t>启财</w:t>
      </w:r>
      <w:r>
        <w:rPr>
          <w:spacing w:val="-15"/>
        </w:rPr>
        <w:t>函</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2"/>
        </w:rPr>
        <w:t>0</w:t>
      </w:r>
      <w:r>
        <w:rPr>
          <w:rFonts w:ascii="Times New Roman" w:hAnsi="Times New Roman" w:cs="Times New Roman" w:eastAsia="Times New Roman" w:hint="default"/>
        </w:rPr>
        <w:t>14</w:t>
      </w:r>
      <w:r>
        <w:rPr>
          <w:spacing w:val="-15"/>
        </w:rPr>
        <w:t>）</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spacing w:val="-15"/>
        </w:rPr>
        <w:t>，</w:t>
      </w:r>
      <w:r>
        <w:rPr/>
        <w:t>公司于</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4</w:t>
      </w:r>
    </w:p>
    <w:p>
      <w:pPr>
        <w:pStyle w:val="BodyText"/>
        <w:spacing w:line="240" w:lineRule="auto" w:before="63"/>
        <w:ind w:right="0"/>
        <w:jc w:val="left"/>
      </w:pPr>
      <w:r>
        <w:rPr/>
        <w:t>年</w:t>
      </w:r>
      <w:r>
        <w:rPr>
          <w:spacing w:val="-45"/>
        </w:rPr>
        <w:t> </w:t>
      </w:r>
      <w:r>
        <w:rPr>
          <w:rFonts w:ascii="Times New Roman" w:hAnsi="Times New Roman" w:cs="Times New Roman" w:eastAsia="Times New Roman" w:hint="default"/>
        </w:rPr>
        <w:t>9 </w:t>
      </w:r>
      <w:r>
        <w:rPr/>
        <w:t>月</w:t>
      </w:r>
      <w:r>
        <w:rPr>
          <w:spacing w:val="-44"/>
        </w:rPr>
        <w:t> </w:t>
      </w:r>
      <w:r>
        <w:rPr>
          <w:rFonts w:ascii="Times New Roman" w:hAnsi="Times New Roman" w:cs="Times New Roman" w:eastAsia="Times New Roman" w:hint="default"/>
        </w:rPr>
        <w:t>2 </w:t>
      </w:r>
      <w:r>
        <w:rPr/>
        <w:t>日收到启东市财政局拨付的地基处理补偿费和引进高新技术企业奖励费合计</w:t>
      </w:r>
      <w:r>
        <w:rPr>
          <w:spacing w:val="-45"/>
        </w:rPr>
        <w:t> </w:t>
      </w:r>
      <w:r>
        <w:rPr>
          <w:rFonts w:ascii="Times New Roman" w:hAnsi="Times New Roman" w:cs="Times New Roman" w:eastAsia="Times New Roman" w:hint="default"/>
        </w:rPr>
        <w:t>2,087,400.00</w:t>
      </w:r>
      <w:r>
        <w:rPr>
          <w:rFonts w:ascii="Times New Roman" w:hAnsi="Times New Roman" w:cs="Times New Roman" w:eastAsia="Times New Roman" w:hint="default"/>
          <w:spacing w:val="-1"/>
        </w:rPr>
        <w:t> </w:t>
      </w:r>
      <w:r>
        <w:rPr>
          <w:spacing w:val="-4"/>
        </w:rPr>
        <w:t>元。该专项资金从项目建</w:t>
      </w:r>
    </w:p>
    <w:p>
      <w:pPr>
        <w:pStyle w:val="BodyText"/>
        <w:spacing w:line="240" w:lineRule="auto" w:before="64"/>
        <w:ind w:left="153" w:right="0"/>
        <w:jc w:val="left"/>
      </w:pPr>
      <w:r>
        <w:rPr/>
        <w:t>成后按照</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年进行摊销，本期未确认收益，期末余额</w:t>
      </w:r>
      <w:r>
        <w:rPr>
          <w:spacing w:val="-46"/>
        </w:rPr>
        <w:t> </w:t>
      </w:r>
      <w:r>
        <w:rPr>
          <w:rFonts w:ascii="Times New Roman" w:hAnsi="Times New Roman" w:cs="Times New Roman" w:eastAsia="Times New Roman" w:hint="default"/>
        </w:rPr>
        <w:t>2,087,400.00</w:t>
      </w:r>
      <w:r>
        <w:rPr>
          <w:rFonts w:ascii="Times New Roman" w:hAnsi="Times New Roman" w:cs="Times New Roman" w:eastAsia="Times New Roman" w:hint="default"/>
          <w:spacing w:val="-1"/>
        </w:rPr>
        <w:t> </w:t>
      </w:r>
      <w:r>
        <w:rPr/>
        <w:t>元。</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158,000,000.00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158,000,000.00</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837,351,641.94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779,077,441.94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837,351,641.94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779,077,441.94</w:t>
            </w:r>
          </w:p>
        </w:tc>
      </w:tr>
    </w:tbl>
    <w:p>
      <w:pPr>
        <w:pStyle w:val="BodyText"/>
        <w:spacing w:line="240" w:lineRule="auto" w:before="51"/>
        <w:ind w:right="0"/>
        <w:jc w:val="both"/>
      </w:pPr>
      <w:r>
        <w:rPr/>
        <w:t>其他说明，包括本期增减变动情况、变动原因说明：</w:t>
      </w:r>
    </w:p>
    <w:p>
      <w:pPr>
        <w:pStyle w:val="BodyText"/>
        <w:spacing w:line="312" w:lineRule="auto" w:before="115"/>
        <w:ind w:right="149"/>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4"/>
        </w:rPr>
        <w:t> </w:t>
      </w:r>
      <w:r>
        <w:rPr/>
        <w:t>年</w:t>
      </w:r>
      <w:r>
        <w:rPr>
          <w:spacing w:val="-41"/>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spacing w:val="-3"/>
        </w:rPr>
        <w:t>月，江苏超纤同一控制下收购江苏化学</w:t>
      </w:r>
      <w:r>
        <w:rPr>
          <w:spacing w:val="-41"/>
        </w:rPr>
        <w:t> </w:t>
      </w:r>
      <w:r>
        <w:rPr>
          <w:rFonts w:ascii="Times New Roman" w:hAnsi="Times New Roman" w:cs="Times New Roman" w:eastAsia="Times New Roman" w:hint="default"/>
          <w:spacing w:val="-5"/>
        </w:rPr>
        <w:t>100.00%</w:t>
      </w:r>
      <w:r>
        <w:rPr>
          <w:spacing w:val="-5"/>
        </w:rPr>
        <w:t>股权，根据《企业会计准则第</w:t>
      </w:r>
      <w:r>
        <w:rPr>
          <w:spacing w:val="-41"/>
        </w:rPr>
        <w:t> </w:t>
      </w:r>
      <w:r>
        <w:rPr>
          <w:rFonts w:ascii="Times New Roman" w:hAnsi="Times New Roman" w:cs="Times New Roman" w:eastAsia="Times New Roman" w:hint="default"/>
        </w:rPr>
        <w:t>20</w:t>
      </w:r>
      <w:r>
        <w:rPr>
          <w:rFonts w:ascii="Times New Roman" w:hAnsi="Times New Roman" w:cs="Times New Roman" w:eastAsia="Times New Roman" w:hint="default"/>
          <w:spacing w:val="4"/>
        </w:rPr>
        <w:t> </w:t>
      </w:r>
      <w:r>
        <w:rPr>
          <w:spacing w:val="-7"/>
        </w:rPr>
        <w:t>号</w:t>
      </w:r>
      <w:r>
        <w:rPr>
          <w:rFonts w:ascii="Times New Roman" w:hAnsi="Times New Roman" w:cs="Times New Roman" w:eastAsia="Times New Roman" w:hint="default"/>
          <w:spacing w:val="-7"/>
        </w:rPr>
        <w:t>-</w:t>
      </w:r>
      <w:r>
        <w:rPr>
          <w:spacing w:val="-7"/>
        </w:rPr>
        <w:t>企业合并》的规定，编制</w:t>
      </w:r>
      <w:r>
        <w:rPr>
          <w:spacing w:val="-41"/>
        </w:rPr>
        <w:t> </w:t>
      </w:r>
      <w:r>
        <w:rPr>
          <w:rFonts w:ascii="Times New Roman" w:hAnsi="Times New Roman" w:cs="Times New Roman" w:eastAsia="Times New Roman" w:hint="default"/>
        </w:rPr>
        <w:t>2013 </w:t>
      </w:r>
      <w:r>
        <w:rPr>
          <w:spacing w:val="-2"/>
        </w:rPr>
        <w:t>年比较报表时，视同该项合并在以前期间即已发生。将江苏化学的有关资产、负债在抵销内部交易的影响后并入合并财务报</w:t>
      </w:r>
      <w:r>
        <w:rPr>
          <w:spacing w:val="-66"/>
        </w:rPr>
        <w:t> </w:t>
      </w:r>
      <w:r>
        <w:rPr>
          <w:spacing w:val="-66"/>
        </w:rPr>
      </w:r>
      <w:r>
        <w:rPr>
          <w:spacing w:val="-2"/>
        </w:rPr>
        <w:t>表，同时增加合并资产负债表中所有者权益项下的资本公积，对于江苏化学在合并日以前实现的留存收益中归属于公司的部</w:t>
      </w:r>
      <w:r>
        <w:rPr>
          <w:spacing w:val="-64"/>
        </w:rPr>
        <w:t> </w:t>
      </w:r>
      <w:r>
        <w:rPr>
          <w:spacing w:val="-64"/>
        </w:rPr>
      </w:r>
      <w:r>
        <w:rPr/>
        <w:t>分，自资本公积转入未分配利润，合计增加</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年度资本公积</w:t>
      </w:r>
      <w:r>
        <w:rPr>
          <w:spacing w:val="-47"/>
        </w:rPr>
        <w:t> </w:t>
      </w:r>
      <w:r>
        <w:rPr>
          <w:rFonts w:ascii="Times New Roman" w:hAnsi="Times New Roman" w:cs="Times New Roman" w:eastAsia="Times New Roman" w:hint="default"/>
        </w:rPr>
        <w:t>60,000,000.00</w:t>
      </w:r>
      <w:r>
        <w:rPr>
          <w:rFonts w:ascii="Times New Roman" w:hAnsi="Times New Roman" w:cs="Times New Roman" w:eastAsia="Times New Roman" w:hint="default"/>
          <w:spacing w:val="-2"/>
        </w:rPr>
        <w:t> </w:t>
      </w:r>
      <w:r>
        <w:rPr/>
        <w:t>元。</w:t>
      </w:r>
    </w:p>
    <w:p>
      <w:pPr>
        <w:pStyle w:val="BodyText"/>
        <w:spacing w:line="240" w:lineRule="auto" w:before="42"/>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年度将上述调整形成的资本公积予以冲销，并根据《企业会计准则第</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企业合并》的规定，将江苏超纤取得的江</w:t>
      </w:r>
    </w:p>
    <w:p>
      <w:pPr>
        <w:pStyle w:val="BodyText"/>
        <w:spacing w:line="302" w:lineRule="auto" w:before="63"/>
        <w:ind w:right="151"/>
        <w:jc w:val="both"/>
      </w:pPr>
      <w:r>
        <w:rPr/>
        <w:t>苏化学净资产账面价值与支付的合并对价之间的差额</w:t>
      </w:r>
      <w:r>
        <w:rPr>
          <w:spacing w:val="-64"/>
        </w:rPr>
        <w:t> </w:t>
      </w:r>
      <w:r>
        <w:rPr>
          <w:rFonts w:ascii="Times New Roman" w:hAnsi="Times New Roman" w:cs="Times New Roman" w:eastAsia="Times New Roman" w:hint="default"/>
        </w:rPr>
        <w:t>3,552,649.67</w:t>
      </w:r>
      <w:r>
        <w:rPr>
          <w:rFonts w:ascii="Times New Roman" w:hAnsi="Times New Roman" w:cs="Times New Roman" w:eastAsia="Times New Roman" w:hint="default"/>
          <w:spacing w:val="-19"/>
        </w:rPr>
        <w:t> </w:t>
      </w:r>
      <w:r>
        <w:rPr/>
        <w:t>元冲减资本公积，同时对于江苏化学合并日以前实现的留 存收益中归属于公司的部分</w:t>
      </w:r>
      <w:r>
        <w:rPr>
          <w:rFonts w:ascii="Times New Roman" w:hAnsi="Times New Roman" w:cs="Times New Roman" w:eastAsia="Times New Roman" w:hint="default"/>
        </w:rPr>
        <w:t>-5,278,449.67 </w:t>
      </w:r>
      <w:r>
        <w:rPr/>
        <w:t>元，自资本公积转入未分配利润，合计增加资本公积 </w:t>
      </w:r>
      <w:r>
        <w:rPr>
          <w:rFonts w:ascii="Times New Roman" w:hAnsi="Times New Roman" w:cs="Times New Roman" w:eastAsia="Times New Roman" w:hint="default"/>
        </w:rPr>
        <w:t>1,725,800.00</w:t>
      </w:r>
      <w:r>
        <w:rPr>
          <w:rFonts w:ascii="Times New Roman" w:hAnsi="Times New Roman" w:cs="Times New Roman" w:eastAsia="Times New Roman" w:hint="default"/>
          <w:spacing w:val="-6"/>
        </w:rPr>
        <w:t> </w:t>
      </w:r>
      <w:r>
        <w:rPr/>
        <w:t>元。</w:t>
      </w:r>
    </w:p>
    <w:p>
      <w:pPr>
        <w:spacing w:line="240" w:lineRule="auto" w:before="10"/>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42,643,949.17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11,669,466.07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54,313,415.24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42,643,949.17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11,669,466.07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54,313,415.24</w:t>
            </w:r>
          </w:p>
        </w:tc>
      </w:tr>
    </w:tbl>
    <w:p>
      <w:pPr>
        <w:pStyle w:val="BodyText"/>
        <w:spacing w:line="240" w:lineRule="auto" w:before="51"/>
        <w:ind w:right="0"/>
        <w:jc w:val="left"/>
      </w:pPr>
      <w:r>
        <w:rPr/>
        <w:t>盈余公积说明，包括本期增减变动情况、变动原因说明：</w:t>
      </w:r>
    </w:p>
    <w:p>
      <w:pPr>
        <w:spacing w:before="89"/>
        <w:ind w:left="154" w:right="0" w:firstLine="0"/>
        <w:jc w:val="left"/>
        <w:rPr>
          <w:rFonts w:ascii="宋体" w:hAnsi="宋体" w:cs="宋体" w:eastAsia="宋体" w:hint="default"/>
          <w:sz w:val="21"/>
          <w:szCs w:val="21"/>
        </w:rPr>
      </w:pPr>
      <w:r>
        <w:rPr>
          <w:rFonts w:ascii="宋体" w:hAnsi="宋体" w:cs="宋体" w:eastAsia="宋体" w:hint="default"/>
          <w:sz w:val="21"/>
          <w:szCs w:val="21"/>
        </w:rPr>
        <w:t>根据公司章程和董事会决议，按年度实现归属于母公司净利润的</w:t>
      </w:r>
      <w:r>
        <w:rPr>
          <w:rFonts w:ascii="Times New Roman" w:hAnsi="Times New Roman" w:cs="Times New Roman" w:eastAsia="Times New Roman" w:hint="default"/>
          <w:sz w:val="21"/>
          <w:szCs w:val="21"/>
        </w:rPr>
        <w:t>10%</w:t>
      </w:r>
      <w:r>
        <w:rPr>
          <w:rFonts w:ascii="宋体" w:hAnsi="宋体" w:cs="宋体" w:eastAsia="宋体" w:hint="default"/>
          <w:sz w:val="21"/>
          <w:szCs w:val="21"/>
        </w:rPr>
        <w:t>计提法定盈余公积。</w:t>
      </w:r>
    </w:p>
    <w:p>
      <w:pPr>
        <w:spacing w:line="240" w:lineRule="auto" w:before="8"/>
        <w:rPr>
          <w:rFonts w:ascii="宋体" w:hAnsi="宋体" w:cs="宋体" w:eastAsia="宋体" w:hint="default"/>
          <w:sz w:val="24"/>
          <w:szCs w:val="24"/>
        </w:rPr>
      </w:pPr>
    </w:p>
    <w:p>
      <w:pPr>
        <w:pStyle w:val="Heading3"/>
        <w:spacing w:line="240" w:lineRule="auto"/>
        <w:ind w:left="153" w:right="0"/>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344,295,542.56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279,233,870.54</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-4,585,047.19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-2,917,203.26</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339,710,495.37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276,316,667.28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115,493,664.07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11,669,466.07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8,984,630.22</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427,734,693.37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339,710,495.37</w:t>
            </w:r>
          </w:p>
        </w:tc>
      </w:tr>
    </w:tbl>
    <w:p>
      <w:pPr>
        <w:pStyle w:val="BodyText"/>
        <w:spacing w:line="240" w:lineRule="auto" w:before="51"/>
        <w:ind w:right="0"/>
        <w:jc w:val="left"/>
      </w:pPr>
      <w:r>
        <w:rPr/>
        <w:t>调整期初未分配利润明细：</w:t>
      </w:r>
    </w:p>
    <w:p>
      <w:pPr>
        <w:pStyle w:val="BodyText"/>
        <w:spacing w:line="240" w:lineRule="auto" w:before="117"/>
        <w:ind w:left="153"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left="153"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rFonts w:ascii="Times New Roman" w:hAnsi="Times New Roman" w:cs="Times New Roman" w:eastAsia="Times New Roman" w:hint="default"/>
        </w:rPr>
        <w:t>-4,585,047.19</w:t>
      </w:r>
      <w:r>
        <w:rPr>
          <w:rFonts w:ascii="Times New Roman" w:hAnsi="Times New Roman" w:cs="Times New Roman" w:eastAsia="Times New Roman" w:hint="default"/>
          <w:spacing w:val="-3"/>
        </w:rPr>
        <w:t> </w:t>
      </w:r>
      <w:r>
        <w:rPr/>
        <w:t>元。</w:t>
      </w:r>
    </w:p>
    <w:p>
      <w:pPr>
        <w:pStyle w:val="BodyText"/>
        <w:spacing w:line="240" w:lineRule="auto" w:before="102"/>
        <w:ind w:left="153"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26</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911,171,541.19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660,679,226.60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689,052,452.13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509,206,911.69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59,141,566.73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46,129,195.63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37,497,350.82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29,103,787.00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970,313,107.92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706,808,422.23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726,549,802.95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538,310,698.69</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133,905.44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143,751.08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669,527.19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718,755.38</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803,432.63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862,506.46</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6,695,163.90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4,789,600.54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4,326,351.95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3,342,199.53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2,027,134.98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2,057,589.75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916,190.88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694,134.21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1,663,812.14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716,608.73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535,069.01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468,489.29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1,458,682.34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674,140.02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7,158,025.90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1,795,265.68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996,879.46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483,769.36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25,777,310.56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15,021,797.11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41,000,233.10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22,734,963.86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工资福利费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28,896,752.48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22,812,158.79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劳动保险费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13,305,716.52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10,832,767.54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4,542,111.95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4,069,344.92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3,957,324.96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2,658,445.52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1,521,563.14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1,414,390.14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987,137.75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768,875.05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4,781,051.15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5,026,969.93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1,867,656.74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866,130.59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1,764,186.00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1,753,275.86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7,746,480.12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5,295,539.98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110,370,213.91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78,232,862.18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18,666.67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3,732,015.29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6,791,656.61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59,543.70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1,184,448.94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416,105.79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356,179.89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-3,237,699.13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-5,251,027.78</w:t>
            </w:r>
          </w:p>
        </w:tc>
      </w:tr>
    </w:tbl>
    <w:p>
      <w:pPr>
        <w:pStyle w:val="BodyText"/>
        <w:spacing w:line="240" w:lineRule="auto" w:before="51"/>
        <w:ind w:right="0"/>
        <w:jc w:val="left"/>
      </w:pPr>
      <w:r>
        <w:rPr/>
        <w:t>其他说明：</w:t>
      </w:r>
    </w:p>
    <w:p>
      <w:pPr>
        <w:spacing w:after="0" w:line="240"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31</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2,324,120.02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956,307.17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1,712,006.73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2,601,291.74</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4,036,126.75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3,557,598.91</w:t>
            </w:r>
          </w:p>
        </w:tc>
      </w:tr>
    </w:tbl>
    <w:p>
      <w:pPr>
        <w:pStyle w:val="BodyText"/>
        <w:spacing w:line="240" w:lineRule="auto" w:before="51"/>
        <w:ind w:right="0"/>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32</w:t>
      </w:r>
      <w:r>
        <w:rPr/>
        <w:t>、营业外收入</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129,182.03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129,182.03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129,182.03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88,034.20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129,182.03</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5,746,177.50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4,945,843.07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5,746,177.50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70,861.88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1,453,963.58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70,861.88</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5,946,221.41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6,487,840.85</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计入当期损益的政府补助：</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技术中心建设专项拨款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市级重点技改第一批首付</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鼓励企业实施清洁生产款</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中小企业国际市场开拓资金</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职工职业培训补贴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77,910.00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28,848.07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4"/>
              <w:jc w:val="left"/>
              <w:rPr>
                <w:rFonts w:ascii="宋体" w:hAnsi="宋体" w:cs="宋体" w:eastAsia="宋体" w:hint="default"/>
                <w:sz w:val="18"/>
                <w:szCs w:val="18"/>
              </w:rPr>
            </w:pPr>
            <w:r>
              <w:rPr>
                <w:rFonts w:ascii="宋体" w:hAnsi="宋体" w:cs="宋体" w:eastAsia="宋体" w:hint="default"/>
                <w:sz w:val="18"/>
                <w:szCs w:val="18"/>
              </w:rPr>
              <w:t>高新技术成果转化项目扶持 资金</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3,456,000.00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区专利示范企业款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专利奖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39,267.50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区产业扶持款</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5,746,177.50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4,945,843.07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51"/>
        <w:ind w:right="6170"/>
        <w:jc w:val="left"/>
      </w:pPr>
      <w:r>
        <w:rPr/>
        <w:t>其他说明： 公司本期内取得的政府补助种类及金额如下：</w:t>
      </w:r>
    </w:p>
    <w:p>
      <w:pPr>
        <w:pStyle w:val="BodyText"/>
        <w:spacing w:line="240" w:lineRule="auto" w:before="25"/>
        <w:ind w:left="153" w:right="0"/>
        <w:jc w:val="left"/>
      </w:pPr>
      <w:r>
        <w:rPr/>
        <w:t>（</w:t>
      </w:r>
      <w:r>
        <w:rPr>
          <w:rFonts w:ascii="Times New Roman" w:hAnsi="Times New Roman" w:cs="Times New Roman" w:eastAsia="Times New Roman" w:hint="default"/>
        </w:rPr>
        <w:t>1</w:t>
      </w:r>
      <w:r>
        <w:rPr/>
        <w:t>）根据《金山区关于鼓励企业科技创新发展的若干规定</w:t>
      </w:r>
      <w:r>
        <w:rPr>
          <w:rFonts w:ascii="Times New Roman" w:hAnsi="Times New Roman" w:cs="Times New Roman" w:eastAsia="Times New Roman" w:hint="default"/>
        </w:rPr>
        <w:t>{</w:t>
      </w:r>
      <w:r>
        <w:rPr/>
        <w:t>金府</w:t>
      </w:r>
      <w:r>
        <w:rPr>
          <w:rFonts w:ascii="Times New Roman" w:hAnsi="Times New Roman" w:cs="Times New Roman" w:eastAsia="Times New Roman" w:hint="default"/>
        </w:rPr>
        <w:t>[2011]18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》的通知，公司于</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日收到上海</w:t>
      </w:r>
    </w:p>
    <w:p>
      <w:pPr>
        <w:pStyle w:val="BodyText"/>
        <w:spacing w:line="240" w:lineRule="auto" w:before="63"/>
        <w:ind w:left="153" w:right="0"/>
        <w:jc w:val="left"/>
        <w:rPr>
          <w:rFonts w:ascii="Times New Roman" w:hAnsi="Times New Roman" w:cs="Times New Roman" w:eastAsia="Times New Roman" w:hint="default"/>
        </w:rPr>
      </w:pPr>
      <w:r>
        <w:rPr/>
        <w:t>市金山区财政局拨入专利资助款</w:t>
      </w:r>
      <w:r>
        <w:rPr>
          <w:spacing w:val="-46"/>
        </w:rPr>
        <w:t> </w:t>
      </w:r>
      <w:r>
        <w:rPr>
          <w:rFonts w:ascii="Times New Roman" w:hAnsi="Times New Roman" w:cs="Times New Roman" w:eastAsia="Times New Roman" w:hint="default"/>
        </w:rPr>
        <w:t>3,000.00</w:t>
      </w:r>
      <w:r>
        <w:rPr>
          <w:rFonts w:ascii="Times New Roman" w:hAnsi="Times New Roman" w:cs="Times New Roman" w:eastAsia="Times New Roman" w:hint="default"/>
          <w:spacing w:val="-1"/>
        </w:rPr>
        <w:t> </w:t>
      </w:r>
      <w:r>
        <w:rPr/>
        <w:t>元，公司于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9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t>日收到上海市金山区财政局拨入专利资助款</w:t>
      </w:r>
      <w:r>
        <w:rPr>
          <w:spacing w:val="-46"/>
        </w:rPr>
        <w:t> </w:t>
      </w:r>
      <w:r>
        <w:rPr>
          <w:rFonts w:ascii="Times New Roman" w:hAnsi="Times New Roman" w:cs="Times New Roman" w:eastAsia="Times New Roman" w:hint="default"/>
        </w:rPr>
        <w:t>16,000.00</w:t>
      </w:r>
    </w:p>
    <w:p>
      <w:pPr>
        <w:spacing w:after="0" w:line="240" w:lineRule="auto"/>
        <w:jc w:val="left"/>
        <w:rPr>
          <w:rFonts w:ascii="Times New Roman" w:hAnsi="Times New Roman" w:cs="Times New Roman" w:eastAsia="Times New Roman" w:hint="default"/>
        </w:rPr>
        <w:sectPr>
          <w:pgSz w:w="11910" w:h="16840"/>
          <w:pgMar w:header="747" w:footer="982" w:top="1060" w:bottom="1180" w:left="980" w:right="98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left="153" w:right="0"/>
        <w:jc w:val="left"/>
      </w:pPr>
      <w:r>
        <w:rPr/>
        <w:t>元，公司于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日收到上海市金山区财政局拨入专利资助款</w:t>
      </w:r>
      <w:r>
        <w:rPr>
          <w:spacing w:val="-46"/>
        </w:rPr>
        <w:t> </w:t>
      </w:r>
      <w:r>
        <w:rPr>
          <w:rFonts w:ascii="Times New Roman" w:hAnsi="Times New Roman" w:cs="Times New Roman" w:eastAsia="Times New Roman" w:hint="default"/>
        </w:rPr>
        <w:t>14,000.00</w:t>
      </w:r>
      <w:r>
        <w:rPr>
          <w:rFonts w:ascii="Times New Roman" w:hAnsi="Times New Roman" w:cs="Times New Roman" w:eastAsia="Times New Roman" w:hint="default"/>
          <w:spacing w:val="-1"/>
        </w:rPr>
        <w:t> </w:t>
      </w:r>
      <w:r>
        <w:rPr/>
        <w:t>元。</w:t>
      </w:r>
    </w:p>
    <w:p>
      <w:pPr>
        <w:pStyle w:val="BodyText"/>
        <w:spacing w:line="240" w:lineRule="auto" w:before="101"/>
        <w:ind w:left="153" w:right="0"/>
        <w:jc w:val="left"/>
      </w:pPr>
      <w:r>
        <w:rPr/>
        <w:t>（</w:t>
      </w:r>
      <w:r>
        <w:rPr>
          <w:rFonts w:ascii="Times New Roman" w:hAnsi="Times New Roman" w:cs="Times New Roman" w:eastAsia="Times New Roman" w:hint="default"/>
        </w:rPr>
        <w:t>2</w:t>
      </w:r>
      <w:r>
        <w:rPr/>
        <w:t>）根据《上海市高新技术成果转化项目认定程序</w:t>
      </w:r>
      <w:r>
        <w:rPr>
          <w:rFonts w:ascii="Times New Roman" w:hAnsi="Times New Roman" w:cs="Times New Roman" w:eastAsia="Times New Roman" w:hint="default"/>
        </w:rPr>
        <w:t>{</w:t>
      </w:r>
      <w:r>
        <w:rPr/>
        <w:t>沪科（</w:t>
      </w:r>
      <w:r>
        <w:rPr>
          <w:rFonts w:ascii="Times New Roman" w:hAnsi="Times New Roman" w:cs="Times New Roman" w:eastAsia="Times New Roman" w:hint="default"/>
        </w:rPr>
        <w:t>2009</w:t>
      </w:r>
      <w:r>
        <w:rPr/>
        <w:t>）第</w:t>
      </w:r>
      <w:r>
        <w:rPr>
          <w:spacing w:val="-46"/>
        </w:rPr>
        <w:t> </w:t>
      </w:r>
      <w:r>
        <w:rPr>
          <w:rFonts w:ascii="Times New Roman" w:hAnsi="Times New Roman" w:cs="Times New Roman" w:eastAsia="Times New Roman" w:hint="default"/>
        </w:rPr>
        <w:t>586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 ，公司于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日收到上海市金山</w:t>
      </w:r>
    </w:p>
    <w:p>
      <w:pPr>
        <w:pStyle w:val="BodyText"/>
        <w:spacing w:line="240" w:lineRule="auto" w:before="64"/>
        <w:ind w:right="0"/>
        <w:jc w:val="left"/>
      </w:pPr>
      <w:r>
        <w:rPr/>
        <w:t>财政局拨入</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年度高新技术成果转化项目第一批扶持资金</w:t>
      </w:r>
      <w:r>
        <w:rPr>
          <w:spacing w:val="-46"/>
        </w:rPr>
        <w:t> </w:t>
      </w:r>
      <w:r>
        <w:rPr>
          <w:rFonts w:ascii="Times New Roman" w:hAnsi="Times New Roman" w:cs="Times New Roman" w:eastAsia="Times New Roman" w:hint="default"/>
        </w:rPr>
        <w:t>3,456,000.00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t>（</w:t>
      </w:r>
      <w:r>
        <w:rPr>
          <w:rFonts w:ascii="Times New Roman" w:hAnsi="Times New Roman" w:cs="Times New Roman" w:eastAsia="Times New Roman" w:hint="default"/>
        </w:rPr>
        <w:t>3</w:t>
      </w:r>
      <w:r>
        <w:rPr/>
        <w:t>）根据《金山区关于鼓励企业科技创新发展的若干规定</w:t>
      </w:r>
      <w:r>
        <w:rPr>
          <w:rFonts w:ascii="Times New Roman" w:hAnsi="Times New Roman" w:cs="Times New Roman" w:eastAsia="Times New Roman" w:hint="default"/>
        </w:rPr>
        <w:t>{</w:t>
      </w:r>
      <w:r>
        <w:rPr/>
        <w:t>金府</w:t>
      </w:r>
      <w:r>
        <w:rPr>
          <w:rFonts w:ascii="Times New Roman" w:hAnsi="Times New Roman" w:cs="Times New Roman" w:eastAsia="Times New Roman" w:hint="default"/>
        </w:rPr>
        <w:t>[2011]18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》的通知，公司于</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日收到上海</w:t>
      </w:r>
    </w:p>
    <w:p>
      <w:pPr>
        <w:pStyle w:val="BodyText"/>
        <w:spacing w:line="240" w:lineRule="auto" w:before="64"/>
        <w:ind w:right="0"/>
        <w:jc w:val="left"/>
      </w:pPr>
      <w:r>
        <w:rPr/>
        <w:t>市金山区财政局拨入</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年度区专利示范企业首款</w:t>
      </w:r>
      <w:r>
        <w:rPr>
          <w:spacing w:val="-46"/>
        </w:rPr>
        <w:t> </w:t>
      </w:r>
      <w:r>
        <w:rPr>
          <w:rFonts w:ascii="Times New Roman" w:hAnsi="Times New Roman" w:cs="Times New Roman" w:eastAsia="Times New Roman" w:hint="default"/>
        </w:rPr>
        <w:t>10,000.00  </w:t>
      </w:r>
      <w:r>
        <w:rPr/>
        <w:t>元。</w:t>
      </w:r>
    </w:p>
    <w:p>
      <w:pPr>
        <w:pStyle w:val="BodyText"/>
        <w:spacing w:line="240" w:lineRule="auto" w:before="101"/>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4</w:t>
      </w:r>
      <w:r>
        <w:rPr>
          <w:spacing w:val="-5"/>
        </w:rPr>
        <w:t>）</w:t>
      </w:r>
      <w:r>
        <w:rPr/>
        <w:t>根</w:t>
      </w:r>
      <w:r>
        <w:rPr>
          <w:spacing w:val="-5"/>
        </w:rPr>
        <w:t>据</w:t>
      </w:r>
      <w:r>
        <w:rPr/>
        <w:t>《山阳镇人民政府关于落实本镇企业组织开展职工职业培训补贴的通知</w:t>
      </w:r>
      <w:r>
        <w:rPr>
          <w:rFonts w:ascii="Times New Roman" w:hAnsi="Times New Roman" w:cs="Times New Roman" w:eastAsia="Times New Roman" w:hint="default"/>
        </w:rPr>
        <w:t>{</w:t>
      </w:r>
      <w:r>
        <w:rPr/>
        <w:t>山府发</w:t>
      </w:r>
      <w:r>
        <w:rPr>
          <w:rFonts w:ascii="Times New Roman" w:hAnsi="Times New Roman" w:cs="Times New Roman" w:eastAsia="Times New Roman" w:hint="default"/>
        </w:rPr>
        <w:t>[2012</w:t>
      </w:r>
      <w:r>
        <w:rPr>
          <w:rFonts w:ascii="Times New Roman" w:hAnsi="Times New Roman" w:cs="Times New Roman" w:eastAsia="Times New Roman" w:hint="default"/>
          <w:spacing w:val="-2"/>
        </w:rPr>
        <w:t>]</w:t>
      </w:r>
      <w:r>
        <w:rPr>
          <w:rFonts w:ascii="Times New Roman" w:hAnsi="Times New Roman" w:cs="Times New Roman" w:eastAsia="Times New Roman" w:hint="default"/>
        </w:rPr>
        <w:t>15 </w:t>
      </w:r>
      <w:r>
        <w:rPr/>
        <w:t>号</w:t>
      </w:r>
      <w:r>
        <w:rPr>
          <w:rFonts w:ascii="Times New Roman" w:hAnsi="Times New Roman" w:cs="Times New Roman" w:eastAsia="Times New Roman" w:hint="default"/>
        </w:rPr>
        <w:t>}</w:t>
      </w:r>
      <w:r>
        <w:rPr>
          <w:spacing w:val="-90"/>
        </w:rPr>
        <w:t>》</w:t>
      </w:r>
      <w:r>
        <w:rPr>
          <w:spacing w:val="-5"/>
        </w:rPr>
        <w:t>，</w:t>
      </w: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10</w:t>
      </w:r>
    </w:p>
    <w:p>
      <w:pPr>
        <w:pStyle w:val="BodyText"/>
        <w:spacing w:line="240" w:lineRule="auto" w:before="64"/>
        <w:ind w:right="0"/>
        <w:jc w:val="left"/>
      </w:pPr>
      <w:r>
        <w:rPr/>
        <w:t>月</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日收到上海市金山区财政局拨入</w:t>
      </w:r>
      <w:r>
        <w:rPr>
          <w:spacing w:val="-46"/>
        </w:rPr>
        <w:t> </w:t>
      </w:r>
      <w:r>
        <w:rPr>
          <w:rFonts w:ascii="Times New Roman" w:hAnsi="Times New Roman" w:cs="Times New Roman" w:eastAsia="Times New Roman" w:hint="default"/>
        </w:rPr>
        <w:t>2012 </w:t>
      </w:r>
      <w:r>
        <w:rPr/>
        <w:t>年度职工职业培训补贴</w:t>
      </w:r>
      <w:r>
        <w:rPr>
          <w:spacing w:val="-46"/>
        </w:rPr>
        <w:t> </w:t>
      </w:r>
      <w:r>
        <w:rPr>
          <w:rFonts w:ascii="Times New Roman" w:hAnsi="Times New Roman" w:cs="Times New Roman" w:eastAsia="Times New Roman" w:hint="default"/>
        </w:rPr>
        <w:t>77,910.00</w:t>
      </w:r>
      <w:r>
        <w:rPr>
          <w:rFonts w:ascii="Times New Roman" w:hAnsi="Times New Roman" w:cs="Times New Roman" w:eastAsia="Times New Roman" w:hint="default"/>
          <w:spacing w:val="-1"/>
        </w:rPr>
        <w:t> </w:t>
      </w:r>
      <w:r>
        <w:rPr/>
        <w:t>元。</w:t>
      </w:r>
    </w:p>
    <w:p>
      <w:pPr>
        <w:pStyle w:val="BodyText"/>
        <w:spacing w:line="240" w:lineRule="auto" w:before="101"/>
        <w:ind w:right="0"/>
        <w:jc w:val="left"/>
        <w:rPr>
          <w:rFonts w:ascii="Times New Roman" w:hAnsi="Times New Roman" w:cs="Times New Roman" w:eastAsia="Times New Roman" w:hint="default"/>
        </w:rPr>
      </w:pPr>
      <w:r>
        <w:rPr/>
        <w:t>（</w:t>
      </w:r>
      <w:r>
        <w:rPr>
          <w:rFonts w:ascii="Times New Roman" w:hAnsi="Times New Roman" w:cs="Times New Roman" w:eastAsia="Times New Roman" w:hint="default"/>
        </w:rPr>
        <w:t>5</w:t>
      </w:r>
      <w:r>
        <w:rPr>
          <w:spacing w:val="-65"/>
        </w:rPr>
        <w:t>）</w:t>
      </w:r>
      <w:r>
        <w:rPr/>
        <w:t>根据修订后</w:t>
      </w:r>
      <w:r>
        <w:rPr>
          <w:spacing w:val="-65"/>
        </w:rPr>
        <w:t>的</w:t>
      </w:r>
      <w:r>
        <w:rPr/>
        <w:t>《上海市专利资助办法的通知</w:t>
      </w:r>
      <w:r>
        <w:rPr>
          <w:rFonts w:ascii="Times New Roman" w:hAnsi="Times New Roman" w:cs="Times New Roman" w:eastAsia="Times New Roman" w:hint="default"/>
        </w:rPr>
        <w:t>{</w:t>
      </w:r>
      <w:r>
        <w:rPr/>
        <w:t>沪知局</w:t>
      </w:r>
      <w:r>
        <w:rPr>
          <w:rFonts w:ascii="Times New Roman" w:hAnsi="Times New Roman" w:cs="Times New Roman" w:eastAsia="Times New Roman" w:hint="default"/>
        </w:rPr>
        <w:t>[2012</w:t>
      </w:r>
      <w:r>
        <w:rPr>
          <w:rFonts w:ascii="Times New Roman" w:hAnsi="Times New Roman" w:cs="Times New Roman" w:eastAsia="Times New Roman" w:hint="default"/>
          <w:spacing w:val="-2"/>
        </w:rPr>
        <w:t>]</w:t>
      </w:r>
      <w:r>
        <w:rPr>
          <w:rFonts w:ascii="Times New Roman" w:hAnsi="Times New Roman" w:cs="Times New Roman" w:eastAsia="Times New Roman" w:hint="default"/>
        </w:rPr>
        <w:t>62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spacing w:val="-65"/>
        </w:rPr>
        <w:t>，</w:t>
      </w:r>
      <w:r>
        <w:rPr>
          <w:spacing w:val="1"/>
        </w:rPr>
        <w:t>公</w:t>
      </w:r>
      <w:r>
        <w:rPr/>
        <w:t>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日收到</w:t>
      </w:r>
      <w:r>
        <w:rPr>
          <w:spacing w:val="1"/>
        </w:rPr>
        <w:t>上</w:t>
      </w:r>
      <w:r>
        <w:rPr/>
        <w:t>海市财政局</w:t>
      </w:r>
      <w:r>
        <w:rPr>
          <w:spacing w:val="-46"/>
        </w:rPr>
        <w:t> </w:t>
      </w:r>
      <w:r>
        <w:rPr>
          <w:rFonts w:ascii="Times New Roman" w:hAnsi="Times New Roman" w:cs="Times New Roman" w:eastAsia="Times New Roman" w:hint="default"/>
        </w:rPr>
        <w:t>8,320.00</w:t>
      </w:r>
    </w:p>
    <w:p>
      <w:pPr>
        <w:pStyle w:val="BodyText"/>
        <w:spacing w:line="240" w:lineRule="auto" w:before="63"/>
        <w:ind w:right="0"/>
        <w:jc w:val="left"/>
      </w:pPr>
      <w:r>
        <w:rPr>
          <w:spacing w:val="-6"/>
        </w:rPr>
        <w:t>元，公司于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7 </w:t>
      </w:r>
      <w:r>
        <w:rPr/>
        <w:t>月</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日收到上海市财政局</w:t>
      </w:r>
      <w:r>
        <w:rPr>
          <w:spacing w:val="-46"/>
        </w:rPr>
        <w:t> </w:t>
      </w:r>
      <w:r>
        <w:rPr>
          <w:rFonts w:ascii="Times New Roman" w:hAnsi="Times New Roman" w:cs="Times New Roman" w:eastAsia="Times New Roman" w:hint="default"/>
        </w:rPr>
        <w:t>9,610.00</w:t>
      </w:r>
      <w:r>
        <w:rPr>
          <w:rFonts w:ascii="Times New Roman" w:hAnsi="Times New Roman" w:cs="Times New Roman" w:eastAsia="Times New Roman" w:hint="default"/>
          <w:spacing w:val="-1"/>
        </w:rPr>
        <w:t> </w:t>
      </w:r>
      <w:r>
        <w:rPr>
          <w:spacing w:val="-6"/>
        </w:rPr>
        <w:t>元，公司于</w:t>
      </w:r>
      <w:r>
        <w:rPr>
          <w:spacing w:val="-46"/>
        </w:rPr>
        <w:t> </w:t>
      </w:r>
      <w:r>
        <w:rPr>
          <w:rFonts w:ascii="Times New Roman" w:hAnsi="Times New Roman" w:cs="Times New Roman" w:eastAsia="Times New Roman" w:hint="default"/>
        </w:rPr>
        <w:t>2014 </w:t>
      </w:r>
      <w:r>
        <w:rPr/>
        <w:t>年</w:t>
      </w:r>
      <w:r>
        <w:rPr>
          <w:spacing w:val="-4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日收到上海市财政局</w:t>
      </w:r>
      <w:r>
        <w:rPr>
          <w:spacing w:val="-46"/>
        </w:rPr>
        <w:t> </w:t>
      </w:r>
      <w:r>
        <w:rPr>
          <w:rFonts w:ascii="Times New Roman" w:hAnsi="Times New Roman" w:cs="Times New Roman" w:eastAsia="Times New Roman" w:hint="default"/>
        </w:rPr>
        <w:t>5,655.00</w:t>
      </w:r>
      <w:r>
        <w:rPr>
          <w:rFonts w:ascii="Times New Roman" w:hAnsi="Times New Roman" w:cs="Times New Roman" w:eastAsia="Times New Roman" w:hint="default"/>
          <w:spacing w:val="-1"/>
        </w:rPr>
        <w:t> </w:t>
      </w:r>
      <w:r>
        <w:rPr>
          <w:spacing w:val="-6"/>
        </w:rPr>
        <w:t>元，公司于</w:t>
      </w:r>
    </w:p>
    <w:p>
      <w:pPr>
        <w:pStyle w:val="BodyText"/>
        <w:spacing w:line="240" w:lineRule="auto" w:before="64"/>
        <w:ind w:left="15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2"/>
        </w:rPr>
        <w:t> </w:t>
      </w:r>
      <w:r>
        <w:rPr/>
        <w:t>日收到上海市财政局</w:t>
      </w:r>
      <w:r>
        <w:rPr>
          <w:spacing w:val="-47"/>
        </w:rPr>
        <w:t> </w:t>
      </w:r>
      <w:r>
        <w:rPr>
          <w:rFonts w:ascii="Times New Roman" w:hAnsi="Times New Roman" w:cs="Times New Roman" w:eastAsia="Times New Roman" w:hint="default"/>
        </w:rPr>
        <w:t>7,747.50</w:t>
      </w:r>
      <w:r>
        <w:rPr>
          <w:rFonts w:ascii="Times New Roman" w:hAnsi="Times New Roman" w:cs="Times New Roman" w:eastAsia="Times New Roman" w:hint="default"/>
          <w:spacing w:val="-2"/>
        </w:rPr>
        <w:t> </w:t>
      </w:r>
      <w:r>
        <w:rPr/>
        <w:t>元，公司于</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日收到上海市财政局</w:t>
      </w:r>
      <w:r>
        <w:rPr>
          <w:spacing w:val="-47"/>
        </w:rPr>
        <w:t> </w:t>
      </w:r>
      <w:r>
        <w:rPr>
          <w:rFonts w:ascii="Times New Roman" w:hAnsi="Times New Roman" w:cs="Times New Roman" w:eastAsia="Times New Roman" w:hint="default"/>
        </w:rPr>
        <w:t>7,935.00</w:t>
      </w:r>
      <w:r>
        <w:rPr>
          <w:rFonts w:ascii="Times New Roman" w:hAnsi="Times New Roman" w:cs="Times New Roman" w:eastAsia="Times New Roman" w:hint="default"/>
          <w:spacing w:val="-2"/>
        </w:rPr>
        <w:t> </w:t>
      </w:r>
      <w:r>
        <w:rPr/>
        <w:t>元。</w:t>
      </w:r>
    </w:p>
    <w:p>
      <w:pPr>
        <w:pStyle w:val="BodyText"/>
        <w:spacing w:line="300" w:lineRule="auto" w:before="102"/>
        <w:ind w:right="140"/>
        <w:jc w:val="left"/>
      </w:pPr>
      <w:r>
        <w:rPr/>
        <w:t>（</w:t>
      </w:r>
      <w:r>
        <w:rPr>
          <w:rFonts w:ascii="Times New Roman" w:hAnsi="Times New Roman" w:cs="Times New Roman" w:eastAsia="Times New Roman" w:hint="default"/>
        </w:rPr>
        <w:t>6</w:t>
      </w:r>
      <w:r>
        <w:rPr/>
        <w:t>）根据上海市经济和信息化委员会、上海市财政局、上海市国家税务局、上海市地方税务局、中华人民共和国上海海关 文件沪经信技</w:t>
      </w:r>
      <w:r>
        <w:rPr>
          <w:rFonts w:ascii="Times New Roman" w:hAnsi="Times New Roman" w:cs="Times New Roman" w:eastAsia="Times New Roman" w:hint="default"/>
        </w:rPr>
        <w:t>[2009]707</w:t>
      </w:r>
      <w:r>
        <w:rPr>
          <w:rFonts w:ascii="Times New Roman" w:hAnsi="Times New Roman" w:cs="Times New Roman" w:eastAsia="Times New Roman" w:hint="default"/>
          <w:spacing w:val="-1"/>
        </w:rPr>
        <w:t> </w:t>
      </w:r>
      <w:r>
        <w:rPr/>
        <w:t>号文，公司于</w:t>
      </w:r>
      <w:r>
        <w:rPr>
          <w:spacing w:val="-46"/>
        </w:rPr>
        <w:t> </w:t>
      </w:r>
      <w:r>
        <w:rPr>
          <w:rFonts w:ascii="Times New Roman" w:hAnsi="Times New Roman" w:cs="Times New Roman" w:eastAsia="Times New Roman" w:hint="default"/>
        </w:rPr>
        <w:t>2009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t>日收到上海市企业技术创新服务中心所拨入技术中心建设专项补贴</w:t>
      </w:r>
    </w:p>
    <w:p>
      <w:pPr>
        <w:pStyle w:val="BodyText"/>
        <w:spacing w:line="240" w:lineRule="auto" w:before="13"/>
        <w:ind w:right="0"/>
        <w:jc w:val="left"/>
      </w:pPr>
      <w:r>
        <w:rPr>
          <w:rFonts w:ascii="Times New Roman" w:hAnsi="Times New Roman" w:cs="Times New Roman" w:eastAsia="Times New Roman" w:hint="default"/>
        </w:rPr>
        <w:t>600,000.00</w:t>
      </w:r>
      <w:r>
        <w:rPr>
          <w:rFonts w:ascii="Times New Roman" w:hAnsi="Times New Roman" w:cs="Times New Roman" w:eastAsia="Times New Roman" w:hint="default"/>
          <w:spacing w:val="-3"/>
        </w:rPr>
        <w:t> </w:t>
      </w:r>
      <w:r>
        <w:rPr/>
        <w:t>元。公司在收到专项补贴当期确认递延收益，从</w:t>
      </w:r>
      <w:r>
        <w:rPr>
          <w:spacing w:val="-48"/>
        </w:rPr>
        <w:t> </w:t>
      </w:r>
      <w:r>
        <w:rPr>
          <w:rFonts w:ascii="Times New Roman" w:hAnsi="Times New Roman" w:cs="Times New Roman" w:eastAsia="Times New Roman" w:hint="default"/>
        </w:rPr>
        <w:t>2011</w:t>
      </w:r>
      <w:r>
        <w:rPr>
          <w:rFonts w:ascii="Times New Roman" w:hAnsi="Times New Roman" w:cs="Times New Roman" w:eastAsia="Times New Roman" w:hint="default"/>
          <w:spacing w:val="-2"/>
        </w:rPr>
        <w:t> </w:t>
      </w:r>
      <w:r>
        <w:rPr/>
        <w:t>年</w:t>
      </w:r>
      <w:r>
        <w:rPr>
          <w:spacing w:val="-48"/>
        </w:rPr>
        <w:t> </w:t>
      </w:r>
      <w:r>
        <w:rPr>
          <w:rFonts w:ascii="Times New Roman" w:hAnsi="Times New Roman" w:cs="Times New Roman" w:eastAsia="Times New Roman" w:hint="default"/>
        </w:rPr>
        <w:t>6</w:t>
      </w:r>
      <w:r>
        <w:rPr>
          <w:rFonts w:ascii="Times New Roman" w:hAnsi="Times New Roman" w:cs="Times New Roman" w:eastAsia="Times New Roman" w:hint="default"/>
          <w:spacing w:val="-3"/>
        </w:rPr>
        <w:t> </w:t>
      </w:r>
      <w:r>
        <w:rPr/>
        <w:t>月项目完成开始分期确认收益，本年度共确认收益</w:t>
      </w:r>
    </w:p>
    <w:p>
      <w:pPr>
        <w:pStyle w:val="BodyText"/>
        <w:spacing w:line="240" w:lineRule="auto" w:before="64"/>
        <w:ind w:right="0"/>
        <w:jc w:val="left"/>
      </w:pPr>
      <w:r>
        <w:rPr>
          <w:rFonts w:ascii="Times New Roman" w:hAnsi="Times New Roman" w:cs="Times New Roman" w:eastAsia="Times New Roman" w:hint="default"/>
        </w:rPr>
        <w:t>120,000.00</w:t>
      </w:r>
      <w:r>
        <w:rPr>
          <w:rFonts w:ascii="Times New Roman" w:hAnsi="Times New Roman" w:cs="Times New Roman" w:eastAsia="Times New Roman" w:hint="default"/>
          <w:spacing w:val="-1"/>
        </w:rPr>
        <w:t> </w:t>
      </w:r>
      <w:r>
        <w:rPr/>
        <w:t>元。</w:t>
      </w:r>
    </w:p>
    <w:p>
      <w:pPr>
        <w:pStyle w:val="BodyText"/>
        <w:spacing w:line="240" w:lineRule="auto" w:before="101"/>
        <w:ind w:left="153" w:right="0"/>
        <w:jc w:val="left"/>
      </w:pPr>
      <w:r>
        <w:rPr/>
        <w:t>（</w:t>
      </w:r>
      <w:r>
        <w:rPr>
          <w:rFonts w:ascii="Times New Roman" w:hAnsi="Times New Roman" w:cs="Times New Roman" w:eastAsia="Times New Roman" w:hint="default"/>
        </w:rPr>
        <w:t>7</w:t>
      </w:r>
      <w:r>
        <w:rPr/>
        <w:t>）根据上海市金山区经济委员会《金山区经委关于上海华峰超纤材料股份有限公司年产</w:t>
      </w:r>
      <w:r>
        <w:rPr>
          <w:spacing w:val="-46"/>
        </w:rPr>
        <w:t> </w:t>
      </w:r>
      <w:r>
        <w:rPr>
          <w:rFonts w:ascii="Times New Roman" w:hAnsi="Times New Roman" w:cs="Times New Roman" w:eastAsia="Times New Roman" w:hint="default"/>
        </w:rPr>
        <w:t>600</w:t>
      </w:r>
      <w:r>
        <w:rPr>
          <w:rFonts w:ascii="Times New Roman" w:hAnsi="Times New Roman" w:cs="Times New Roman" w:eastAsia="Times New Roman" w:hint="default"/>
          <w:spacing w:val="-1"/>
        </w:rPr>
        <w:t> </w:t>
      </w:r>
      <w:r>
        <w:rPr/>
        <w:t>万平米定岛超细纤维聚氨酯</w:t>
      </w:r>
    </w:p>
    <w:p>
      <w:pPr>
        <w:pStyle w:val="BodyText"/>
        <w:spacing w:line="240" w:lineRule="auto" w:before="63"/>
        <w:ind w:right="0"/>
        <w:jc w:val="left"/>
      </w:pPr>
      <w:r>
        <w:rPr/>
        <w:t>合成革生产投资建设项目上海市重点技术改造专项资金申请报告的批复</w:t>
      </w:r>
      <w:r>
        <w:rPr>
          <w:rFonts w:ascii="Times New Roman" w:hAnsi="Times New Roman" w:cs="Times New Roman" w:eastAsia="Times New Roman" w:hint="default"/>
        </w:rPr>
        <w:t>{</w:t>
      </w:r>
      <w:r>
        <w:rPr/>
        <w:t>沪府发</w:t>
      </w:r>
      <w:r>
        <w:rPr>
          <w:rFonts w:ascii="Times New Roman" w:hAnsi="Times New Roman" w:cs="Times New Roman" w:eastAsia="Times New Roman" w:hint="default"/>
        </w:rPr>
        <w:t>[2004</w:t>
      </w:r>
      <w:r>
        <w:rPr>
          <w:rFonts w:ascii="Times New Roman" w:hAnsi="Times New Roman" w:cs="Times New Roman" w:eastAsia="Times New Roman" w:hint="default"/>
          <w:spacing w:val="-2"/>
        </w:rPr>
        <w:t>]</w:t>
      </w:r>
      <w:r>
        <w:rPr>
          <w:rFonts w:ascii="Times New Roman" w:hAnsi="Times New Roman" w:cs="Times New Roman" w:eastAsia="Times New Roman" w:hint="default"/>
        </w:rPr>
        <w:t>52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spacing w:val="-90"/>
        </w:rPr>
        <w:t>》</w:t>
      </w:r>
      <w:r>
        <w:rPr/>
        <w:t>，公</w:t>
      </w:r>
      <w:r>
        <w:rPr>
          <w:spacing w:val="1"/>
        </w:rPr>
        <w:t>司</w:t>
      </w:r>
      <w:r>
        <w:rPr/>
        <w:t>于</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日收</w:t>
      </w:r>
    </w:p>
    <w:p>
      <w:pPr>
        <w:pStyle w:val="BodyText"/>
        <w:spacing w:line="240" w:lineRule="auto" w:before="63"/>
        <w:ind w:right="0"/>
        <w:jc w:val="left"/>
        <w:rPr>
          <w:rFonts w:ascii="Times New Roman" w:hAnsi="Times New Roman" w:cs="Times New Roman" w:eastAsia="Times New Roman" w:hint="default"/>
        </w:rPr>
      </w:pPr>
      <w:r>
        <w:rPr/>
        <w:t>到上海市金山区财政局拨付的上海市重点技术改造项目专项资金</w:t>
      </w:r>
      <w:r>
        <w:rPr>
          <w:spacing w:val="-47"/>
        </w:rPr>
        <w:t> </w:t>
      </w:r>
      <w:r>
        <w:rPr>
          <w:rFonts w:ascii="Times New Roman" w:hAnsi="Times New Roman" w:cs="Times New Roman" w:eastAsia="Times New Roman" w:hint="default"/>
        </w:rPr>
        <w:t>20,100,000.00</w:t>
      </w:r>
      <w:r>
        <w:rPr>
          <w:rFonts w:ascii="Times New Roman" w:hAnsi="Times New Roman" w:cs="Times New Roman" w:eastAsia="Times New Roman" w:hint="default"/>
          <w:spacing w:val="-2"/>
        </w:rPr>
        <w:t> </w:t>
      </w:r>
      <w:r>
        <w:rPr/>
        <w:t>元。该专项资金从</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月份起按照</w:t>
      </w:r>
      <w:r>
        <w:rPr>
          <w:spacing w:val="-47"/>
        </w:rPr>
        <w:t> </w:t>
      </w:r>
      <w:r>
        <w:rPr>
          <w:rFonts w:ascii="Times New Roman" w:hAnsi="Times New Roman" w:cs="Times New Roman" w:eastAsia="Times New Roman" w:hint="default"/>
        </w:rPr>
        <w:t>10</w:t>
      </w:r>
    </w:p>
    <w:p>
      <w:pPr>
        <w:pStyle w:val="BodyText"/>
        <w:spacing w:line="240" w:lineRule="auto" w:before="64"/>
        <w:ind w:right="0"/>
        <w:jc w:val="left"/>
      </w:pPr>
      <w:r>
        <w:rPr/>
        <w:t>年进行摊销，本期确认收益</w:t>
      </w:r>
      <w:r>
        <w:rPr>
          <w:spacing w:val="-47"/>
        </w:rPr>
        <w:t> </w:t>
      </w:r>
      <w:r>
        <w:rPr>
          <w:rFonts w:ascii="Times New Roman" w:hAnsi="Times New Roman" w:cs="Times New Roman" w:eastAsia="Times New Roman" w:hint="default"/>
        </w:rPr>
        <w:t>2,010,000.00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rFonts w:ascii="Times New Roman" w:hAnsi="Times New Roman" w:cs="Times New Roman" w:eastAsia="Times New Roman" w:hint="default"/>
        </w:rPr>
        <w:t>33</w:t>
      </w:r>
      <w:r>
        <w:rPr/>
        <w:t>、营业外支出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200,000.00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1,234.20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3,622.00</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203,622.00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116,244.98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203,622.00</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34</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66,440,485.17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14,521,954.80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-50,436,248.86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-513,449.86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16,004,236.31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14,008,504.94</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131,497,900.38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19,724,685.06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327,737.18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3,809,351.52</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-50,436,248.86</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子公司取得递延收益纳税影响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47,375,328.00</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上期未收到法定凭证，本期收到法定凭证，可以税前扣除成 本费用和损失</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-2,392,483.11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-2,404,133.48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16,004,236.31</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35</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3,616,177.50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3,202,843.07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6,083,026.69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9,027,439.48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收回的备用金及保证金等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1,659,833.94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2,382,699.33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70,861.88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690,733.37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11,429,900.01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15,303,715.25</w:t>
            </w:r>
          </w:p>
        </w:tc>
      </w:tr>
    </w:tbl>
    <w:p>
      <w:pPr>
        <w:pStyle w:val="BodyText"/>
        <w:spacing w:line="240" w:lineRule="auto" w:before="51"/>
        <w:ind w:right="0"/>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研究开发费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25,562,463.85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12,037,633.78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7,092,201.07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3,320,411.18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运输装卸保险等费用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4,321,201.95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3,917,067.18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2,783,847.62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1,560,264.80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1,125,906.92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660,449.55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1,679,731.30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1,071,629.04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排污绿化费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4,647,145.71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4,011,106.45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1,764,186.00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1,753,275.86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展览费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349,564.80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416,394.33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475,649.49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355,071.99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支付的备用金及保证金等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5,647,474.00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1,243,227.72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11,973,657.63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6,616,525.85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67,423,030.34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36,963,057.73</w:t>
            </w:r>
          </w:p>
        </w:tc>
      </w:tr>
    </w:tbl>
    <w:p>
      <w:pPr>
        <w:pStyle w:val="BodyText"/>
        <w:spacing w:line="240" w:lineRule="auto" w:before="51"/>
        <w:ind w:right="0"/>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189,501,312.00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22,100,173.25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收回暂借款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50,737,998.70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240,239,310.70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22,100,173.25</w:t>
            </w:r>
          </w:p>
        </w:tc>
      </w:tr>
    </w:tbl>
    <w:p>
      <w:pPr>
        <w:pStyle w:val="BodyText"/>
        <w:spacing w:line="240" w:lineRule="auto" w:before="51"/>
        <w:ind w:right="0"/>
        <w:jc w:val="left"/>
      </w:pPr>
      <w:r>
        <w:rPr/>
        <w:t>收到的其他与投资活动有关的现金说明：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956,180.21</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支付暂借款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27,238,171.95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28,194,352.16</w:t>
            </w:r>
          </w:p>
        </w:tc>
        <w:tc>
          <w:tcPr>
            <w:tcW w:w="318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2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115,493,664.07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88,178,458.31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4,036,126.75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3,557,598.91</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67,363,982.46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64,651,515.56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1,521,563.14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1,414,390.14</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385,650.07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394,821.92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-129,182.03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-88,023.42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18,666.67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递延所得税资产减少（增加以“－”号填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-50,436,248.86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-513,449.86</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-33,290,781.65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-65,109,485.49</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经营性应收项目的减少（增加以“－”号 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-65,015,909.43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-27,306,119.72</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经营性应付项目的增加（减少以“－”号 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82,862,796.37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-6,277,153.69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-978,981.13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-1,795,000.00</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121,831,346.43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57,107,552.66</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462"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191,309,402.37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356,907,620.11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-85,494,626.36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-80,103,591.38</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58,274,200.00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144,769.05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58,129,430.95</w:t>
            </w:r>
          </w:p>
        </w:tc>
      </w:tr>
    </w:tbl>
    <w:p>
      <w:pPr>
        <w:pStyle w:val="BodyText"/>
        <w:spacing w:line="240" w:lineRule="auto" w:before="51"/>
        <w:ind w:right="0"/>
        <w:jc w:val="left"/>
      </w:pPr>
      <w:r>
        <w:rPr/>
        <w:t>其他说明：</w:t>
      </w:r>
    </w:p>
    <w:p>
      <w:pPr>
        <w:pStyle w:val="BodyText"/>
        <w:spacing w:line="240" w:lineRule="auto" w:before="116"/>
        <w:ind w:right="0"/>
        <w:jc w:val="left"/>
      </w:pPr>
      <w:r>
        <w:rPr/>
        <w:t>其他说明：江苏超纤本期同一控制下企业合并江苏化学，江苏化学的工商变更在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日完成，江苏超纤实际于</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日将股权转让款项</w:t>
      </w:r>
      <w:r>
        <w:rPr>
          <w:spacing w:val="-47"/>
        </w:rPr>
        <w:t> </w:t>
      </w:r>
      <w:r>
        <w:rPr>
          <w:rFonts w:ascii="Times New Roman" w:hAnsi="Times New Roman" w:cs="Times New Roman" w:eastAsia="Times New Roman" w:hint="default"/>
        </w:rPr>
        <w:t>58,274,200.00</w:t>
      </w:r>
      <w:r>
        <w:rPr>
          <w:rFonts w:ascii="Times New Roman" w:hAnsi="Times New Roman" w:cs="Times New Roman" w:eastAsia="Times New Roman" w:hint="default"/>
          <w:spacing w:val="-2"/>
        </w:rPr>
        <w:t> </w:t>
      </w:r>
      <w:r>
        <w:rPr/>
        <w:t>元支付给华峰集团有限公司，故合并日确定为</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2"/>
        </w:rPr>
        <w:t>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191,309,402.37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82,671.93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38,293.65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191,226,730.44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276,765,735.08</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191,309,402.37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276,804,028.73</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37</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47,487,733.16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7,122,849.79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54,610,582.95</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38</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2,259,648.77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13,826,790.82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2,498,506.08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15,288,358.70</w:t>
            </w:r>
          </w:p>
        </w:tc>
      </w:tr>
    </w:tbl>
    <w:p>
      <w:pPr>
        <w:pStyle w:val="BodyText"/>
        <w:spacing w:line="240" w:lineRule="auto" w:before="51"/>
        <w:ind w:right="0"/>
        <w:jc w:val="left"/>
      </w:pPr>
      <w:r>
        <w:rPr/>
        <w:t>其他说明：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402"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被合并方名</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5" w:right="0"/>
              <w:jc w:val="left"/>
              <w:rPr>
                <w:rFonts w:ascii="宋体" w:hAnsi="宋体" w:cs="宋体" w:eastAsia="宋体" w:hint="default"/>
                <w:sz w:val="18"/>
                <w:szCs w:val="18"/>
              </w:rPr>
            </w:pPr>
            <w:r>
              <w:rPr>
                <w:rFonts w:ascii="宋体" w:hAnsi="宋体" w:cs="宋体" w:eastAsia="宋体" w:hint="default"/>
                <w:sz w:val="18"/>
                <w:szCs w:val="18"/>
              </w:rPr>
              <w:t>企业合并中</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构成同一控</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合并日的确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合并当期期</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比较期间被</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比较期间被</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986"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345" w:right="73" w:hanging="270"/>
              <w:jc w:val="left"/>
              <w:rPr>
                <w:rFonts w:ascii="宋体" w:hAnsi="宋体" w:cs="宋体" w:eastAsia="宋体" w:hint="default"/>
                <w:sz w:val="18"/>
                <w:szCs w:val="18"/>
              </w:rPr>
            </w:pPr>
            <w:r>
              <w:rPr>
                <w:rFonts w:ascii="宋体" w:hAnsi="宋体" w:cs="宋体" w:eastAsia="宋体" w:hint="default"/>
                <w:sz w:val="18"/>
                <w:szCs w:val="18"/>
              </w:rPr>
              <w:t>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166" w:right="74" w:hanging="90"/>
              <w:jc w:val="left"/>
              <w:rPr>
                <w:rFonts w:ascii="宋体" w:hAnsi="宋体" w:cs="宋体" w:eastAsia="宋体" w:hint="default"/>
                <w:sz w:val="18"/>
                <w:szCs w:val="18"/>
              </w:rPr>
            </w:pPr>
            <w:r>
              <w:rPr>
                <w:rFonts w:ascii="宋体" w:hAnsi="宋体" w:cs="宋体" w:eastAsia="宋体" w:hint="default"/>
                <w:sz w:val="18"/>
                <w:szCs w:val="18"/>
              </w:rPr>
              <w:t>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76" w:right="74"/>
              <w:jc w:val="center"/>
              <w:rPr>
                <w:rFonts w:ascii="宋体" w:hAnsi="宋体" w:cs="宋体" w:eastAsia="宋体" w:hint="default"/>
                <w:sz w:val="18"/>
                <w:szCs w:val="18"/>
              </w:rPr>
            </w:pPr>
            <w:r>
              <w:rPr>
                <w:rFonts w:ascii="宋体" w:hAnsi="宋体" w:cs="宋体" w:eastAsia="宋体" w:hint="default"/>
                <w:sz w:val="18"/>
                <w:szCs w:val="18"/>
              </w:rPr>
              <w:t>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76" w:right="77"/>
              <w:jc w:val="center"/>
              <w:rPr>
                <w:rFonts w:ascii="宋体" w:hAnsi="宋体" w:cs="宋体" w:eastAsia="宋体" w:hint="default"/>
                <w:sz w:val="18"/>
                <w:szCs w:val="18"/>
              </w:rPr>
            </w:pPr>
            <w:r>
              <w:rPr>
                <w:rFonts w:ascii="宋体" w:hAnsi="宋体" w:cs="宋体" w:eastAsia="宋体" w:hint="default"/>
                <w:sz w:val="18"/>
                <w:szCs w:val="18"/>
              </w:rPr>
              <w:t>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436" w:right="77" w:hanging="360"/>
              <w:jc w:val="left"/>
              <w:rPr>
                <w:rFonts w:ascii="宋体" w:hAnsi="宋体" w:cs="宋体" w:eastAsia="宋体" w:hint="default"/>
                <w:sz w:val="18"/>
                <w:szCs w:val="18"/>
              </w:rPr>
            </w:pPr>
            <w:r>
              <w:rPr>
                <w:rFonts w:ascii="宋体" w:hAnsi="宋体" w:cs="宋体" w:eastAsia="宋体" w:hint="default"/>
                <w:sz w:val="18"/>
                <w:szCs w:val="18"/>
              </w:rPr>
              <w:t>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346" w:right="74" w:hanging="270"/>
              <w:jc w:val="left"/>
              <w:rPr>
                <w:rFonts w:ascii="宋体" w:hAnsi="宋体" w:cs="宋体" w:eastAsia="宋体" w:hint="default"/>
                <w:sz w:val="18"/>
                <w:szCs w:val="18"/>
              </w:rPr>
            </w:pPr>
            <w:r>
              <w:rPr>
                <w:rFonts w:ascii="宋体" w:hAnsi="宋体" w:cs="宋体" w:eastAsia="宋体" w:hint="default"/>
                <w:sz w:val="18"/>
                <w:szCs w:val="18"/>
              </w:rPr>
              <w:t>合并方的净 利润</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7"/>
              <w:jc w:val="left"/>
              <w:rPr>
                <w:rFonts w:ascii="宋体" w:hAnsi="宋体" w:cs="宋体" w:eastAsia="宋体" w:hint="default"/>
                <w:sz w:val="18"/>
                <w:szCs w:val="18"/>
              </w:rPr>
            </w:pPr>
            <w:r>
              <w:rPr>
                <w:rFonts w:ascii="宋体" w:hAnsi="宋体" w:cs="宋体" w:eastAsia="宋体" w:hint="default"/>
                <w:sz w:val="18"/>
                <w:szCs w:val="18"/>
              </w:rPr>
              <w:t>最终控制方 系尤小平</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股权转让款 支付日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-693,402.48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-1,667,843.93</w:t>
            </w:r>
          </w:p>
        </w:tc>
      </w:tr>
    </w:tbl>
    <w:p>
      <w:pPr>
        <w:pStyle w:val="BodyText"/>
        <w:spacing w:line="240" w:lineRule="auto" w:before="51"/>
        <w:ind w:right="0"/>
        <w:jc w:val="left"/>
      </w:pPr>
      <w:r>
        <w:rPr/>
        <w:t>其他说明：</w:t>
      </w:r>
    </w:p>
    <w:p>
      <w:pPr>
        <w:pStyle w:val="BodyText"/>
        <w:spacing w:line="240" w:lineRule="auto" w:before="116"/>
        <w:ind w:right="0"/>
        <w:jc w:val="left"/>
      </w:pPr>
      <w:r>
        <w:rPr/>
        <w:t>江苏超纤本期同一控制下企业合并江苏化学，江苏化学的工商变更在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25 </w:t>
      </w:r>
      <w:r>
        <w:rPr/>
        <w:t>日完成，江苏超纤项实际于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p>
    <w:p>
      <w:pPr>
        <w:pStyle w:val="BodyText"/>
        <w:spacing w:line="240" w:lineRule="auto" w:before="64"/>
        <w:ind w:right="0"/>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日将股权转让款支付给华峰集团有限公司，故合并日确定为</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30</w:t>
      </w:r>
      <w:r>
        <w:rPr>
          <w:rFonts w:ascii="Times New Roman" w:hAnsi="Times New Roman" w:cs="Times New Roman" w:eastAsia="Times New Roman" w:hint="default"/>
          <w:spacing w:val="-1"/>
        </w:rPr>
        <w:t> </w:t>
      </w:r>
      <w:r>
        <w:rPr/>
        <w:t>日。</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0"/>
        <w:rPr>
          <w:rFonts w:ascii="宋体" w:hAnsi="宋体" w:cs="宋体" w:eastAsia="宋体" w:hint="default"/>
          <w:b/>
          <w:bCs/>
          <w:sz w:val="25"/>
          <w:szCs w:val="25"/>
        </w:rPr>
      </w:pPr>
    </w:p>
    <w:tbl>
      <w:tblPr>
        <w:tblW w:w="0" w:type="auto"/>
        <w:jc w:val="left"/>
        <w:tblInd w:w="758" w:type="dxa"/>
        <w:tblLayout w:type="fixed"/>
        <w:tblCellMar>
          <w:top w:w="0" w:type="dxa"/>
          <w:left w:w="0" w:type="dxa"/>
          <w:bottom w:w="0" w:type="dxa"/>
          <w:right w:w="0" w:type="dxa"/>
        </w:tblCellMar>
        <w:tblLook w:val="01E0"/>
      </w:tblPr>
      <w:tblGrid>
        <w:gridCol w:w="6052"/>
        <w:gridCol w:w="1674"/>
      </w:tblGrid>
      <w:tr>
        <w:trPr>
          <w:trHeight w:val="355" w:hRule="exact"/>
        </w:trPr>
        <w:tc>
          <w:tcPr>
            <w:tcW w:w="605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合并成本</w:t>
            </w:r>
          </w:p>
        </w:tc>
        <w:tc>
          <w:tcPr>
            <w:tcW w:w="167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7"/>
              <w:jc w:val="right"/>
              <w:rPr>
                <w:rFonts w:ascii="宋体" w:hAnsi="宋体" w:cs="宋体" w:eastAsia="宋体" w:hint="default"/>
                <w:sz w:val="18"/>
                <w:szCs w:val="18"/>
              </w:rPr>
            </w:pPr>
            <w:r>
              <w:rPr>
                <w:rFonts w:ascii="宋体" w:hAnsi="宋体" w:cs="宋体" w:eastAsia="宋体" w:hint="default"/>
                <w:sz w:val="18"/>
                <w:szCs w:val="18"/>
              </w:rPr>
              <w:t>江苏化学</w:t>
            </w:r>
          </w:p>
        </w:tc>
      </w:tr>
      <w:tr>
        <w:trPr>
          <w:trHeight w:val="352" w:hRule="exact"/>
        </w:trPr>
        <w:tc>
          <w:tcPr>
            <w:tcW w:w="6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167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58,274,200.00</w:t>
            </w:r>
          </w:p>
        </w:tc>
      </w:tr>
      <w:tr>
        <w:trPr>
          <w:trHeight w:val="353" w:hRule="exact"/>
        </w:trPr>
        <w:tc>
          <w:tcPr>
            <w:tcW w:w="6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非现金资产的账面价值</w:t>
            </w:r>
          </w:p>
        </w:tc>
        <w:tc>
          <w:tcPr>
            <w:tcW w:w="167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6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发行或承担的债务的账面价值</w:t>
            </w:r>
          </w:p>
        </w:tc>
        <w:tc>
          <w:tcPr>
            <w:tcW w:w="1674"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6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发行的权益性证券的面值</w:t>
            </w:r>
          </w:p>
        </w:tc>
        <w:tc>
          <w:tcPr>
            <w:tcW w:w="1674"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605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w:t>
            </w:r>
          </w:p>
        </w:tc>
        <w:tc>
          <w:tcPr>
            <w:tcW w:w="1674" w:type="dxa"/>
            <w:tcBorders>
              <w:top w:val="single" w:sz="12" w:space="0" w:color="000000"/>
              <w:left w:val="single" w:sz="6" w:space="0" w:color="000000"/>
              <w:bottom w:val="single" w:sz="12" w:space="0" w:color="000000"/>
              <w:right w:val="nil" w:sz="6" w:space="0" w:color="auto"/>
            </w:tcBorders>
          </w:tcPr>
          <w:p>
            <w:pPr/>
          </w:p>
        </w:tc>
      </w:tr>
    </w:tbl>
    <w:p>
      <w:pPr>
        <w:spacing w:line="240" w:lineRule="auto" w:before="5"/>
        <w:rPr>
          <w:rFonts w:ascii="宋体" w:hAnsi="宋体" w:cs="宋体" w:eastAsia="宋体" w:hint="default"/>
          <w:b/>
          <w:bCs/>
          <w:sz w:val="24"/>
          <w:szCs w:val="24"/>
        </w:rPr>
      </w:pPr>
    </w:p>
    <w:p>
      <w:pPr>
        <w:pStyle w:val="BodyText"/>
        <w:spacing w:line="357" w:lineRule="auto" w:before="44"/>
        <w:ind w:left="153" w:right="7611"/>
        <w:jc w:val="left"/>
      </w:pPr>
      <w:r>
        <w:rPr/>
        <w:t>或有对价及其变动的说明： 其他说明：</w:t>
      </w:r>
    </w:p>
    <w:p>
      <w:pPr>
        <w:spacing w:line="240" w:lineRule="auto" w:before="1"/>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9"/>
        <w:rPr>
          <w:rFonts w:ascii="宋体" w:hAnsi="宋体" w:cs="宋体" w:eastAsia="宋体" w:hint="default"/>
          <w:b/>
          <w:bCs/>
          <w:sz w:val="25"/>
          <w:szCs w:val="25"/>
        </w:rPr>
      </w:pPr>
    </w:p>
    <w:tbl>
      <w:tblPr>
        <w:tblW w:w="0" w:type="auto"/>
        <w:jc w:val="left"/>
        <w:tblInd w:w="756" w:type="dxa"/>
        <w:tblLayout w:type="fixed"/>
        <w:tblCellMar>
          <w:top w:w="0" w:type="dxa"/>
          <w:left w:w="0" w:type="dxa"/>
          <w:bottom w:w="0" w:type="dxa"/>
          <w:right w:w="0" w:type="dxa"/>
        </w:tblCellMar>
        <w:tblLook w:val="01E0"/>
      </w:tblPr>
      <w:tblGrid>
        <w:gridCol w:w="2227"/>
        <w:gridCol w:w="2741"/>
        <w:gridCol w:w="2738"/>
      </w:tblGrid>
      <w:tr>
        <w:trPr>
          <w:trHeight w:val="355" w:hRule="exact"/>
        </w:trPr>
        <w:tc>
          <w:tcPr>
            <w:tcW w:w="2227" w:type="dxa"/>
            <w:vMerge w:val="restart"/>
            <w:tcBorders>
              <w:top w:val="single" w:sz="6" w:space="0" w:color="000000"/>
              <w:left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479"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right="5"/>
              <w:jc w:val="center"/>
              <w:rPr>
                <w:rFonts w:ascii="宋体" w:hAnsi="宋体" w:cs="宋体" w:eastAsia="宋体" w:hint="default"/>
                <w:sz w:val="18"/>
                <w:szCs w:val="18"/>
              </w:rPr>
            </w:pPr>
            <w:r>
              <w:rPr>
                <w:rFonts w:ascii="宋体" w:hAnsi="宋体" w:cs="宋体" w:eastAsia="宋体" w:hint="default"/>
                <w:sz w:val="18"/>
                <w:szCs w:val="18"/>
              </w:rPr>
              <w:t>江苏化学</w:t>
            </w:r>
          </w:p>
        </w:tc>
      </w:tr>
      <w:tr>
        <w:trPr>
          <w:trHeight w:val="353" w:hRule="exact"/>
        </w:trPr>
        <w:tc>
          <w:tcPr>
            <w:tcW w:w="2227" w:type="dxa"/>
            <w:vMerge/>
            <w:tcBorders>
              <w:left w:val="single" w:sz="6" w:space="0" w:color="000000"/>
              <w:bottom w:val="single" w:sz="12" w:space="0" w:color="000000"/>
              <w:right w:val="single" w:sz="6" w:space="0" w:color="000000"/>
            </w:tcBorders>
          </w:tcPr>
          <w:p>
            <w:pP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上期期末</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3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144,769.05</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221,385.65</w:t>
            </w:r>
          </w:p>
        </w:tc>
      </w:tr>
      <w:tr>
        <w:trPr>
          <w:trHeight w:val="353"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49,501,654.50</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22,531,339.02</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248,006.70</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536,631.76</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652,343.32</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1,782,386.83</w:t>
            </w:r>
          </w:p>
        </w:tc>
      </w:tr>
      <w:tr>
        <w:trPr>
          <w:trHeight w:val="353"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4,421,318.40</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4,513,429.20</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2,262,883.20</w:t>
            </w:r>
          </w:p>
        </w:tc>
        <w:tc>
          <w:tcPr>
            <w:tcW w:w="273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z w:val="18"/>
              </w:rPr>
              <w:t>244,956.06</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353"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3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174,370.35</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190,061.93</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492,610.55</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-19,842.28</w:t>
            </w:r>
          </w:p>
        </w:tc>
      </w:tr>
      <w:tr>
        <w:trPr>
          <w:trHeight w:val="353"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2,087,400.00</w:t>
            </w:r>
          </w:p>
        </w:tc>
        <w:tc>
          <w:tcPr>
            <w:tcW w:w="2738" w:type="dxa"/>
            <w:tcBorders>
              <w:top w:val="single" w:sz="12" w:space="0" w:color="000000"/>
              <w:left w:val="single" w:sz="6" w:space="0" w:color="000000"/>
              <w:bottom w:val="single" w:sz="12" w:space="0" w:color="000000"/>
              <w:right w:val="nil" w:sz="6" w:space="0" w:color="auto"/>
            </w:tcBorders>
          </w:tcPr>
          <w:p>
            <w:pP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54,721,550.33</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55,414,952.81</w:t>
            </w:r>
          </w:p>
        </w:tc>
      </w:tr>
      <w:tr>
        <w:trPr>
          <w:trHeight w:val="352"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2741" w:type="dxa"/>
            <w:tcBorders>
              <w:top w:val="single" w:sz="12" w:space="0" w:color="000000"/>
              <w:left w:val="single" w:sz="6" w:space="0" w:color="000000"/>
              <w:bottom w:val="single" w:sz="12" w:space="0" w:color="000000"/>
              <w:right w:val="single" w:sz="6" w:space="0" w:color="000000"/>
            </w:tcBorders>
          </w:tcPr>
          <w:p>
            <w:pPr/>
          </w:p>
        </w:tc>
        <w:tc>
          <w:tcPr>
            <w:tcW w:w="2738"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22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27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54,721,550.33</w:t>
            </w:r>
          </w:p>
        </w:tc>
        <w:tc>
          <w:tcPr>
            <w:tcW w:w="273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pacing w:val="-1"/>
                <w:sz w:val="18"/>
              </w:rPr>
              <w:t>55,414,952.81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p>
      <w:pPr>
        <w:spacing w:line="331" w:lineRule="auto" w:before="0"/>
        <w:ind w:left="154" w:right="5780"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w:t>
      </w:r>
      <w:r>
        <w:rPr>
          <w:rFonts w:ascii="宋体" w:hAnsi="宋体" w:cs="宋体" w:eastAsia="宋体" w:hint="default"/>
          <w:sz w:val="21"/>
          <w:szCs w:val="21"/>
        </w:rPr>
        <w:t>企业合并中无承担被合并方的或有负债情况</w:t>
      </w:r>
      <w:r>
        <w:rPr>
          <w:rFonts w:ascii="宋体" w:hAnsi="宋体" w:cs="宋体" w:eastAsia="宋体" w:hint="default"/>
          <w:sz w:val="21"/>
          <w:szCs w:val="21"/>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说明其他原因导致的合并范围变动（如，新设子公司、清算子公司等）及其相关情况：</w:t>
      </w:r>
    </w:p>
    <w:p>
      <w:pPr>
        <w:pStyle w:val="BodyText"/>
        <w:spacing w:line="240" w:lineRule="auto" w:before="115"/>
        <w:ind w:left="153" w:right="0"/>
        <w:jc w:val="left"/>
      </w:pPr>
      <w:r>
        <w:rPr/>
        <w:t>公司第二届董事会第十五次会议及</w:t>
      </w:r>
      <w:r>
        <w:rPr>
          <w:spacing w:val="-47"/>
        </w:rPr>
        <w:t> </w:t>
      </w: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年度股东大会审议通过以自有资金</w:t>
      </w:r>
      <w:r>
        <w:rPr>
          <w:spacing w:val="-47"/>
        </w:rPr>
        <w:t> </w:t>
      </w:r>
      <w:r>
        <w:rPr>
          <w:rFonts w:ascii="Times New Roman" w:hAnsi="Times New Roman" w:cs="Times New Roman" w:eastAsia="Times New Roman" w:hint="default"/>
        </w:rPr>
        <w:t>100,000,000.00</w:t>
      </w:r>
      <w:r>
        <w:rPr>
          <w:rFonts w:ascii="Times New Roman" w:hAnsi="Times New Roman" w:cs="Times New Roman" w:eastAsia="Times New Roman" w:hint="default"/>
          <w:spacing w:val="-2"/>
        </w:rPr>
        <w:t> </w:t>
      </w:r>
      <w:r>
        <w:rPr/>
        <w:t>元人民币设立全资子公司江苏华</w:t>
      </w:r>
    </w:p>
    <w:p>
      <w:pPr>
        <w:pStyle w:val="BodyText"/>
        <w:spacing w:line="240" w:lineRule="auto" w:before="63"/>
        <w:ind w:right="0"/>
        <w:jc w:val="left"/>
      </w:pPr>
      <w:r>
        <w:rPr/>
        <w:t>峰超纤材料有限公司的决定。江苏超纤实际已于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日取得南通市启东工商行政管理局颁发的注册号为</w:t>
      </w:r>
    </w:p>
    <w:p>
      <w:pPr>
        <w:pStyle w:val="BodyText"/>
        <w:spacing w:line="240" w:lineRule="auto" w:before="64"/>
        <w:ind w:right="0"/>
        <w:jc w:val="left"/>
      </w:pPr>
      <w:r>
        <w:rPr>
          <w:rFonts w:ascii="Times New Roman" w:hAnsi="Times New Roman" w:cs="Times New Roman" w:eastAsia="Times New Roman" w:hint="default"/>
        </w:rPr>
        <w:t>320681000327097</w:t>
      </w:r>
      <w:r>
        <w:rPr>
          <w:rFonts w:ascii="Times New Roman" w:hAnsi="Times New Roman" w:cs="Times New Roman" w:eastAsia="Times New Roman" w:hint="default"/>
          <w:spacing w:val="-1"/>
        </w:rPr>
        <w:t> </w:t>
      </w:r>
      <w:r>
        <w:rPr/>
        <w:t>的《企业法人营业执照</w:t>
      </w:r>
      <w:r>
        <w:rPr>
          <w:spacing w:val="-90"/>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t>九、在其他主体中的权益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9"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出资设立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江苏化学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江苏启东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bl>
    <w:p>
      <w:pPr>
        <w:pStyle w:val="BodyText"/>
        <w:spacing w:line="360" w:lineRule="auto" w:before="51"/>
        <w:ind w:left="153" w:right="1851"/>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7"/>
        <w:ind w:left="153" w:right="6711"/>
        <w:jc w:val="left"/>
      </w:pPr>
      <w:r>
        <w:rPr/>
        <w:t>确定公司是代理人还是委托人的依据： 其他说明：</w:t>
      </w:r>
    </w:p>
    <w:p>
      <w:pPr>
        <w:spacing w:line="240" w:lineRule="auto" w:before="3"/>
        <w:rPr>
          <w:rFonts w:ascii="宋体" w:hAnsi="宋体" w:cs="宋体" w:eastAsia="宋体" w:hint="default"/>
          <w:sz w:val="18"/>
          <w:szCs w:val="18"/>
        </w:rPr>
      </w:pPr>
    </w:p>
    <w:p>
      <w:pPr>
        <w:pStyle w:val="Heading2"/>
        <w:spacing w:line="240" w:lineRule="auto"/>
        <w:ind w:right="0"/>
        <w:jc w:val="left"/>
        <w:rPr>
          <w:b w:val="0"/>
          <w:bCs w:val="0"/>
        </w:rPr>
      </w:pPr>
      <w:r>
        <w:rPr/>
        <w:t>十、关联方及关联交易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7"/>
              <w:jc w:val="center"/>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浙江省瑞安市莘塍 工业园区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1,386,800,000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14.87%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14.87%</w:t>
            </w:r>
          </w:p>
        </w:tc>
      </w:tr>
    </w:tbl>
    <w:p>
      <w:pPr>
        <w:pStyle w:val="BodyText"/>
        <w:spacing w:line="360" w:lineRule="auto" w:before="51"/>
        <w:ind w:left="153" w:right="3831"/>
        <w:jc w:val="left"/>
      </w:pPr>
      <w:r>
        <w:rPr/>
        <w:t>本企业的母公司情况的说明 本企业最终控制方是尤小平、尤小华、尤金焕、尤小燕、尤小玲、陈林真。 其他说明：</w:t>
      </w:r>
    </w:p>
    <w:p>
      <w:pPr>
        <w:spacing w:after="0" w:line="360" w:lineRule="auto"/>
        <w:jc w:val="left"/>
        <w:sectPr>
          <w:footerReference w:type="default" r:id="rId14"/>
          <w:pgSz w:w="11910" w:h="16840"/>
          <w:pgMar w:footer="982" w:header="747"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7"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浙江华峰合成树脂有限公司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67257220-4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浙江华峰进出口贸易有限公司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66390428-9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华峰日轻铝业股份有限公司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67781167-3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上海华峰普恩聚氨酯有限公司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67457771-1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浙江华峰新材料股份有限公司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66834022-4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杭州瑞合实业发展有限公司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实际控制人近亲属控制的公司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66233440-5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温州市龙湾龙东石化仓储有限公司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73840653-3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浙江华峰热塑性聚氨酯有限公司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67955462-3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浙江华峰房地产开发有限公司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67615761-4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瑞安华峰小额贷款股份有限公司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68168838-0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温州华港石化码头有限公司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68914720-4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瑞安市远东化工有限公司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78290813-5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浙江华峰物流有限责任公司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69364854-6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重庆华峰化工有限公司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55678153-5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华峰申银资产管理有限公司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76015559-0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成都华峰聚氨酯有限公司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79493392-8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辽阳市华峰聚氨酯有限公司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72494323-1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广东华峰聚氨酯有限公司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76383541-X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台州华峰合成树脂有限公司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67025003-3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浙江华峰申银担保有限公司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68584517-9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浙江华峰实业发展有限公司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55479598-4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瑞安华峰民间资本管理股份有限公司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05280068-3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承德华峰房地产开发有限公司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74846127-X</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温州市港口石化仓储有限公司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70432310-7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福建兰峰房地产开发有限公司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75936425-6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江苏华峰化学有限公司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57142098-1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江苏华峰合成树脂有限公司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74943158-2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瑞安市飞云码头货运有限公司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73032144-7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温州华峰申银汽车销售服务有限公司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58269712-6</w:t>
            </w:r>
          </w:p>
        </w:tc>
      </w:tr>
    </w:tbl>
    <w:p>
      <w:pPr>
        <w:spacing w:after="0" w:line="240" w:lineRule="auto"/>
        <w:jc w:val="left"/>
        <w:rPr>
          <w:rFonts w:ascii="Times New Roman" w:hAnsi="Times New Roman" w:cs="Times New Roman" w:eastAsia="Times New Roman" w:hint="default"/>
          <w:sz w:val="18"/>
          <w:szCs w:val="18"/>
        </w:rPr>
        <w:sectPr>
          <w:footerReference w:type="default" r:id="rId15"/>
          <w:pgSz w:w="11910" w:h="16840"/>
          <w:pgMar w:footer="982" w:header="747" w:top="1060" w:bottom="1180" w:left="980" w:right="980"/>
          <w:pgNumType w:start="101"/>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上海华峰材料科技研究院（有限合伙）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58212510-1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上海华峰新材料研发科技有限公司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59313943-7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温州申银保险代理有限公司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05283475-2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辽宁华峰化工有限公司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57426301-0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华峰重庆氨纶有限公司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07566461-0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浙江华峰氨纶股份有限公司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受实际控制人控制的公司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71761399-8</w:t>
            </w:r>
          </w:p>
        </w:tc>
      </w:tr>
    </w:tbl>
    <w:p>
      <w:pPr>
        <w:pStyle w:val="BodyText"/>
        <w:spacing w:line="240" w:lineRule="auto" w:before="51"/>
        <w:ind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浙江华峰新材料股份有 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50,737,998.70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2</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9"/>
              <w:jc w:val="right"/>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17"/>
              <w:jc w:val="right"/>
              <w:rPr>
                <w:rFonts w:ascii="宋体" w:hAnsi="宋体" w:cs="宋体" w:eastAsia="宋体" w:hint="default"/>
                <w:sz w:val="18"/>
                <w:szCs w:val="18"/>
              </w:rPr>
            </w:pPr>
            <w:r>
              <w:rPr>
                <w:rFonts w:ascii="宋体" w:hAnsi="宋体" w:cs="宋体" w:eastAsia="宋体" w:hint="default"/>
                <w:sz w:val="18"/>
                <w:szCs w:val="18"/>
              </w:rPr>
              <w:t>华峰集团有限公司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收购江苏化学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4" w:right="0"/>
              <w:jc w:val="left"/>
              <w:rPr>
                <w:rFonts w:ascii="Times New Roman" w:hAnsi="Times New Roman" w:cs="Times New Roman" w:eastAsia="Times New Roman" w:hint="default"/>
                <w:sz w:val="18"/>
                <w:szCs w:val="18"/>
              </w:rPr>
            </w:pPr>
            <w:r>
              <w:rPr>
                <w:rFonts w:ascii="Times New Roman"/>
                <w:sz w:val="18"/>
              </w:rPr>
              <w:t>58,274,200.00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5,529,981.00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4,827,600.00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十一、承诺及或有事项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资产负债表日存在的重要承诺</w:t>
      </w:r>
    </w:p>
    <w:p>
      <w:pPr>
        <w:pStyle w:val="BodyText"/>
        <w:spacing w:line="240" w:lineRule="auto" w:before="115"/>
        <w:ind w:left="153" w:right="0"/>
        <w:jc w:val="left"/>
        <w:rPr>
          <w:rFonts w:ascii="Times New Roman" w:hAnsi="Times New Roman" w:cs="Times New Roman" w:eastAsia="Times New Roman" w:hint="default"/>
        </w:rPr>
      </w:pPr>
      <w:r>
        <w:rPr/>
        <w:t>截止</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日，公司以原值为</w:t>
      </w:r>
      <w:r>
        <w:rPr>
          <w:spacing w:val="-2"/>
        </w:rPr>
        <w:t> </w:t>
      </w:r>
      <w:r>
        <w:rPr>
          <w:rFonts w:ascii="Times New Roman" w:hAnsi="Times New Roman" w:cs="Times New Roman" w:eastAsia="Times New Roman" w:hint="default"/>
        </w:rPr>
        <w:t>86,494,119.90</w:t>
      </w:r>
      <w:r>
        <w:rPr>
          <w:rFonts w:ascii="Times New Roman" w:hAnsi="Times New Roman" w:cs="Times New Roman" w:eastAsia="Times New Roman" w:hint="default"/>
          <w:spacing w:val="-2"/>
        </w:rPr>
        <w:t> </w:t>
      </w:r>
      <w:r>
        <w:rPr/>
        <w:t>元、净值为</w:t>
      </w:r>
      <w:r>
        <w:rPr>
          <w:spacing w:val="-2"/>
        </w:rPr>
        <w:t> </w:t>
      </w:r>
      <w:r>
        <w:rPr>
          <w:rFonts w:ascii="Times New Roman" w:hAnsi="Times New Roman" w:cs="Times New Roman" w:eastAsia="Times New Roman" w:hint="default"/>
        </w:rPr>
        <w:t>47,487,733.16</w:t>
      </w:r>
      <w:r>
        <w:rPr>
          <w:rFonts w:ascii="Times New Roman" w:hAnsi="Times New Roman" w:cs="Times New Roman" w:eastAsia="Times New Roman" w:hint="default"/>
          <w:spacing w:val="-2"/>
        </w:rPr>
        <w:t> </w:t>
      </w:r>
      <w:r>
        <w:rPr/>
        <w:t>元的房屋及建筑物及原值为</w:t>
      </w:r>
      <w:r>
        <w:rPr>
          <w:spacing w:val="-47"/>
        </w:rPr>
        <w:t> </w:t>
      </w:r>
      <w:r>
        <w:rPr>
          <w:rFonts w:ascii="Times New Roman" w:hAnsi="Times New Roman" w:cs="Times New Roman" w:eastAsia="Times New Roman" w:hint="default"/>
        </w:rPr>
        <w:t>9,165,650.01</w:t>
      </w:r>
    </w:p>
    <w:p>
      <w:pPr>
        <w:pStyle w:val="BodyText"/>
        <w:spacing w:line="240" w:lineRule="auto" w:before="63"/>
        <w:ind w:right="0"/>
        <w:jc w:val="left"/>
        <w:rPr>
          <w:rFonts w:ascii="Times New Roman" w:hAnsi="Times New Roman" w:cs="Times New Roman" w:eastAsia="Times New Roman" w:hint="default"/>
        </w:rPr>
      </w:pPr>
      <w:r>
        <w:rPr/>
        <w:t>元</w:t>
      </w:r>
      <w:r>
        <w:rPr>
          <w:spacing w:val="-90"/>
        </w:rPr>
        <w:t>、</w:t>
      </w:r>
      <w:r>
        <w:rPr/>
        <w:t>净值为 </w:t>
      </w:r>
      <w:r>
        <w:rPr>
          <w:rFonts w:ascii="Times New Roman" w:hAnsi="Times New Roman" w:cs="Times New Roman" w:eastAsia="Times New Roman" w:hint="default"/>
        </w:rPr>
        <w:t>7,1</w:t>
      </w:r>
      <w:r>
        <w:rPr>
          <w:rFonts w:ascii="Times New Roman" w:hAnsi="Times New Roman" w:cs="Times New Roman" w:eastAsia="Times New Roman" w:hint="default"/>
          <w:spacing w:val="-2"/>
        </w:rPr>
        <w:t>2</w:t>
      </w:r>
      <w:r>
        <w:rPr>
          <w:rFonts w:ascii="Times New Roman" w:hAnsi="Times New Roman" w:cs="Times New Roman" w:eastAsia="Times New Roman" w:hint="default"/>
        </w:rPr>
        <w:t>2,849.79</w:t>
      </w:r>
      <w:r>
        <w:rPr>
          <w:rFonts w:ascii="Times New Roman" w:hAnsi="Times New Roman" w:cs="Times New Roman" w:eastAsia="Times New Roman" w:hint="default"/>
          <w:spacing w:val="-4"/>
        </w:rPr>
        <w:t> </w:t>
      </w:r>
      <w:r>
        <w:rPr/>
        <w:t>元的</w:t>
      </w:r>
      <w:r>
        <w:rPr>
          <w:spacing w:val="-2"/>
        </w:rPr>
        <w:t>土</w:t>
      </w:r>
      <w:r>
        <w:rPr/>
        <w:t>地使用权为公司与中国银行股份有限公司上海市金山支行签订的自</w:t>
      </w:r>
      <w:r>
        <w:rPr>
          <w:spacing w:val="-50"/>
        </w:rPr>
        <w:t> </w:t>
      </w: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50"/>
        </w:rPr>
        <w:t> </w:t>
      </w:r>
      <w:r>
        <w:rPr>
          <w:rFonts w:ascii="Times New Roman" w:hAnsi="Times New Roman" w:cs="Times New Roman" w:eastAsia="Times New Roman" w:hint="default"/>
        </w:rPr>
        <w:t>9</w:t>
      </w:r>
      <w:r>
        <w:rPr>
          <w:rFonts w:ascii="Times New Roman" w:hAnsi="Times New Roman" w:cs="Times New Roman" w:eastAsia="Times New Roman" w:hint="default"/>
          <w:spacing w:val="-5"/>
        </w:rPr>
        <w:t> </w:t>
      </w:r>
      <w:r>
        <w:rPr/>
        <w:t>月</w:t>
      </w:r>
      <w:r>
        <w:rPr>
          <w:spacing w:val="-50"/>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spacing w:val="-2"/>
        </w:rPr>
        <w:t>日</w:t>
      </w:r>
      <w:r>
        <w:rPr/>
        <w:t>至</w:t>
      </w:r>
      <w:r>
        <w:rPr>
          <w:spacing w:val="-50"/>
        </w:rPr>
        <w:t> </w:t>
      </w:r>
      <w:r>
        <w:rPr>
          <w:rFonts w:ascii="Times New Roman" w:hAnsi="Times New Roman" w:cs="Times New Roman" w:eastAsia="Times New Roman" w:hint="default"/>
        </w:rPr>
        <w:t>2019</w:t>
      </w:r>
    </w:p>
    <w:p>
      <w:pPr>
        <w:pStyle w:val="BodyText"/>
        <w:spacing w:line="240" w:lineRule="auto" w:before="63"/>
        <w:ind w:right="0"/>
        <w:jc w:val="left"/>
      </w:pPr>
      <w:r>
        <w:rPr/>
        <w:t>年</w:t>
      </w:r>
      <w:r>
        <w:rPr>
          <w:spacing w:val="-48"/>
        </w:rPr>
        <w:t> </w:t>
      </w:r>
      <w:r>
        <w:rPr>
          <w:rFonts w:ascii="Times New Roman" w:hAnsi="Times New Roman" w:cs="Times New Roman" w:eastAsia="Times New Roman" w:hint="default"/>
        </w:rPr>
        <w:t>9</w:t>
      </w:r>
      <w:r>
        <w:rPr>
          <w:rFonts w:ascii="Times New Roman" w:hAnsi="Times New Roman" w:cs="Times New Roman" w:eastAsia="Times New Roman" w:hint="default"/>
          <w:spacing w:val="-3"/>
        </w:rPr>
        <w:t> </w:t>
      </w:r>
      <w:r>
        <w:rPr/>
        <w:t>月</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日不高于</w:t>
      </w:r>
      <w:r>
        <w:rPr>
          <w:spacing w:val="-48"/>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亿元的全部债务提供抵押担保。截止</w:t>
      </w:r>
      <w:r>
        <w:rPr>
          <w:spacing w:val="-48"/>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日，在该抵押合同项下，公司已开立未到期信用</w:t>
      </w:r>
    </w:p>
    <w:p>
      <w:pPr>
        <w:spacing w:after="0" w:line="240" w:lineRule="auto"/>
        <w:jc w:val="left"/>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pStyle w:val="BodyText"/>
        <w:spacing w:line="240" w:lineRule="auto" w:before="44"/>
        <w:ind w:left="153" w:right="0"/>
        <w:jc w:val="left"/>
      </w:pPr>
      <w:r>
        <w:rPr/>
        <w:t>证金额为</w:t>
      </w:r>
      <w:r>
        <w:rPr>
          <w:spacing w:val="-47"/>
        </w:rPr>
        <w:t> </w:t>
      </w:r>
      <w:r>
        <w:rPr>
          <w:rFonts w:ascii="Times New Roman" w:hAnsi="Times New Roman" w:cs="Times New Roman" w:eastAsia="Times New Roman" w:hint="default"/>
        </w:rPr>
        <w:t>4,015,214.00</w:t>
      </w:r>
      <w:r>
        <w:rPr>
          <w:rFonts w:ascii="Times New Roman" w:hAnsi="Times New Roman" w:cs="Times New Roman" w:eastAsia="Times New Roman" w:hint="default"/>
          <w:spacing w:val="-2"/>
        </w:rPr>
        <w:t> </w:t>
      </w:r>
      <w:r>
        <w:rPr/>
        <w:t>美元、</w:t>
      </w:r>
      <w:r>
        <w:rPr>
          <w:rFonts w:ascii="Times New Roman" w:hAnsi="Times New Roman" w:cs="Times New Roman" w:eastAsia="Times New Roman" w:hint="default"/>
        </w:rPr>
        <w:t>2,360,000.00</w:t>
      </w:r>
      <w:r>
        <w:rPr>
          <w:rFonts w:ascii="Times New Roman" w:hAnsi="Times New Roman" w:cs="Times New Roman" w:eastAsia="Times New Roman" w:hint="default"/>
          <w:spacing w:val="-2"/>
        </w:rPr>
        <w:t> </w:t>
      </w:r>
      <w:r>
        <w:rPr/>
        <w:t>欧元。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4"/>
          <w:szCs w:val="14"/>
        </w:rPr>
      </w:pPr>
    </w:p>
    <w:p>
      <w:pPr>
        <w:pStyle w:val="Heading2"/>
        <w:spacing w:line="240" w:lineRule="auto"/>
        <w:ind w:right="0"/>
        <w:jc w:val="left"/>
        <w:rPr>
          <w:b w:val="0"/>
          <w:bCs w:val="0"/>
        </w:rPr>
      </w:pPr>
      <w:r>
        <w:rPr/>
        <w:t>十二、资产负债表日后事项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w:t>
            </w:r>
          </w:p>
        </w:tc>
      </w:tr>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8"/>
          <w:szCs w:val="18"/>
        </w:rPr>
      </w:pPr>
    </w:p>
    <w:p>
      <w:pPr>
        <w:pStyle w:val="Heading2"/>
        <w:spacing w:line="477" w:lineRule="auto" w:before="26"/>
        <w:ind w:right="5915"/>
        <w:jc w:val="left"/>
        <w:rPr>
          <w:b w:val="0"/>
          <w:bCs w:val="0"/>
          <w:sz w:val="21"/>
          <w:szCs w:val="21"/>
        </w:rPr>
      </w:pPr>
      <w:r>
        <w:rPr/>
        <w:t>十三、其他重要事项</w:t>
      </w:r>
      <w:r>
        <w:rPr>
          <w:spacing w:val="1"/>
          <w:w w:val="99"/>
        </w:rPr>
        <w:t> </w:t>
      </w:r>
      <w:r>
        <w:rPr/>
        <w:t>十四、母公司财务报表主要项目注释</w:t>
      </w:r>
      <w:r>
        <w:rPr>
          <w:w w:val="99"/>
        </w:rPr>
        <w:t> </w:t>
      </w:r>
      <w:r>
        <w:rPr>
          <w:rFonts w:ascii="Times New Roman" w:hAnsi="Times New Roman" w:cs="Times New Roman" w:eastAsia="Times New Roman" w:hint="default"/>
          <w:sz w:val="21"/>
          <w:szCs w:val="21"/>
        </w:rPr>
        <w:t>1</w:t>
      </w:r>
      <w:r>
        <w:rPr>
          <w:sz w:val="21"/>
          <w:szCs w:val="21"/>
        </w:rPr>
        <w:t>、应收账款</w:t>
      </w:r>
      <w:r>
        <w:rPr>
          <w:b w:val="0"/>
          <w:bCs w:val="0"/>
          <w:sz w:val="21"/>
          <w:szCs w:val="21"/>
        </w:rPr>
      </w:r>
    </w:p>
    <w:p>
      <w:pPr>
        <w:pStyle w:val="Heading3"/>
        <w:spacing w:line="240" w:lineRule="auto" w:before="92"/>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5,276,39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96,951,19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61,993,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537.50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3,125,907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58,867,630.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102,227,</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594.31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5,276,39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96,951,19</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5.79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61,993,</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537.50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3,125,907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58,867,630.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组合中，按账龄分析法计提坏账准备的应收账款：</w:t>
      </w:r>
    </w:p>
    <w:p>
      <w:pPr>
        <w:pStyle w:val="BodyText"/>
        <w:spacing w:line="240" w:lineRule="auto" w:before="42"/>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295" w:space="4534"/>
            <w:col w:w="112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5"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101,128,619.54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5,056,430.98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1,097,248.92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219,449.78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1,725.85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517.76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8" w:right="0"/>
              <w:jc w:val="left"/>
              <w:rPr>
                <w:rFonts w:ascii="Times New Roman" w:hAnsi="Times New Roman" w:cs="Times New Roman" w:eastAsia="Times New Roman" w:hint="default"/>
                <w:sz w:val="18"/>
                <w:szCs w:val="18"/>
              </w:rPr>
            </w:pPr>
            <w:r>
              <w:rPr>
                <w:rFonts w:ascii="Times New Roman"/>
                <w:sz w:val="18"/>
              </w:rPr>
              <w:t>102,227,594.31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2" w:right="0"/>
              <w:jc w:val="left"/>
              <w:rPr>
                <w:rFonts w:ascii="Times New Roman" w:hAnsi="Times New Roman" w:cs="Times New Roman" w:eastAsia="Times New Roman" w:hint="default"/>
                <w:sz w:val="18"/>
                <w:szCs w:val="18"/>
              </w:rPr>
            </w:pPr>
            <w:r>
              <w:rPr>
                <w:rFonts w:ascii="Times New Roman"/>
                <w:sz w:val="18"/>
              </w:rPr>
              <w:t>5,276,398.52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r>
    </w:tbl>
    <w:p>
      <w:pPr>
        <w:pStyle w:val="BodyText"/>
        <w:spacing w:line="360" w:lineRule="auto" w:before="51"/>
        <w:ind w:left="153" w:right="5451"/>
        <w:jc w:val="left"/>
      </w:pPr>
      <w:r>
        <w:rPr/>
        <w:t>确定该组合依据的说明： 组合中，采用余额百分比法计提坏账准备的应收账款：</w:t>
      </w:r>
    </w:p>
    <w:p>
      <w:pPr>
        <w:pStyle w:val="BodyText"/>
        <w:spacing w:line="340" w:lineRule="auto" w:before="26"/>
        <w:ind w:right="581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pStyle w:val="BodyText"/>
        <w:spacing w:line="338" w:lineRule="auto" w:before="44"/>
        <w:ind w:right="-18"/>
        <w:jc w:val="left"/>
      </w:pPr>
      <w:r>
        <w:rPr/>
        <w:t>本期计提坏账准备金额</w:t>
      </w:r>
      <w:r>
        <w:rPr>
          <w:spacing w:val="-46"/>
        </w:rPr>
        <w:t> </w:t>
      </w:r>
      <w:r>
        <w:rPr>
          <w:rFonts w:ascii="Times New Roman" w:hAnsi="Times New Roman" w:cs="Times New Roman" w:eastAsia="Times New Roman" w:hint="default"/>
        </w:rPr>
        <w:t>2,188,040.02</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453" w:space="2375"/>
            <w:col w:w="1122"/>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37,548.66</w:t>
            </w:r>
          </w:p>
        </w:tc>
      </w:tr>
    </w:tbl>
    <w:p>
      <w:pPr>
        <w:pStyle w:val="BodyText"/>
        <w:spacing w:line="240" w:lineRule="auto" w:before="51"/>
        <w:ind w:right="0"/>
        <w:jc w:val="left"/>
      </w:pPr>
      <w:r>
        <w:rPr/>
        <w:t>其中重要的应收账款核销情况：</w:t>
      </w:r>
    </w:p>
    <w:p>
      <w:pPr>
        <w:pStyle w:val="BodyText"/>
        <w:spacing w:line="240" w:lineRule="auto" w:before="116"/>
        <w:ind w:left="0" w:right="15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0"/>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5"/>
          <w:szCs w:val="25"/>
        </w:rPr>
      </w:pPr>
    </w:p>
    <w:tbl>
      <w:tblPr>
        <w:tblW w:w="0" w:type="auto"/>
        <w:jc w:val="left"/>
        <w:tblInd w:w="714" w:type="dxa"/>
        <w:tblLayout w:type="fixed"/>
        <w:tblCellMar>
          <w:top w:w="0" w:type="dxa"/>
          <w:left w:w="0" w:type="dxa"/>
          <w:bottom w:w="0" w:type="dxa"/>
          <w:right w:w="0" w:type="dxa"/>
        </w:tblCellMar>
        <w:tblLook w:val="01E0"/>
      </w:tblPr>
      <w:tblGrid>
        <w:gridCol w:w="2622"/>
        <w:gridCol w:w="1631"/>
        <w:gridCol w:w="1873"/>
        <w:gridCol w:w="1678"/>
      </w:tblGrid>
      <w:tr>
        <w:trPr>
          <w:trHeight w:val="355" w:hRule="exact"/>
        </w:trPr>
        <w:tc>
          <w:tcPr>
            <w:tcW w:w="2622" w:type="dxa"/>
            <w:vMerge w:val="restart"/>
            <w:tcBorders>
              <w:top w:val="single" w:sz="6" w:space="0" w:color="000000"/>
              <w:left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5182"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5"/>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64" w:hRule="exact"/>
        </w:trPr>
        <w:tc>
          <w:tcPr>
            <w:tcW w:w="2622" w:type="dxa"/>
            <w:vMerge/>
            <w:tcBorders>
              <w:left w:val="single" w:sz="6" w:space="0" w:color="000000"/>
              <w:bottom w:val="single" w:sz="12" w:space="0" w:color="000000"/>
              <w:right w:val="single" w:sz="6" w:space="0" w:color="000000"/>
            </w:tcBorders>
          </w:tcPr>
          <w:p>
            <w:pP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4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704" w:right="29" w:hanging="676"/>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 例</w:t>
            </w:r>
            <w:r>
              <w:rPr>
                <w:rFonts w:ascii="Times New Roman" w:hAnsi="Times New Roman" w:cs="Times New Roman" w:eastAsia="Times New Roman" w:hint="default"/>
                <w:sz w:val="18"/>
                <w:szCs w:val="18"/>
              </w:rPr>
              <w:t>(%)</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left="4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2"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10,591,175.52</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10.36</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529,558.78</w:t>
            </w:r>
          </w:p>
        </w:tc>
      </w:tr>
      <w:tr>
        <w:trPr>
          <w:trHeight w:val="353"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9,110,049.89</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8.91</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455,502.49</w:t>
            </w:r>
          </w:p>
        </w:tc>
      </w:tr>
      <w:tr>
        <w:trPr>
          <w:trHeight w:val="352"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6,627,555.94</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6.48</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331,377.80</w:t>
            </w:r>
          </w:p>
        </w:tc>
      </w:tr>
      <w:tr>
        <w:trPr>
          <w:trHeight w:val="352"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5,450,000.00</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5.33</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272,500.00</w:t>
            </w:r>
          </w:p>
        </w:tc>
      </w:tr>
      <w:tr>
        <w:trPr>
          <w:trHeight w:val="353"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4,713,896.96</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4.61</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6"/>
              <w:jc w:val="right"/>
              <w:rPr>
                <w:rFonts w:ascii="Times New Roman" w:hAnsi="Times New Roman" w:cs="Times New Roman" w:eastAsia="Times New Roman" w:hint="default"/>
                <w:sz w:val="18"/>
                <w:szCs w:val="18"/>
              </w:rPr>
            </w:pPr>
            <w:r>
              <w:rPr>
                <w:rFonts w:ascii="Times New Roman"/>
                <w:sz w:val="18"/>
              </w:rPr>
              <w:t>235,694.85</w:t>
            </w:r>
          </w:p>
        </w:tc>
      </w:tr>
      <w:tr>
        <w:trPr>
          <w:trHeight w:val="352" w:hRule="exact"/>
        </w:trPr>
        <w:tc>
          <w:tcPr>
            <w:tcW w:w="262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3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36,492,678.31</w:t>
            </w:r>
          </w:p>
        </w:tc>
        <w:tc>
          <w:tcPr>
            <w:tcW w:w="187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35.69</w:t>
            </w:r>
          </w:p>
        </w:tc>
        <w:tc>
          <w:tcPr>
            <w:tcW w:w="167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1,824,633.92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4,673,37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268,744.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4,404,625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08.03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142,243.3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8.02%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1,630,864.6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9" w:right="0"/>
              <w:jc w:val="left"/>
              <w:rPr>
                <w:rFonts w:ascii="Times New Roman" w:hAnsi="Times New Roman" w:cs="Times New Roman" w:eastAsia="Times New Roman" w:hint="default"/>
                <w:sz w:val="18"/>
                <w:szCs w:val="18"/>
              </w:rPr>
            </w:pPr>
            <w:r>
              <w:rPr>
                <w:rFonts w:ascii="Times New Roman"/>
                <w:sz w:val="18"/>
              </w:rPr>
              <w:t>4,673,37</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268,744.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4,404,625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center"/>
              <w:rPr>
                <w:rFonts w:ascii="Times New Roman" w:hAnsi="Times New Roman" w:cs="Times New Roman" w:eastAsia="Times New Roman" w:hint="default"/>
                <w:sz w:val="18"/>
                <w:szCs w:val="18"/>
              </w:rPr>
            </w:pPr>
            <w:r>
              <w:rPr>
                <w:rFonts w:ascii="Times New Roman"/>
                <w:sz w:val="18"/>
              </w:rPr>
              <w:t>1,773,1</w:t>
            </w:r>
          </w:p>
          <w:p>
            <w:pPr>
              <w:pStyle w:val="TableParagraph"/>
              <w:spacing w:line="240" w:lineRule="auto" w:before="105"/>
              <w:ind w:left="193" w:right="0"/>
              <w:jc w:val="center"/>
              <w:rPr>
                <w:rFonts w:ascii="Times New Roman" w:hAnsi="Times New Roman" w:cs="Times New Roman" w:eastAsia="Times New Roman" w:hint="default"/>
                <w:sz w:val="18"/>
                <w:szCs w:val="18"/>
              </w:rPr>
            </w:pPr>
            <w:r>
              <w:rPr>
                <w:rFonts w:ascii="Times New Roman"/>
                <w:sz w:val="18"/>
              </w:rPr>
              <w:t>08.03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142,243.3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1,630,864.6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pStyle w:val="BodyText"/>
        <w:spacing w:line="240" w:lineRule="auto" w:before="51"/>
        <w:ind w:right="-20"/>
        <w:jc w:val="left"/>
      </w:pPr>
      <w:r>
        <w:rPr/>
        <w:t>期末单项金额重大并单项计提坏账准备的其他应收款：</w:t>
      </w:r>
    </w:p>
    <w:p>
      <w:pPr>
        <w:pStyle w:val="BodyText"/>
        <w:spacing w:line="360" w:lineRule="auto" w:before="116"/>
        <w:ind w:left="153" w:right="161"/>
        <w:jc w:val="left"/>
      </w:pPr>
      <w:r>
        <w:rPr/>
        <w:t>□ 适用 √ 不适用 组合中，按账龄分析法计提坏账准备的其他应收款：</w:t>
      </w:r>
    </w:p>
    <w:p>
      <w:pPr>
        <w:pStyle w:val="BodyText"/>
        <w:spacing w:line="240" w:lineRule="auto" w:before="26"/>
        <w:ind w:left="153" w:right="-20"/>
        <w:jc w:val="left"/>
      </w:pPr>
      <w:r>
        <w:rPr/>
        <w:t>√ 适用 □ 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4475" w:space="4354"/>
            <w:col w:w="112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206" w:hRule="exact"/>
        </w:trPr>
        <w:tc>
          <w:tcPr>
            <w:tcW w:w="24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74"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4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494" w:type="dxa"/>
            <w:vMerge/>
            <w:tcBorders>
              <w:left w:val="single" w:sz="4" w:space="0" w:color="000000"/>
              <w:bottom w:val="nil" w:sz="6" w:space="0" w:color="auto"/>
              <w:right w:val="single" w:sz="4" w:space="0" w:color="000000"/>
            </w:tcBorders>
            <w:shd w:val="clear" w:color="auto" w:fill="D3D3D3"/>
          </w:tcPr>
          <w:p>
            <w:pPr/>
          </w:p>
        </w:tc>
        <w:tc>
          <w:tcPr>
            <w:tcW w:w="22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94" w:type="dxa"/>
            <w:tcBorders>
              <w:top w:val="nil" w:sz="6" w:space="0" w:color="auto"/>
              <w:left w:val="single" w:sz="4" w:space="0" w:color="000000"/>
              <w:bottom w:val="single" w:sz="4" w:space="0" w:color="000000"/>
              <w:right w:val="single" w:sz="4" w:space="0" w:color="000000"/>
            </w:tcBorders>
            <w:shd w:val="clear" w:color="auto" w:fill="D3D3D3"/>
          </w:tcPr>
          <w:p>
            <w:pPr/>
          </w:p>
        </w:tc>
        <w:tc>
          <w:tcPr>
            <w:tcW w:w="2294" w:type="dxa"/>
            <w:vMerge/>
            <w:tcBorders>
              <w:left w:val="single" w:sz="4" w:space="0" w:color="000000"/>
              <w:bottom w:val="single" w:sz="4" w:space="0" w:color="000000"/>
              <w:right w:val="single" w:sz="4" w:space="0" w:color="000000"/>
            </w:tcBorders>
            <w:shd w:val="clear" w:color="auto" w:fill="D3D3D3"/>
          </w:tcPr>
          <w:p>
            <w:pPr/>
          </w:p>
        </w:tc>
        <w:tc>
          <w:tcPr>
            <w:tcW w:w="2390" w:type="dxa"/>
            <w:vMerge/>
            <w:tcBorders>
              <w:left w:val="single" w:sz="4" w:space="0" w:color="000000"/>
              <w:bottom w:val="single" w:sz="4" w:space="0" w:color="000000"/>
              <w:right w:val="single" w:sz="4" w:space="0" w:color="000000"/>
            </w:tcBorders>
            <w:shd w:val="clear" w:color="auto" w:fill="D3D3D3"/>
          </w:tcPr>
          <w:p>
            <w:pPr/>
          </w:p>
        </w:tc>
        <w:tc>
          <w:tcPr>
            <w:tcW w:w="2389"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4,488,729.19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224,436.46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136,041.02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27,208.20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3,600.00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4,673,370.21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268,744.66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bl>
    <w:p>
      <w:pPr>
        <w:pStyle w:val="BodyText"/>
        <w:spacing w:line="360" w:lineRule="auto" w:before="51"/>
        <w:ind w:left="153" w:right="5271"/>
        <w:jc w:val="left"/>
      </w:pPr>
      <w:r>
        <w:rPr/>
        <w:t>确定该组合依据的说明： 组合中，采用余额百分比法计提坏账准备的其他应收款：</w:t>
      </w:r>
    </w:p>
    <w:p>
      <w:pPr>
        <w:pStyle w:val="BodyText"/>
        <w:spacing w:line="357" w:lineRule="auto" w:before="26"/>
        <w:ind w:left="153" w:right="5631"/>
        <w:jc w:val="left"/>
      </w:pPr>
      <w:r>
        <w:rPr/>
        <w:t>□ 适用 √ 不适用 组合中，采用其他方法计提坏账准备的其他应收款：</w:t>
      </w:r>
    </w:p>
    <w:p>
      <w:pPr>
        <w:pStyle w:val="BodyText"/>
        <w:spacing w:line="240" w:lineRule="auto" w:before="29"/>
        <w:ind w:left="153"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80" w:left="980" w:right="980"/>
        </w:sectPr>
      </w:pPr>
    </w:p>
    <w:p>
      <w:pPr>
        <w:pStyle w:val="BodyText"/>
        <w:spacing w:line="338" w:lineRule="auto" w:before="44"/>
        <w:ind w:right="-17"/>
        <w:jc w:val="left"/>
      </w:pPr>
      <w:r>
        <w:rPr/>
        <w:t>本期计提坏账准备金额</w:t>
      </w:r>
      <w:r>
        <w:rPr>
          <w:spacing w:val="-46"/>
        </w:rPr>
        <w:t> </w:t>
      </w:r>
      <w:r>
        <w:rPr>
          <w:rFonts w:ascii="Times New Roman" w:hAnsi="Times New Roman" w:cs="Times New Roman" w:eastAsia="Times New Roman" w:hint="default"/>
        </w:rPr>
        <w:t>126,501.28</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980"/>
          <w:cols w:num="2" w:equalWidth="0">
            <w:col w:w="6319" w:space="2509"/>
            <w:col w:w="1122"/>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进口关税及增值税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3,030,696.40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923,101.48</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801,607.17</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602,580.32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474,492.76</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366,573.88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247,426.23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4,673,370.21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1,773,108.03</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代缴原料关税及增 值税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1,944,244.61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39.94%</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97,212.23</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77"/>
              <w:jc w:val="left"/>
              <w:rPr>
                <w:rFonts w:ascii="宋体" w:hAnsi="宋体" w:cs="宋体" w:eastAsia="宋体" w:hint="default"/>
                <w:sz w:val="18"/>
                <w:szCs w:val="18"/>
              </w:rPr>
            </w:pPr>
            <w:r>
              <w:rPr>
                <w:rFonts w:ascii="宋体" w:hAnsi="宋体" w:cs="宋体" w:eastAsia="宋体" w:hint="default"/>
                <w:sz w:val="18"/>
                <w:szCs w:val="18"/>
              </w:rPr>
              <w:t>代缴原料关税及增 值税</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1,086,451.79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22.32%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54,322.59</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出口补贴款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474,492.76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23,724.64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2.67%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3,725,189.16</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76.52%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186,259.46</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本期计提减值准</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58" w:right="0"/>
              <w:jc w:val="left"/>
              <w:rPr>
                <w:rFonts w:ascii="宋体" w:hAnsi="宋体" w:cs="宋体" w:eastAsia="宋体" w:hint="default"/>
                <w:sz w:val="18"/>
                <w:szCs w:val="18"/>
              </w:rPr>
            </w:pPr>
            <w:r>
              <w:rPr>
                <w:rFonts w:ascii="宋体" w:hAnsi="宋体" w:cs="宋体" w:eastAsia="宋体" w:hint="default"/>
                <w:sz w:val="18"/>
                <w:szCs w:val="18"/>
              </w:rPr>
              <w:t>减值准备期末余</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36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江苏超纤</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5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3"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5" w:right="0"/>
              <w:jc w:val="left"/>
              <w:rPr>
                <w:rFonts w:ascii="Times New Roman" w:hAnsi="Times New Roman" w:cs="Times New Roman" w:eastAsia="Times New Roman" w:hint="default"/>
                <w:sz w:val="18"/>
                <w:szCs w:val="18"/>
              </w:rPr>
            </w:pPr>
            <w:r>
              <w:rPr>
                <w:rFonts w:ascii="Times New Roman"/>
                <w:sz w:val="18"/>
              </w:rPr>
              <w:t>911,171,541.19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660,679,226.60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689,052,452.13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509,206,911.69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9" w:right="0"/>
              <w:jc w:val="left"/>
              <w:rPr>
                <w:rFonts w:ascii="Times New Roman" w:hAnsi="Times New Roman" w:cs="Times New Roman" w:eastAsia="Times New Roman" w:hint="default"/>
                <w:sz w:val="18"/>
                <w:szCs w:val="18"/>
              </w:rPr>
            </w:pPr>
            <w:r>
              <w:rPr>
                <w:rFonts w:ascii="Times New Roman"/>
                <w:sz w:val="18"/>
              </w:rPr>
              <w:t>59,141,566.73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46,129,195.63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37,497,350.82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29,103,787.00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9" w:right="0"/>
              <w:jc w:val="left"/>
              <w:rPr>
                <w:rFonts w:ascii="Times New Roman" w:hAnsi="Times New Roman" w:cs="Times New Roman" w:eastAsia="Times New Roman" w:hint="default"/>
                <w:sz w:val="18"/>
                <w:szCs w:val="18"/>
              </w:rPr>
            </w:pPr>
            <w:r>
              <w:rPr>
                <w:rFonts w:ascii="Times New Roman"/>
                <w:sz w:val="18"/>
              </w:rPr>
              <w:t>970,313,107.92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706,808,422.23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726,549,802.95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538,310,698.69</w:t>
            </w:r>
          </w:p>
        </w:tc>
      </w:tr>
    </w:tbl>
    <w:p>
      <w:pPr>
        <w:pStyle w:val="BodyText"/>
        <w:spacing w:line="240" w:lineRule="auto" w:before="51"/>
        <w:ind w:right="0"/>
        <w:jc w:val="left"/>
      </w:pPr>
      <w:r>
        <w:rPr/>
        <w:t>其他说明：</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 适用 □ 不适用</w:t>
      </w:r>
    </w:p>
    <w:p>
      <w:pPr>
        <w:pStyle w:val="BodyText"/>
        <w:spacing w:line="240" w:lineRule="auto" w:before="117"/>
        <w:ind w:left="0" w:right="15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129,182.03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5,746,177.50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-693,402.48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-132,760.12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757,379.54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4,291,817.39</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r>
        <w:rPr/>
      </w:r>
    </w:p>
    <w:p>
      <w:pPr>
        <w:pStyle w:val="BodyText"/>
        <w:spacing w:line="302" w:lineRule="auto" w:before="63"/>
        <w:ind w:right="137"/>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0"/>
        <w:jc w:val="left"/>
      </w:pPr>
      <w:r>
        <w:rPr/>
        <w:t>□ 适用 √ 不适用</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2" w:hRule="exact"/>
        </w:trPr>
        <w:tc>
          <w:tcPr>
            <w:tcW w:w="2662" w:type="dxa"/>
            <w:vMerge/>
            <w:tcBorders>
              <w:left w:val="single" w:sz="4" w:space="0" w:color="000000"/>
              <w:bottom w:val="single" w:sz="4" w:space="0" w:color="000000"/>
              <w:right w:val="single" w:sz="4" w:space="0" w:color="000000"/>
            </w:tcBorders>
            <w:shd w:val="clear" w:color="auto" w:fill="D3D3D3"/>
          </w:tcPr>
          <w:p>
            <w:pPr/>
          </w:p>
        </w:tc>
        <w:tc>
          <w:tcPr>
            <w:tcW w:w="3080"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0.73</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r>
    </w:tbl>
    <w:p>
      <w:pPr>
        <w:spacing w:line="240" w:lineRule="auto" w:before="2"/>
        <w:rPr>
          <w:rFonts w:ascii="宋体" w:hAnsi="宋体" w:cs="宋体" w:eastAsia="宋体" w:hint="default"/>
          <w:b/>
          <w:bCs/>
          <w:sz w:val="19"/>
          <w:szCs w:val="19"/>
        </w:rPr>
      </w:pPr>
    </w:p>
    <w:p>
      <w:pPr>
        <w:pStyle w:val="Heading3"/>
        <w:spacing w:line="240" w:lineRule="auto" w:before="35"/>
        <w:ind w:right="0"/>
        <w:jc w:val="left"/>
        <w:rPr>
          <w:b w:val="0"/>
          <w:bCs w:val="0"/>
        </w:rPr>
      </w:pPr>
      <w:r>
        <w:rPr>
          <w:rFonts w:ascii="Times New Roman" w:hAnsi="Times New Roman" w:cs="Times New Roman" w:eastAsia="Times New Roman" w:hint="default"/>
        </w:rPr>
        <w:t>3</w:t>
      </w:r>
      <w:r>
        <w:rPr/>
        <w:t>、会计政策变更相关补充资料</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 适用 □ 不适用</w:t>
      </w:r>
    </w:p>
    <w:p>
      <w:pPr>
        <w:pStyle w:val="BodyText"/>
        <w:spacing w:line="240" w:lineRule="auto" w:before="116"/>
        <w:ind w:left="153" w:right="0"/>
        <w:jc w:val="left"/>
      </w:pPr>
      <w:r>
        <w:rPr/>
        <w:t>公司根据财政部</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年发布的《企业会计准则第</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长期股权投资》等八项会计准则变更了相关会计政策并对比较财</w:t>
      </w:r>
    </w:p>
    <w:p>
      <w:pPr>
        <w:pStyle w:val="BodyText"/>
        <w:spacing w:line="240" w:lineRule="auto" w:before="64"/>
        <w:ind w:right="0"/>
        <w:jc w:val="left"/>
      </w:pPr>
      <w:r>
        <w:rPr/>
        <w:t>务报表进行了追溯重述，重述后的</w:t>
      </w:r>
      <w:r>
        <w:rPr>
          <w:spacing w:val="-46"/>
        </w:rPr>
        <w:t> </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2013</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日合并资产负债表如下：</w:t>
      </w:r>
    </w:p>
    <w:p>
      <w:pPr>
        <w:pStyle w:val="BodyText"/>
        <w:spacing w:line="240" w:lineRule="auto" w:before="102"/>
        <w:ind w:left="0" w:right="149"/>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356,907,620.11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276,804,028.73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191,309,402.37</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98,023,604.82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135,727,271.01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157,464,403.01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48,506,363.47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58,867,630.34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96,951,195.79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39,427,556.79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7,275,587.83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9,861,964.93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4,587,942.60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2,352,159.73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27,647,997.91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24,162,203.67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4,589,630.05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107,700,711.49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170,208,905.24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201,787,680.16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5,593,566.51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682,801,797.19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680,991,353.06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661,964,276.31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631,725,179.13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627,090,224.94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685,783,537.53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1,292,018.87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13,204,290.08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17,989,197.69</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79,939.92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437,107.54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467,270.18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59,165,894.63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68,851,011.19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324,783,273.85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889,999.84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957,442.07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571,792.00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51"/>
              <w:jc w:val="right"/>
              <w:rPr>
                <w:rFonts w:ascii="宋体" w:hAnsi="宋体" w:cs="宋体" w:eastAsia="宋体" w:hint="default"/>
                <w:sz w:val="18"/>
                <w:szCs w:val="18"/>
              </w:rPr>
            </w:pPr>
            <w:r>
              <w:rPr>
                <w:rFonts w:ascii="宋体" w:hAnsi="宋体" w:cs="宋体" w:eastAsia="宋体" w:hint="default"/>
                <w:sz w:val="18"/>
                <w:szCs w:val="18"/>
              </w:rPr>
              <w:t>递延所得税资产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2,046,332.54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2,559,782.40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52,996,031.26</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551"/>
              <w:jc w:val="right"/>
              <w:rPr>
                <w:rFonts w:ascii="宋体" w:hAnsi="宋体" w:cs="宋体" w:eastAsia="宋体" w:hint="default"/>
                <w:sz w:val="18"/>
                <w:szCs w:val="18"/>
              </w:rPr>
            </w:pPr>
            <w:r>
              <w:rPr>
                <w:rFonts w:ascii="宋体" w:hAnsi="宋体" w:cs="宋体" w:eastAsia="宋体" w:hint="default"/>
                <w:sz w:val="18"/>
                <w:szCs w:val="18"/>
              </w:rPr>
              <w:t>其他非流动资产</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14,524,751.26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56,301,376.64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23,554,799.51</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709,724,116.19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769,401,234.86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1,106,145,902.02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1,392,525,913.38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1,450,392,587.92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1,768,110,178.33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71,362,691.25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32,946,296.99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68,849,352.62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3,870,513.72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5,720,368.57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7,003,834.15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8,389,027.04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11,925,401.59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18,377,082.89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2,313,974.37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2,007,914.82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48,413,833.58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5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852,078.83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1,371,519.47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254,212.54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86,788,285.21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53,971,501.44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142,898,315.78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206,086,312.00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18,715,000.00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206,086,312.00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87,198,285.21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72,686,501.44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348,984,627.78</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837,351,641.94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837,351,641.94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779,077,441.94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33,659,318.95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42,643,949.17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54,313,415.24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276,316,667.28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339,710,495.37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427,734,693.37</w:t>
            </w:r>
          </w:p>
        </w:tc>
      </w:tr>
      <w:tr>
        <w:trPr>
          <w:trHeight w:val="714"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1"/>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1,305,327,628.17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1,377,706,086.48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1,419,125,550.55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1,305,327,628.17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1,377,706,086.48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1,419,125,550.55</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1,392,525,913.38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1,450,392,587.92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1,768,110,178.33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2421"/>
        <w:jc w:val="center"/>
        <w:rPr>
          <w:b w:val="0"/>
          <w:bCs w:val="0"/>
        </w:rPr>
      </w:pPr>
      <w:bookmarkStart w:name="_TOC_250000" w:id="10"/>
      <w:r>
        <w:rPr/>
        <w:t>第十节</w:t>
      </w:r>
      <w:r>
        <w:rPr>
          <w:spacing w:val="-1"/>
        </w:rPr>
        <w:t> </w:t>
      </w:r>
      <w:r>
        <w:rPr/>
        <w:t>备查文件目录</w:t>
      </w:r>
      <w:bookmarkEnd w:id="10"/>
      <w:r>
        <w:rPr>
          <w:b w:val="0"/>
          <w:bCs w:val="0"/>
        </w:rPr>
      </w:r>
    </w:p>
    <w:p>
      <w:pPr>
        <w:spacing w:line="240" w:lineRule="auto" w:before="6"/>
        <w:rPr>
          <w:rFonts w:ascii="宋体" w:hAnsi="宋体" w:cs="宋体" w:eastAsia="宋体" w:hint="default"/>
          <w:b/>
          <w:bCs/>
          <w:sz w:val="42"/>
          <w:szCs w:val="42"/>
        </w:rPr>
      </w:pPr>
    </w:p>
    <w:p>
      <w:pPr>
        <w:pStyle w:val="BodyText"/>
        <w:spacing w:line="316" w:lineRule="auto"/>
        <w:ind w:left="153" w:right="771"/>
        <w:jc w:val="left"/>
      </w:pPr>
      <w:r>
        <w:rPr/>
        <w:t>一、载有公司法定代表人、主管会计工作负责人、公司会计机构负责人（会计主管人员）签名并盖章的财务报表。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四、经公司法定代表人签名的</w:t>
      </w:r>
      <w:r>
        <w:rPr>
          <w:rFonts w:ascii="Times New Roman" w:hAnsi="Times New Roman" w:cs="Times New Roman" w:eastAsia="Times New Roman" w:hint="default"/>
        </w:rPr>
        <w:t>2014</w:t>
      </w:r>
      <w:r>
        <w:rPr/>
        <w:t>年年度报告文本原件。</w:t>
      </w:r>
    </w:p>
    <w:p>
      <w:pPr>
        <w:pStyle w:val="BodyText"/>
        <w:spacing w:line="316" w:lineRule="auto"/>
        <w:ind w:left="153" w:right="3921"/>
        <w:jc w:val="left"/>
      </w:pPr>
      <w:r>
        <w:rPr/>
        <w:t>五、其他相关资料。 以上备查文件的备置地点：上海市金山区亭卫南路</w:t>
      </w:r>
      <w:r>
        <w:rPr>
          <w:rFonts w:ascii="Times New Roman" w:hAnsi="Times New Roman" w:cs="Times New Roman" w:eastAsia="Times New Roman" w:hint="default"/>
        </w:rPr>
        <w:t>888</w:t>
      </w:r>
      <w:r>
        <w:rPr/>
        <w:t>号公司证券事务部。</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6260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626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62598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625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119995pt;margin-top:36.325325pt;width:213.5pt;height:11.5pt;mso-position-horizontal-relative:page;mso-position-vertical-relative:page;z-index:-626056" type="#_x0000_t202" filled="false" stroked="false">
          <v:textbox inset="0,0,0,0">
            <w:txbxContent>
              <w:p>
                <w:pPr>
                  <w:pStyle w:val="BodyText"/>
                  <w:spacing w:line="214" w:lineRule="exact"/>
                  <w:ind w:left="20" w:right="0"/>
                  <w:jc w:val="left"/>
                </w:pPr>
                <w:r>
                  <w:rPr/>
                  <w:t>上海华峰超纤材料股份有限公司</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4"/>
    </w:pPr>
    <w:rPr>
      <w:rFonts w:ascii="宋体" w:hAnsi="宋体" w:eastAsia="宋体"/>
      <w:b/>
      <w:bCs/>
      <w:sz w:val="24"/>
      <w:szCs w:val="24"/>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422"/>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microfibre.huafeng.com/" TargetMode="External"/><Relationship Id="rId10" Type="http://schemas.openxmlformats.org/officeDocument/2006/relationships/hyperlink" Target="http://www.hfmicrofibre.com/" TargetMode="External"/><Relationship Id="rId11" Type="http://schemas.openxmlformats.org/officeDocument/2006/relationships/hyperlink" Target="mailto:chengming2003@126.com" TargetMode="External"/><Relationship Id="rId12" Type="http://schemas.openxmlformats.org/officeDocument/2006/relationships/hyperlink" Target="http://www.cninfo.com.cn/" TargetMode="External"/><Relationship Id="rId13" Type="http://schemas.openxmlformats.org/officeDocument/2006/relationships/image" Target="media/image2.png"/><Relationship Id="rId14" Type="http://schemas.openxmlformats.org/officeDocument/2006/relationships/footer" Target="footer3.xml"/><Relationship Id="rId1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AR2014300180b定期报告全文(Word中文版).doc</dc:title>
  <dcterms:created xsi:type="dcterms:W3CDTF">2020-05-06T19:02:33Z</dcterms:created>
  <dcterms:modified xsi:type="dcterms:W3CDTF">2020-05-06T19:02:33Z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2015-03-26T00:00:00Z</vt:filetime>
  </property>
  <property fmtid="{D5CDD505-2E9C-101B-9397-08002B2CF9AE}" pid="3" name="Creator">
    <vt:lpwstr>PScript5.dll Version 5.2.2</vt:lpwstr>
  </property>
  <property fmtid="{D5CDD505-2E9C-101B-9397-08002B2CF9AE}" pid="4" name="LastSaved">
    <vt:filetime>2020-05-06T00:00:00Z</vt:filetime>
  </property>
</Properties>
</file>