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180" w:lineRule="exact"/>
        <w:ind w:left="406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2395665" cy="138445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95665" cy="1384458"/>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上海华峰超纤材料股份有限公司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公司负责人尤小平、主管会计工作负责人蔡开成及会计机构负责人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李德光声明：保证年度报告中财务报告的真实、准确、完整。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475,000,000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23" w:lineRule="exact" w:before="0"/>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8"/>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1</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2</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3</w:t>
            </w:r>
          </w:hyperlink>
          <w:r>
            <w:rPr>
              <w:rFonts w:ascii="Times New Roman" w:hAnsi="Times New Roman" w:cs="Times New Roman" w:eastAsia="Times New Roman" w:hint="default"/>
            </w:rPr>
            <w:t>2</w:t>
          </w:r>
          <w:r>
            <w:rPr>
              <w:rFonts w:ascii="Times New Roman" w:hAnsi="Times New Roman" w:cs="Times New Roman" w:eastAsia="Times New Roman" w:hint="default"/>
              <w:b w:val="0"/>
              <w:bCs w:val="0"/>
            </w:rPr>
          </w:r>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3</w:t>
            </w:r>
          </w:hyperlink>
          <w:r>
            <w:rPr>
              <w:rFonts w:ascii="Times New Roman" w:hAnsi="Times New Roman" w:cs="Times New Roman" w:eastAsia="Times New Roman" w:hint="default"/>
            </w:rPr>
            <w:t>7</w:t>
          </w:r>
          <w:r>
            <w:rPr>
              <w:rFonts w:ascii="Times New Roman" w:hAnsi="Times New Roman" w:cs="Times New Roman" w:eastAsia="Times New Roman" w:hint="default"/>
              <w:b w:val="0"/>
              <w:bCs w:val="0"/>
            </w:rPr>
          </w:r>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3</w:t>
            </w:r>
          </w:hyperlink>
          <w:r>
            <w:rPr>
              <w:rFonts w:ascii="Times New Roman" w:hAnsi="Times New Roman" w:cs="Times New Roman" w:eastAsia="Times New Roman" w:hint="default"/>
            </w:rPr>
            <w:t>8</w:t>
          </w:r>
          <w:r>
            <w:rPr>
              <w:rFonts w:ascii="Times New Roman" w:hAnsi="Times New Roman" w:cs="Times New Roman" w:eastAsia="Times New Roman" w:hint="default"/>
              <w:b w:val="0"/>
              <w:bCs w:val="0"/>
            </w:rPr>
          </w:r>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r>
          </w:hyperlink>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5</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w:t>
            </w:r>
          </w:hyperlink>
          <w:r>
            <w:rPr>
              <w:rFonts w:ascii="Times New Roman" w:hAnsi="Times New Roman" w:cs="Times New Roman" w:eastAsia="Times New Roman" w:hint="default"/>
              <w:spacing w:val="-5"/>
            </w:rPr>
            <w:t>12</w:t>
          </w:r>
          <w:r>
            <w:rPr>
              <w:rFonts w:ascii="Times New Roman" w:hAnsi="Times New Roman" w:cs="Times New Roman" w:eastAsia="Times New Roman" w:hint="default"/>
              <w:b w:val="0"/>
              <w:bCs w:val="0"/>
              <w:spacing w:val="-5"/>
            </w:rPr>
          </w:r>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超纤</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both"/>
              <w:rPr>
                <w:rFonts w:ascii="宋体" w:hAnsi="宋体" w:cs="宋体" w:eastAsia="宋体" w:hint="default"/>
                <w:sz w:val="18"/>
                <w:szCs w:val="18"/>
              </w:rPr>
            </w:pPr>
            <w:r>
              <w:rPr>
                <w:rFonts w:ascii="宋体" w:hAnsi="宋体" w:cs="宋体" w:eastAsia="宋体" w:hint="default"/>
                <w:spacing w:val="-2"/>
                <w:sz w:val="18"/>
                <w:szCs w:val="18"/>
              </w:rPr>
              <w:t>指超细纤维聚氨酯合成材料，是以拥有三维立体构造的超细纤维无纺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布作为基布，以聚氨酯（</w:t>
            </w:r>
            <w:r>
              <w:rPr>
                <w:rFonts w:ascii="Times New Roman" w:hAnsi="Times New Roman" w:cs="Times New Roman" w:eastAsia="Times New Roman" w:hint="default"/>
                <w:spacing w:val="-3"/>
                <w:sz w:val="18"/>
                <w:szCs w:val="18"/>
              </w:rPr>
              <w:t>PU</w:t>
            </w:r>
            <w:r>
              <w:rPr>
                <w:rFonts w:ascii="宋体" w:hAnsi="宋体" w:cs="宋体" w:eastAsia="宋体" w:hint="default"/>
                <w:spacing w:val="-3"/>
                <w:sz w:val="18"/>
                <w:szCs w:val="18"/>
              </w:rPr>
              <w:t>）树脂涂覆表层的具有束状超细纤维结构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新型材料</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64986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华峰超纤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Huafon Microfibre (Shanghai)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Huafon</w:t>
            </w:r>
            <w:r>
              <w:rPr>
                <w:rFonts w:ascii="Times New Roman"/>
                <w:spacing w:val="-2"/>
                <w:sz w:val="18"/>
              </w:rPr>
              <w:t> </w:t>
            </w:r>
            <w:r>
              <w:rPr>
                <w:rFonts w:ascii="Times New Roman"/>
                <w:sz w:val="18"/>
              </w:rPr>
              <w:t>Microfibre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尤小平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tabs>
                <w:tab w:pos="2555" w:val="left" w:leader="none"/>
              </w:tabs>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pacing w:val="-1"/>
                  <w:sz w:val="18"/>
                </w:rPr>
                <w:t>http://microfibre.huafeng.com</w:t>
              </w:r>
            </w:hyperlink>
            <w:r>
              <w:rPr>
                <w:rFonts w:ascii="Times New Roman"/>
                <w:spacing w:val="-1"/>
                <w:sz w:val="18"/>
              </w:rPr>
              <w:tab/>
            </w:r>
            <w:hyperlink r:id="rId10">
              <w:r>
                <w:rPr>
                  <w:rFonts w:ascii="Times New Roman"/>
                  <w:spacing w:val="-1"/>
                  <w:sz w:val="18"/>
                </w:rPr>
                <w:t>http://www.hfmicrofibre.com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沈建林、陈科举、唐伟</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1,136,957,949.60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970,313,107.92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726,549,802.95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118,936,497.53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115,493,664.07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121,226,967.66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111,201,846.68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82,485,286.95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107,400,111.60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121,831,346.43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57,107,552.66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2,643,849,402.58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1,768,110,178.33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1,450,392,587.00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1,525,422,048.08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1,419,125,550.55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1,377,706,086.48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262,332,847.12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317,112,165.72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274,832,381.93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282,680,554.83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33,550,607.19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51,130,786.12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32,176,717.65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2,078,386.57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33,228,990.94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48,815,002.46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25,831,512.29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13,351,461.97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-26,379,183.99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41,447,690.23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-3,634,262.01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95,965,867.37</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-13,908,949.30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129,182.03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88,023.42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11,789,894.00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5,746,177.50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4,945,843.07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-693,402.48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-269,205.68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-132,760.12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1,337,729.38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-97,790.85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757,379.54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678,424.51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-2,290,470.13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4,291,817.39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5,693,171.36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公司是国内目前超纤材料产销规模最大的企业，随着我国国民经济的迅速发展和人民生活水平的不断提高，人们对皮革</w:t>
      </w:r>
      <w:r>
        <w:rPr/>
        <w:t> </w:t>
      </w:r>
      <w:r>
        <w:rPr>
          <w:spacing w:val="-2"/>
        </w:rPr>
        <w:t>制品的需求量也日益增长，传统的天然皮革由于资源有限和环保政策趋紧导致产能持续退出，已远远不能满足皮革消费增长</w:t>
      </w:r>
      <w:r>
        <w:rPr>
          <w:spacing w:val="-64"/>
        </w:rPr>
        <w:t> </w:t>
      </w:r>
      <w:r>
        <w:rPr>
          <w:spacing w:val="-64"/>
        </w:rPr>
      </w:r>
      <w:r>
        <w:rPr>
          <w:spacing w:val="-2"/>
        </w:rPr>
        <w:t>的需要，人工制革的出现对皮革制品的需求形成了有力的补充。其中，超纤材料因其技术含量高，具有天然皮革柔软、吸湿</w:t>
      </w:r>
      <w:r>
        <w:rPr>
          <w:spacing w:val="-66"/>
        </w:rPr>
        <w:t> </w:t>
      </w:r>
      <w:r>
        <w:rPr>
          <w:spacing w:val="-66"/>
        </w:rPr>
      </w:r>
      <w:r>
        <w:rPr>
          <w:spacing w:val="-2"/>
        </w:rPr>
        <w:t>性好等优点，在机械强度、耐化学性、质量均一性、自动化剪裁、加工适应性等方面更优于天然皮革，为当前天然皮革最佳</w:t>
      </w:r>
      <w:r>
        <w:rPr>
          <w:spacing w:val="-68"/>
        </w:rPr>
        <w:t> </w:t>
      </w:r>
      <w:r>
        <w:rPr>
          <w:spacing w:val="-68"/>
        </w:rPr>
      </w:r>
      <w:r>
        <w:rPr>
          <w:spacing w:val="-4"/>
        </w:rPr>
        <w:t>替代产品，是人工制革重点发展的方向。目前，超纤材料已广泛应用于鞋类、沙发家具、箱包、球类等下游行业，并向手套、</w:t>
      </w:r>
      <w:r>
        <w:rPr>
          <w:spacing w:val="-46"/>
        </w:rPr>
        <w:t> </w:t>
      </w:r>
      <w:r>
        <w:rPr>
          <w:spacing w:val="-46"/>
        </w:rPr>
      </w:r>
      <w:r>
        <w:rPr>
          <w:spacing w:val="-4"/>
        </w:rPr>
        <w:t>服装、汽车内饰、军工等应用领域不断延伸，随着下游行业快速发展和应用领域不断延伸，超纤材料需求总量持续稳定增长。</w:t>
      </w:r>
      <w:r>
        <w:rPr>
          <w:spacing w:val="-45"/>
        </w:rPr>
        <w:t> </w:t>
      </w:r>
      <w:r>
        <w:rPr>
          <w:spacing w:val="-45"/>
        </w:rPr>
      </w:r>
      <w:r>
        <w:rPr/>
        <w:t>目前公司已具备</w:t>
      </w:r>
      <w:r>
        <w:rPr>
          <w:rFonts w:ascii="Times New Roman" w:hAnsi="Times New Roman" w:cs="Times New Roman" w:eastAsia="Times New Roman" w:hint="default"/>
        </w:rPr>
        <w:t>3600</w:t>
      </w:r>
      <w:r>
        <w:rPr/>
        <w:t>万平米</w:t>
      </w:r>
      <w:r>
        <w:rPr>
          <w:rFonts w:ascii="Times New Roman" w:hAnsi="Times New Roman" w:cs="Times New Roman" w:eastAsia="Times New Roman" w:hint="default"/>
        </w:rPr>
        <w:t>/</w:t>
      </w:r>
      <w:r>
        <w:rPr/>
        <w:t>年超纤材料的生产能力。</w:t>
      </w:r>
    </w:p>
    <w:p>
      <w:pPr>
        <w:pStyle w:val="BodyText"/>
        <w:spacing w:line="300" w:lineRule="auto" w:before="119"/>
        <w:ind w:right="1041" w:firstLine="360"/>
        <w:jc w:val="both"/>
      </w:pPr>
      <w:r>
        <w:rPr/>
        <w:t>报告期内，公司拟非公开发行股票数量不超过</w:t>
      </w:r>
      <w:r>
        <w:rPr>
          <w:rFonts w:ascii="Times New Roman" w:hAnsi="Times New Roman" w:cs="Times New Roman" w:eastAsia="Times New Roman" w:hint="default"/>
        </w:rPr>
        <w:t>8,000</w:t>
      </w:r>
      <w:r>
        <w:rPr/>
        <w:t>万股，用于子公司江苏华峰超纤材料有限公司年产</w:t>
      </w:r>
      <w:r>
        <w:rPr>
          <w:rFonts w:ascii="Times New Roman" w:hAnsi="Times New Roman" w:cs="Times New Roman" w:eastAsia="Times New Roman" w:hint="default"/>
        </w:rPr>
        <w:t>7,500</w:t>
      </w:r>
      <w:r>
        <w:rPr/>
        <w:t>万米产业用 </w:t>
      </w:r>
      <w:r>
        <w:rPr>
          <w:spacing w:val="-1"/>
        </w:rPr>
        <w:t>非织造布超纤材料项目中的一期</w:t>
      </w:r>
      <w:r>
        <w:rPr>
          <w:rFonts w:ascii="Times New Roman" w:hAnsi="Times New Roman" w:cs="Times New Roman" w:eastAsia="Times New Roman" w:hint="default"/>
          <w:spacing w:val="-1"/>
        </w:rPr>
        <w:t>3,750</w:t>
      </w:r>
      <w:r>
        <w:rPr>
          <w:spacing w:val="-1"/>
        </w:rPr>
        <w:t>万米产业用非织造布超纤材料项目，截止本年报披露日，本次非公开发行已实施完毕。</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firstLine="360"/>
        <w:jc w:val="both"/>
      </w:pPr>
      <w:r>
        <w:rPr>
          <w:spacing w:val="-2"/>
        </w:rPr>
        <w:t>公司是上海高新技术企业，自成立开始，始终注重产品的技术研发与产品创新工作。公司被中国塑料加工工业协会评定</w:t>
      </w:r>
      <w:r>
        <w:rPr/>
        <w:t> </w:t>
      </w:r>
      <w:r>
        <w:rPr>
          <w:spacing w:val="-1"/>
        </w:rPr>
        <w:t>为</w:t>
      </w:r>
      <w:r>
        <w:rPr>
          <w:rFonts w:ascii="Times New Roman" w:hAnsi="Times New Roman" w:cs="Times New Roman" w:eastAsia="Times New Roman" w:hint="default"/>
          <w:spacing w:val="-1"/>
        </w:rPr>
        <w:t>“</w:t>
      </w:r>
      <w:r>
        <w:rPr>
          <w:spacing w:val="-1"/>
        </w:rPr>
        <w:t>中国聚氨酯超细纤维复合材料研发中心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中国超细纤维复合材料产业基地</w:t>
      </w:r>
      <w:r>
        <w:rPr>
          <w:rFonts w:ascii="Times New Roman" w:hAnsi="Times New Roman" w:cs="Times New Roman" w:eastAsia="Times New Roman" w:hint="default"/>
          <w:spacing w:val="-1"/>
        </w:rPr>
        <w:t>”</w:t>
      </w:r>
      <w:r>
        <w:rPr>
          <w:spacing w:val="-1"/>
        </w:rPr>
        <w:t>，公司是上海市科技小巨人培育企业，上海</w:t>
      </w:r>
      <w:r>
        <w:rPr>
          <w:spacing w:val="-79"/>
        </w:rPr>
        <w:t> </w:t>
      </w:r>
      <w:r>
        <w:rPr>
          <w:spacing w:val="-79"/>
        </w:rPr>
      </w:r>
      <w:r>
        <w:rPr>
          <w:spacing w:val="-2"/>
        </w:rPr>
        <w:t>市企业技术中心；公司始终坚持科技创新的核心理念，实施科技兴企战略，促进科技成果的转化，在产品性能、质量、花色</w:t>
      </w:r>
      <w:r>
        <w:rPr>
          <w:spacing w:val="-66"/>
        </w:rPr>
        <w:t> </w:t>
      </w:r>
      <w:r>
        <w:rPr>
          <w:spacing w:val="-66"/>
        </w:rPr>
      </w:r>
      <w:r>
        <w:rPr/>
        <w:t>品种、稳定性等方面领跑于业内，各项指标达到国内先进水平。</w:t>
      </w:r>
    </w:p>
    <w:p>
      <w:pPr>
        <w:pStyle w:val="BodyText"/>
        <w:spacing w:line="300" w:lineRule="auto" w:before="142"/>
        <w:ind w:right="1130" w:firstLine="360"/>
        <w:jc w:val="both"/>
      </w:pPr>
      <w:r>
        <w:rPr>
          <w:rFonts w:ascii="Times New Roman" w:hAnsi="Times New Roman" w:cs="Times New Roman" w:eastAsia="Times New Roman" w:hint="default"/>
          <w:spacing w:val="-5"/>
        </w:rPr>
        <w:t>2015</w:t>
      </w:r>
      <w:r>
        <w:rPr>
          <w:spacing w:val="-5"/>
        </w:rPr>
        <w:t>年公司共申请专利</w:t>
      </w:r>
      <w:r>
        <w:rPr>
          <w:rFonts w:ascii="Times New Roman" w:hAnsi="Times New Roman" w:cs="Times New Roman" w:eastAsia="Times New Roman" w:hint="default"/>
          <w:spacing w:val="-5"/>
        </w:rPr>
        <w:t>11</w:t>
      </w:r>
      <w:r>
        <w:rPr>
          <w:spacing w:val="-5"/>
        </w:rPr>
        <w:t>项（其中发明专利申请</w:t>
      </w:r>
      <w:r>
        <w:rPr>
          <w:rFonts w:ascii="Times New Roman" w:hAnsi="Times New Roman" w:cs="Times New Roman" w:eastAsia="Times New Roman" w:hint="default"/>
          <w:spacing w:val="-5"/>
        </w:rPr>
        <w:t>10</w:t>
      </w:r>
      <w:r>
        <w:rPr>
          <w:spacing w:val="-5"/>
        </w:rPr>
        <w:t>项，实用新型专利申请</w:t>
      </w:r>
      <w:r>
        <w:rPr>
          <w:rFonts w:ascii="Times New Roman" w:hAnsi="Times New Roman" w:cs="Times New Roman" w:eastAsia="Times New Roman" w:hint="default"/>
          <w:spacing w:val="-5"/>
        </w:rPr>
        <w:t>1</w:t>
      </w:r>
      <w:r>
        <w:rPr>
          <w:spacing w:val="-5"/>
        </w:rPr>
        <w:t>项）。共获得授权</w:t>
      </w:r>
      <w:r>
        <w:rPr>
          <w:rFonts w:ascii="Times New Roman" w:hAnsi="Times New Roman" w:cs="Times New Roman" w:eastAsia="Times New Roman" w:hint="default"/>
          <w:spacing w:val="-5"/>
        </w:rPr>
        <w:t>7</w:t>
      </w:r>
      <w:r>
        <w:rPr>
          <w:spacing w:val="-5"/>
        </w:rPr>
        <w:t>项（全部为发明专利）。截</w:t>
      </w:r>
      <w:r>
        <w:rPr/>
        <w:t> </w:t>
      </w:r>
      <w:r>
        <w:rPr>
          <w:spacing w:val="-3"/>
        </w:rPr>
        <w:t>至</w:t>
      </w:r>
      <w:r>
        <w:rPr>
          <w:rFonts w:ascii="Times New Roman" w:hAnsi="Times New Roman" w:cs="Times New Roman" w:eastAsia="Times New Roman" w:hint="default"/>
          <w:spacing w:val="-3"/>
        </w:rPr>
        <w:t>2015</w:t>
      </w:r>
      <w:r>
        <w:rPr>
          <w:spacing w:val="-3"/>
        </w:rPr>
        <w:t>年底，公司共自主申请专利</w:t>
      </w:r>
      <w:r>
        <w:rPr>
          <w:rFonts w:ascii="Times New Roman" w:hAnsi="Times New Roman" w:cs="Times New Roman" w:eastAsia="Times New Roman" w:hint="default"/>
          <w:spacing w:val="-3"/>
        </w:rPr>
        <w:t>69</w:t>
      </w:r>
      <w:r>
        <w:rPr>
          <w:spacing w:val="-3"/>
        </w:rPr>
        <w:t>项（其中发明专利申请</w:t>
      </w:r>
      <w:r>
        <w:rPr>
          <w:rFonts w:ascii="Times New Roman" w:hAnsi="Times New Roman" w:cs="Times New Roman" w:eastAsia="Times New Roman" w:hint="default"/>
          <w:spacing w:val="-3"/>
        </w:rPr>
        <w:t>49</w:t>
      </w:r>
      <w:r>
        <w:rPr>
          <w:spacing w:val="-3"/>
        </w:rPr>
        <w:t>项），共授权</w:t>
      </w:r>
      <w:r>
        <w:rPr>
          <w:rFonts w:ascii="Times New Roman" w:hAnsi="Times New Roman" w:cs="Times New Roman" w:eastAsia="Times New Roman" w:hint="default"/>
          <w:spacing w:val="-3"/>
        </w:rPr>
        <w:t>45</w:t>
      </w:r>
      <w:r>
        <w:rPr>
          <w:spacing w:val="-3"/>
        </w:rPr>
        <w:t>项（其中：</w:t>
      </w:r>
      <w:r>
        <w:rPr>
          <w:rFonts w:ascii="Times New Roman" w:hAnsi="Times New Roman" w:cs="Times New Roman" w:eastAsia="Times New Roman" w:hint="default"/>
          <w:spacing w:val="-3"/>
        </w:rPr>
        <w:t>1</w:t>
      </w:r>
      <w:r>
        <w:rPr>
          <w:spacing w:val="-3"/>
        </w:rPr>
        <w:t>项发明和</w:t>
      </w:r>
      <w:r>
        <w:rPr>
          <w:rFonts w:ascii="Times New Roman" w:hAnsi="Times New Roman" w:cs="Times New Roman" w:eastAsia="Times New Roman" w:hint="default"/>
          <w:spacing w:val="-3"/>
        </w:rPr>
        <w:t>7</w:t>
      </w:r>
      <w:r>
        <w:rPr>
          <w:spacing w:val="-3"/>
        </w:rPr>
        <w:t>项外观主动终止，</w:t>
      </w:r>
      <w:r>
        <w:rPr>
          <w:rFonts w:ascii="Times New Roman" w:hAnsi="Times New Roman" w:cs="Times New Roman" w:eastAsia="Times New Roman" w:hint="default"/>
          <w:spacing w:val="-3"/>
        </w:rPr>
        <w:t>2</w:t>
      </w:r>
      <w:r>
        <w:rPr>
          <w:spacing w:val="-3"/>
        </w:rPr>
        <w:t>项实</w:t>
      </w:r>
      <w:r>
        <w:rPr>
          <w:spacing w:val="-87"/>
        </w:rPr>
        <w:t> </w:t>
      </w:r>
      <w:r>
        <w:rPr>
          <w:spacing w:val="-6"/>
        </w:rPr>
        <w:t>用新型到期终止）；公司共拥有自主知识产权的授权专利数量已经达到了</w:t>
      </w:r>
      <w:r>
        <w:rPr>
          <w:rFonts w:ascii="Times New Roman" w:hAnsi="Times New Roman" w:cs="Times New Roman" w:eastAsia="Times New Roman" w:hint="default"/>
          <w:spacing w:val="-6"/>
        </w:rPr>
        <w:t>35</w:t>
      </w:r>
      <w:r>
        <w:rPr>
          <w:spacing w:val="-6"/>
        </w:rPr>
        <w:t>项，其中：发明专利</w:t>
      </w:r>
      <w:r>
        <w:rPr>
          <w:rFonts w:ascii="Times New Roman" w:hAnsi="Times New Roman" w:cs="Times New Roman" w:eastAsia="Times New Roman" w:hint="default"/>
          <w:spacing w:val="-6"/>
        </w:rPr>
        <w:t>26</w:t>
      </w:r>
      <w:r>
        <w:rPr>
          <w:spacing w:val="-6"/>
        </w:rPr>
        <w:t>项、实用新型专利</w:t>
      </w:r>
      <w:r>
        <w:rPr>
          <w:rFonts w:ascii="Times New Roman" w:hAnsi="Times New Roman" w:cs="Times New Roman" w:eastAsia="Times New Roman" w:hint="default"/>
          <w:spacing w:val="-6"/>
        </w:rPr>
        <w:t>9</w:t>
      </w:r>
      <w:r>
        <w:rPr>
          <w:spacing w:val="-6"/>
        </w:rPr>
        <w:t>项。</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40"/>
        </w:rPr>
        <w:t> </w:t>
      </w:r>
      <w:r>
        <w:rPr/>
        <w:t>年公司获得授权的专利情况如下：</w:t>
      </w:r>
    </w:p>
    <w:tbl>
      <w:tblPr>
        <w:tblW w:w="0" w:type="auto"/>
        <w:jc w:val="left"/>
        <w:tblInd w:w="1126" w:type="dxa"/>
        <w:tblLayout w:type="fixed"/>
        <w:tblCellMar>
          <w:top w:w="0" w:type="dxa"/>
          <w:left w:w="0" w:type="dxa"/>
          <w:bottom w:w="0" w:type="dxa"/>
          <w:right w:w="0" w:type="dxa"/>
        </w:tblCellMar>
        <w:tblLook w:val="01E0"/>
      </w:tblPr>
      <w:tblGrid>
        <w:gridCol w:w="493"/>
        <w:gridCol w:w="3458"/>
        <w:gridCol w:w="1934"/>
        <w:gridCol w:w="1740"/>
        <w:gridCol w:w="1576"/>
        <w:gridCol w:w="1125"/>
      </w:tblGrid>
      <w:tr>
        <w:trPr>
          <w:trHeight w:val="426"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申请</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专利号</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申请日期</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授权日期</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专利类型</w:t>
            </w:r>
          </w:p>
        </w:tc>
      </w:tr>
      <w:tr>
        <w:trPr>
          <w:trHeight w:val="740"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仿绵羊皮超细纤维聚氨酯合成革及其制备方 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201310410602.X</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环保隔热保温超纤合成革及其制备方法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201310689270.3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含氨基甲酸酯结构的磷氮系阻燃剂及其制备</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201310689458.8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93"/>
        <w:gridCol w:w="3458"/>
        <w:gridCol w:w="1934"/>
        <w:gridCol w:w="1740"/>
        <w:gridCol w:w="1576"/>
        <w:gridCol w:w="1125"/>
      </w:tblGrid>
      <w:tr>
        <w:trPr>
          <w:trHeight w:val="386" w:hRule="exact"/>
        </w:trPr>
        <w:tc>
          <w:tcPr>
            <w:tcW w:w="493" w:type="dxa"/>
            <w:tcBorders>
              <w:top w:val="single" w:sz="6" w:space="0" w:color="000000"/>
              <w:left w:val="single" w:sz="6" w:space="0" w:color="000000"/>
              <w:bottom w:val="single" w:sz="6" w:space="0" w:color="000000"/>
              <w:right w:val="single" w:sz="6" w:space="0" w:color="000000"/>
            </w:tcBorders>
          </w:tcPr>
          <w:p>
            <w:pP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93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3"/>
              <w:jc w:val="right"/>
              <w:rPr>
                <w:rFonts w:ascii="Times New Roman" w:hAnsi="Times New Roman" w:cs="Times New Roman" w:eastAsia="Times New Roman" w:hint="default"/>
                <w:sz w:val="18"/>
                <w:szCs w:val="18"/>
              </w:rPr>
            </w:pPr>
            <w:r>
              <w:rPr>
                <w:rFonts w:ascii="Times New Roman"/>
                <w:sz w:val="18"/>
              </w:rPr>
              <w:t>4</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具有书写效应的定岛超细纤维绒面革及其制 备方法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201310698928.7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8"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3"/>
              <w:jc w:val="right"/>
              <w:rPr>
                <w:rFonts w:ascii="Times New Roman" w:hAnsi="Times New Roman" w:cs="Times New Roman" w:eastAsia="Times New Roman" w:hint="default"/>
                <w:sz w:val="18"/>
                <w:szCs w:val="18"/>
              </w:rPr>
            </w:pPr>
            <w:r>
              <w:rPr>
                <w:rFonts w:ascii="Times New Roman"/>
                <w:sz w:val="18"/>
              </w:rPr>
              <w:t>5</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超细纤维聚氨酯合成革磨皮粉的再利用方法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201310594474.9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3"/>
              <w:jc w:val="right"/>
              <w:rPr>
                <w:rFonts w:ascii="Times New Roman" w:hAnsi="Times New Roman" w:cs="Times New Roman" w:eastAsia="Times New Roman" w:hint="default"/>
                <w:sz w:val="18"/>
                <w:szCs w:val="18"/>
              </w:rPr>
            </w:pPr>
            <w:r>
              <w:rPr>
                <w:rFonts w:ascii="Times New Roman"/>
                <w:sz w:val="18"/>
              </w:rPr>
              <w:t>6</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一种聚氨酯树脂浆料及其工业应用</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201310655155.4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9"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3"/>
              <w:jc w:val="right"/>
              <w:rPr>
                <w:rFonts w:ascii="Times New Roman" w:hAnsi="Times New Roman" w:cs="Times New Roman" w:eastAsia="Times New Roman" w:hint="default"/>
                <w:sz w:val="18"/>
                <w:szCs w:val="18"/>
              </w:rPr>
            </w:pPr>
            <w:r>
              <w:rPr>
                <w:rFonts w:ascii="Times New Roman"/>
                <w:sz w:val="18"/>
              </w:rPr>
              <w:t>7</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含氨基甲酸酯结构的水溶性磷氮系阻燃剂及 其制备方法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201310689455.4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403"/>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firstLine="362"/>
        <w:jc w:val="left"/>
      </w:pPr>
      <w:r>
        <w:rPr>
          <w:rFonts w:ascii="Times New Roman" w:hAnsi="Times New Roman" w:cs="Times New Roman" w:eastAsia="Times New Roman" w:hint="default"/>
          <w:spacing w:val="-2"/>
        </w:rPr>
        <w:t>2015</w:t>
      </w:r>
      <w:r>
        <w:rPr>
          <w:spacing w:val="-2"/>
        </w:rPr>
        <w:t>年，国内经济下行趋势不减，尤其是制造业承受着更为沉重的压力，在政府和舆论一片调结构、促改革、发展新兴</w:t>
      </w:r>
      <w:r>
        <w:rPr/>
        <w:t> </w:t>
      </w:r>
      <w:r>
        <w:rPr>
          <w:spacing w:val="-2"/>
        </w:rPr>
        <w:t>产业的呼声和论调之中，以及随着节能减排、环保、安全生产法律法规不断加强和完善，超纤行业充满了机遇与挑战。挑战</w:t>
      </w:r>
      <w:r>
        <w:rPr>
          <w:spacing w:val="-66"/>
        </w:rPr>
        <w:t> </w:t>
      </w:r>
      <w:r>
        <w:rPr>
          <w:spacing w:val="-66"/>
        </w:rPr>
      </w:r>
      <w:r>
        <w:rPr>
          <w:spacing w:val="-2"/>
        </w:rPr>
        <w:t>是环保、安全生产、节能减排、人力资源的成本上升，机遇是越来越多的资本撤离制造业涌入新兴产业，行业的竞争环境改</w:t>
      </w:r>
      <w:r>
        <w:rPr>
          <w:spacing w:val="-66"/>
        </w:rPr>
        <w:t> </w:t>
      </w:r>
      <w:r>
        <w:rPr>
          <w:spacing w:val="-66"/>
        </w:rPr>
      </w:r>
      <w:r>
        <w:rPr/>
        <w:t>善，供过于求的局面扭转，超纤下游需求持续复苏，新应用领域不断开拓，毛利率持续回升，公司的市场占有率不断提高， </w:t>
      </w:r>
      <w:r>
        <w:rPr>
          <w:rFonts w:ascii="Times New Roman" w:hAnsi="Times New Roman" w:cs="Times New Roman" w:eastAsia="Times New Roman" w:hint="default"/>
        </w:rPr>
        <w:t>2015</w:t>
      </w:r>
      <w:r>
        <w:rPr/>
        <w:t>年，公司上海基地两个厂区的产能已全部投入运行，各项目产能利用率持续提高并逐步开始产生效益。</w:t>
      </w:r>
    </w:p>
    <w:p>
      <w:pPr>
        <w:pStyle w:val="BodyText"/>
        <w:spacing w:line="316" w:lineRule="auto" w:before="1"/>
        <w:ind w:left="1493" w:right="0"/>
        <w:jc w:val="left"/>
      </w:pPr>
      <w:r>
        <w:rPr/>
        <w:t>一、实施设备提档升级改造，高效组织生产 </w:t>
      </w:r>
      <w:r>
        <w:rPr>
          <w:spacing w:val="-2"/>
        </w:rPr>
        <w:t>为彻底改变能耗高、污染重和劳动强度大的弊端，本着</w:t>
      </w:r>
      <w:r>
        <w:rPr>
          <w:rFonts w:ascii="Times New Roman" w:hAnsi="Times New Roman" w:cs="Times New Roman" w:eastAsia="Times New Roman" w:hint="default"/>
          <w:spacing w:val="-2"/>
        </w:rPr>
        <w:t>“</w:t>
      </w:r>
      <w:r>
        <w:rPr>
          <w:spacing w:val="-2"/>
        </w:rPr>
        <w:t>与时俱进，提高效能</w:t>
      </w:r>
      <w:r>
        <w:rPr>
          <w:rFonts w:ascii="Times New Roman" w:hAnsi="Times New Roman" w:cs="Times New Roman" w:eastAsia="Times New Roman" w:hint="default"/>
          <w:spacing w:val="-2"/>
        </w:rPr>
        <w:t>”</w:t>
      </w:r>
      <w:r>
        <w:rPr>
          <w:spacing w:val="-2"/>
        </w:rPr>
        <w:t>的原则，有计划地实施了设备提档升级改</w:t>
      </w:r>
    </w:p>
    <w:p>
      <w:pPr>
        <w:pStyle w:val="BodyText"/>
        <w:spacing w:line="316" w:lineRule="auto"/>
        <w:ind w:right="1129"/>
        <w:jc w:val="both"/>
      </w:pPr>
      <w:r>
        <w:rPr>
          <w:spacing w:val="-2"/>
        </w:rPr>
        <w:t>造。此次改造，既注重引进吸收新的技术和工艺，提高了装备自动化，促进了效能全面提升，又减少了操作人员，降低了劳</w:t>
      </w:r>
      <w:r>
        <w:rPr>
          <w:spacing w:val="-67"/>
        </w:rPr>
        <w:t> </w:t>
      </w:r>
      <w:r>
        <w:rPr>
          <w:spacing w:val="-67"/>
        </w:rPr>
      </w:r>
      <w:r>
        <w:rPr>
          <w:spacing w:val="-2"/>
        </w:rPr>
        <w:t>动强度，改善了作业环境，促进了节能降耗减排，基本满足生产高附加值产品的需求。由于是在未停产的情况下进行的，给</w:t>
      </w:r>
      <w:r>
        <w:rPr>
          <w:spacing w:val="-66"/>
        </w:rPr>
        <w:t> </w:t>
      </w:r>
      <w:r>
        <w:rPr>
          <w:spacing w:val="-66"/>
        </w:rPr>
      </w:r>
      <w:r>
        <w:rPr>
          <w:spacing w:val="-2"/>
        </w:rPr>
        <w:t>生产和改造工作带来很大的压力，特别是煤改气的改造，在缺少资料和技术的情况下，边摸索，边实践，在全体员工、特别</w:t>
      </w:r>
      <w:r>
        <w:rPr>
          <w:spacing w:val="-67"/>
        </w:rPr>
        <w:t> </w:t>
      </w:r>
      <w:r>
        <w:rPr>
          <w:spacing w:val="-67"/>
        </w:rPr>
      </w:r>
      <w:r>
        <w:rPr/>
        <w:t>是设备部的共同努力下，未耽误一份订单，未发生一起安全事故。</w:t>
      </w:r>
    </w:p>
    <w:p>
      <w:pPr>
        <w:pStyle w:val="BodyText"/>
        <w:spacing w:line="300" w:lineRule="auto" w:before="19"/>
        <w:ind w:right="1129" w:firstLine="360"/>
        <w:jc w:val="both"/>
      </w:pPr>
      <w:r>
        <w:rPr>
          <w:spacing w:val="-2"/>
        </w:rPr>
        <w:t>针对市场复杂多变、订单多而杂的情况，坚持定期召开产销衔接会议，特殊情况下甚至每日都</w:t>
      </w:r>
      <w:r>
        <w:rPr>
          <w:rFonts w:ascii="Times New Roman" w:hAnsi="Times New Roman" w:cs="Times New Roman" w:eastAsia="Times New Roman" w:hint="default"/>
          <w:spacing w:val="-2"/>
        </w:rPr>
        <w:t>“</w:t>
      </w:r>
      <w:r>
        <w:rPr>
          <w:spacing w:val="-2"/>
        </w:rPr>
        <w:t>碰单</w:t>
      </w:r>
      <w:r>
        <w:rPr>
          <w:rFonts w:ascii="Times New Roman" w:hAnsi="Times New Roman" w:cs="Times New Roman" w:eastAsia="Times New Roman" w:hint="default"/>
          <w:spacing w:val="-2"/>
        </w:rPr>
        <w:t>”</w:t>
      </w:r>
      <w:r>
        <w:rPr>
          <w:spacing w:val="-2"/>
        </w:rPr>
        <w:t>，一户一议，一单</w:t>
      </w:r>
      <w:r>
        <w:rPr/>
        <w:t> 一议，一品一议，针对不同用户、不同需求，及时调整产品结构，缩短交货周期。</w:t>
      </w:r>
    </w:p>
    <w:p>
      <w:pPr>
        <w:pStyle w:val="BodyText"/>
        <w:spacing w:line="300" w:lineRule="auto" w:before="31"/>
        <w:ind w:right="1133" w:firstLine="360"/>
        <w:jc w:val="both"/>
      </w:pPr>
      <w:r>
        <w:rPr>
          <w:spacing w:val="-4"/>
        </w:rPr>
        <w:t>抓好生产系统的绩效考核，加强对车间的产量、质量和安全以及消耗的考核，增强员工质量意识，对质量事故采取了</w:t>
      </w:r>
      <w:r>
        <w:rPr>
          <w:rFonts w:ascii="Times New Roman" w:hAnsi="Times New Roman" w:cs="Times New Roman" w:eastAsia="Times New Roman" w:hint="default"/>
          <w:spacing w:val="-4"/>
        </w:rPr>
        <w:t>“</w:t>
      </w:r>
      <w:r>
        <w:rPr>
          <w:spacing w:val="-4"/>
        </w:rPr>
        <w:t>四</w:t>
      </w:r>
      <w:r>
        <w:rPr/>
        <w:t> 不放过</w:t>
      </w:r>
      <w:r>
        <w:rPr>
          <w:rFonts w:ascii="Times New Roman" w:hAnsi="Times New Roman" w:cs="Times New Roman" w:eastAsia="Times New Roman" w:hint="default"/>
        </w:rPr>
        <w:t>”</w:t>
      </w:r>
      <w:r>
        <w:rPr/>
        <w:t>原则，对重点岗位、关键环节的管控施以特殊政策，奖优罚劣，促进整体管理水平的提高。各车间纷纷采取各种行 之有效的措施，加强考核，调动员工积极性，参与管理，使得在产能大幅增加的情况下，合格品率也不同程度有所提升。</w:t>
      </w:r>
    </w:p>
    <w:p>
      <w:pPr>
        <w:pStyle w:val="BodyText"/>
        <w:spacing w:line="316" w:lineRule="auto" w:before="32"/>
        <w:ind w:left="1493" w:right="0"/>
        <w:jc w:val="left"/>
      </w:pPr>
      <w:r>
        <w:rPr/>
        <w:t>二、不断加大投入，积极开展新技术推广应用和新产品研发 </w:t>
      </w:r>
      <w:r>
        <w:rPr>
          <w:spacing w:val="-2"/>
        </w:rPr>
        <w:t>与中国科学院等院校深入开展产学研活动，扩大合作范围，深化合作内容，借助外力，实施</w:t>
      </w:r>
      <w:r>
        <w:rPr>
          <w:rFonts w:ascii="Times New Roman" w:hAnsi="Times New Roman" w:cs="Times New Roman" w:eastAsia="Times New Roman" w:hint="default"/>
          <w:spacing w:val="-2"/>
        </w:rPr>
        <w:t>“</w:t>
      </w:r>
      <w:r>
        <w:rPr>
          <w:spacing w:val="-2"/>
        </w:rPr>
        <w:t>扬帆计划</w:t>
      </w:r>
      <w:r>
        <w:rPr>
          <w:rFonts w:ascii="Times New Roman" w:hAnsi="Times New Roman" w:cs="Times New Roman" w:eastAsia="Times New Roman" w:hint="default"/>
          <w:spacing w:val="-2"/>
        </w:rPr>
        <w:t>”</w:t>
      </w:r>
      <w:r>
        <w:rPr>
          <w:spacing w:val="-2"/>
        </w:rPr>
        <w:t>，依托先进的技</w:t>
      </w:r>
    </w:p>
    <w:p>
      <w:pPr>
        <w:pStyle w:val="BodyText"/>
        <w:spacing w:line="316" w:lineRule="auto"/>
        <w:ind w:right="1129"/>
        <w:jc w:val="both"/>
      </w:pPr>
      <w:r>
        <w:rPr>
          <w:spacing w:val="-2"/>
        </w:rPr>
        <w:t>术资源优势，借风扬帆，加大科技创新力度，先后请来了知名企业的化工工程、纺织、印染和后整理方面的专家、教授来公</w:t>
      </w:r>
      <w:r>
        <w:rPr>
          <w:spacing w:val="-68"/>
        </w:rPr>
        <w:t> </w:t>
      </w:r>
      <w:r>
        <w:rPr>
          <w:spacing w:val="-68"/>
        </w:rPr>
      </w:r>
      <w:r>
        <w:rPr>
          <w:spacing w:val="-2"/>
        </w:rPr>
        <w:t>司讲座、讲学；解决了树脂、无纺布和后整理以及汽车内饰材料方面的难点；把先进的理念和前沿的技术融入到启东项目的</w:t>
      </w:r>
      <w:r>
        <w:rPr>
          <w:spacing w:val="-66"/>
        </w:rPr>
        <w:t> </w:t>
      </w:r>
      <w:r>
        <w:rPr>
          <w:spacing w:val="-66"/>
        </w:rPr>
      </w:r>
      <w:r>
        <w:rPr/>
        <w:t>设计和工艺优化之中。</w:t>
      </w:r>
    </w:p>
    <w:p>
      <w:pPr>
        <w:pStyle w:val="BodyText"/>
        <w:spacing w:line="309" w:lineRule="auto" w:before="19"/>
        <w:ind w:right="1131" w:firstLine="360"/>
        <w:jc w:val="both"/>
      </w:pPr>
      <w:r>
        <w:rPr>
          <w:spacing w:val="-2"/>
        </w:rPr>
        <w:t>创新团队和人才队伍进一步得到锻炼和提高，科技创新能力不断增强，主动顺应市场变化，率先求变，设立了纺丝无纺</w:t>
      </w:r>
      <w:r>
        <w:rPr/>
        <w:t> </w:t>
      </w:r>
      <w:r>
        <w:rPr>
          <w:spacing w:val="-2"/>
        </w:rPr>
        <w:t>布、基布树脂、染色后整理和贴面四个专业研发组，既注重发挥研发人员的专业优势，又强调协同创新，提升了团队创新效</w:t>
      </w:r>
      <w:r>
        <w:rPr>
          <w:spacing w:val="-66"/>
        </w:rPr>
        <w:t> </w:t>
      </w:r>
      <w:r>
        <w:rPr>
          <w:spacing w:val="-66"/>
        </w:rPr>
      </w:r>
      <w:r>
        <w:rPr>
          <w:spacing w:val="-2"/>
        </w:rPr>
        <w:t>率。在绒面、贴面和树脂三大类的新产品开发研制中，共开发出定岛彩色绒面产品、高铁项目等</w:t>
      </w:r>
      <w:r>
        <w:rPr>
          <w:rFonts w:ascii="Times New Roman" w:hAnsi="Times New Roman" w:cs="Times New Roman" w:eastAsia="Times New Roman" w:hint="default"/>
          <w:spacing w:val="-2"/>
        </w:rPr>
        <w:t>32</w:t>
      </w:r>
      <w:r>
        <w:rPr>
          <w:spacing w:val="-2"/>
        </w:rPr>
        <w:t>项新产品，改进完善并解</w:t>
      </w:r>
      <w:r>
        <w:rPr>
          <w:spacing w:val="-63"/>
        </w:rPr>
        <w:t> </w:t>
      </w:r>
      <w:r>
        <w:rPr>
          <w:spacing w:val="-63"/>
        </w:rPr>
      </w:r>
      <w:r>
        <w:rPr>
          <w:spacing w:val="-2"/>
        </w:rPr>
        <w:t>决了鞋里革抗菌等</w:t>
      </w:r>
      <w:r>
        <w:rPr>
          <w:rFonts w:ascii="Times New Roman" w:hAnsi="Times New Roman" w:cs="Times New Roman" w:eastAsia="Times New Roman" w:hint="default"/>
          <w:spacing w:val="-2"/>
        </w:rPr>
        <w:t>13</w:t>
      </w:r>
      <w:r>
        <w:rPr>
          <w:spacing w:val="-2"/>
        </w:rPr>
        <w:t>项工艺和难题。汽车内饰超纤材料已成为多家汽车厂家的首选；编制了工艺配方</w:t>
      </w:r>
      <w:r>
        <w:rPr>
          <w:rFonts w:ascii="Times New Roman" w:hAnsi="Times New Roman" w:cs="Times New Roman" w:eastAsia="Times New Roman" w:hint="default"/>
          <w:spacing w:val="-2"/>
        </w:rPr>
        <w:t>46</w:t>
      </w:r>
      <w:r>
        <w:rPr>
          <w:spacing w:val="-2"/>
        </w:rPr>
        <w:t>项，获得了上海市专</w:t>
      </w:r>
      <w:r>
        <w:rPr>
          <w:spacing w:val="-62"/>
        </w:rPr>
        <w:t> </w:t>
      </w:r>
      <w:r>
        <w:rPr>
          <w:spacing w:val="-62"/>
        </w:rPr>
      </w:r>
      <w:r>
        <w:rPr/>
        <w:t>利试点单位荣誉，</w:t>
      </w:r>
      <w:r>
        <w:rPr>
          <w:rFonts w:ascii="Times New Roman" w:hAnsi="Times New Roman" w:cs="Times New Roman" w:eastAsia="Times New Roman" w:hint="default"/>
        </w:rPr>
        <w:t>“</w:t>
      </w:r>
      <w:r>
        <w:rPr/>
        <w:t>定岛超细纤维服装面料的质量攻关项目</w:t>
      </w:r>
      <w:r>
        <w:rPr>
          <w:rFonts w:ascii="Times New Roman" w:hAnsi="Times New Roman" w:cs="Times New Roman" w:eastAsia="Times New Roman" w:hint="default"/>
        </w:rPr>
        <w:t>”</w:t>
      </w:r>
      <w:r>
        <w:rPr/>
        <w:t>获得上海市质量振兴成果三等奖。</w:t>
      </w:r>
    </w:p>
    <w:p>
      <w:pPr>
        <w:pStyle w:val="BodyText"/>
        <w:spacing w:line="309" w:lineRule="auto" w:before="5"/>
        <w:ind w:right="1130" w:firstLine="360"/>
        <w:jc w:val="both"/>
      </w:pPr>
      <w:r>
        <w:rPr>
          <w:spacing w:val="-2"/>
        </w:rPr>
        <w:t>本年度申报专利</w:t>
      </w:r>
      <w:r>
        <w:rPr>
          <w:rFonts w:ascii="Times New Roman" w:hAnsi="Times New Roman" w:cs="Times New Roman" w:eastAsia="Times New Roman" w:hint="default"/>
          <w:spacing w:val="-2"/>
        </w:rPr>
        <w:t>11</w:t>
      </w:r>
      <w:r>
        <w:rPr>
          <w:spacing w:val="-2"/>
        </w:rPr>
        <w:t>项，获得授权</w:t>
      </w:r>
      <w:r>
        <w:rPr>
          <w:rFonts w:ascii="Times New Roman" w:hAnsi="Times New Roman" w:cs="Times New Roman" w:eastAsia="Times New Roman" w:hint="default"/>
          <w:spacing w:val="-2"/>
        </w:rPr>
        <w:t>7</w:t>
      </w:r>
      <w:r>
        <w:rPr>
          <w:spacing w:val="-2"/>
        </w:rPr>
        <w:t>项，累计拥有专利</w:t>
      </w:r>
      <w:r>
        <w:rPr>
          <w:rFonts w:ascii="Times New Roman" w:hAnsi="Times New Roman" w:cs="Times New Roman" w:eastAsia="Times New Roman" w:hint="default"/>
          <w:spacing w:val="-2"/>
        </w:rPr>
        <w:t>35</w:t>
      </w:r>
      <w:r>
        <w:rPr>
          <w:spacing w:val="-2"/>
        </w:rPr>
        <w:t>项（其中：发明专利</w:t>
      </w:r>
      <w:r>
        <w:rPr>
          <w:rFonts w:ascii="Times New Roman" w:hAnsi="Times New Roman" w:cs="Times New Roman" w:eastAsia="Times New Roman" w:hint="default"/>
          <w:spacing w:val="-2"/>
        </w:rPr>
        <w:t>26</w:t>
      </w:r>
      <w:r>
        <w:rPr>
          <w:spacing w:val="-2"/>
        </w:rPr>
        <w:t>项、实用新型专利</w:t>
      </w:r>
      <w:r>
        <w:rPr>
          <w:rFonts w:ascii="Times New Roman" w:hAnsi="Times New Roman" w:cs="Times New Roman" w:eastAsia="Times New Roman" w:hint="default"/>
          <w:spacing w:val="-2"/>
        </w:rPr>
        <w:t>9</w:t>
      </w:r>
      <w:r>
        <w:rPr>
          <w:spacing w:val="-2"/>
        </w:rPr>
        <w:t>项），被认定为上海市</w:t>
      </w:r>
      <w:r>
        <w:rPr/>
        <w:t> 专利工作试点企业；主持并参与制定了《人造革合成革试验方法</w:t>
      </w:r>
      <w:r>
        <w:rPr>
          <w:spacing w:val="-41"/>
        </w:rPr>
        <w:t> </w:t>
      </w:r>
      <w:r>
        <w:rPr/>
        <w:t>颜色迁移性的测定》、《人造革合成革试验方法</w:t>
      </w:r>
      <w:r>
        <w:rPr>
          <w:spacing w:val="-41"/>
        </w:rPr>
        <w:t> </w:t>
      </w:r>
      <w:r>
        <w:rPr/>
        <w:t>二甲基甲</w:t>
      </w:r>
      <w:r>
        <w:rPr/>
        <w:t> </w:t>
      </w:r>
      <w:r>
        <w:rPr>
          <w:spacing w:val="-3"/>
        </w:rPr>
        <w:t>酰胺含量的测定》、《人造革合成革试验防范</w:t>
      </w:r>
      <w:r>
        <w:rPr>
          <w:spacing w:val="11"/>
        </w:rPr>
        <w:t> </w:t>
      </w:r>
      <w:r>
        <w:rPr>
          <w:rFonts w:ascii="Times New Roman" w:hAnsi="Times New Roman" w:cs="Times New Roman" w:eastAsia="Times New Roman" w:hint="default"/>
          <w:spacing w:val="-4"/>
        </w:rPr>
        <w:t>N-</w:t>
      </w:r>
      <w:r>
        <w:rPr>
          <w:spacing w:val="-4"/>
        </w:rPr>
        <w:t>甲基吡咯烷酮含量的测定》、《家具用定岛超细纤维聚氨酯合成革》、《手</w:t>
      </w:r>
      <w:r>
        <w:rPr>
          <w:spacing w:val="-86"/>
        </w:rPr>
        <w:t> </w:t>
      </w:r>
      <w:r>
        <w:rPr>
          <w:spacing w:val="-86"/>
        </w:rPr>
      </w:r>
      <w:r>
        <w:rPr>
          <w:spacing w:val="-2"/>
        </w:rPr>
        <w:t>套用聚氨酯合成革》、《轨道车辆用聚氯乙烯人造革》、《服装用聚氨酯定岛型超细纤维合成革》、《内墙装饰用超细纤维</w:t>
      </w:r>
      <w:r>
        <w:rPr>
          <w:spacing w:val="-69"/>
        </w:rPr>
        <w:t> </w:t>
      </w:r>
      <w:r>
        <w:rPr>
          <w:spacing w:val="-69"/>
        </w:rPr>
      </w:r>
      <w:r>
        <w:rPr/>
        <w:t>聚氨酯壁革》等八项标准的制定。</w:t>
      </w:r>
    </w:p>
    <w:p>
      <w:pPr>
        <w:pStyle w:val="BodyText"/>
        <w:spacing w:line="316" w:lineRule="auto" w:before="24"/>
        <w:ind w:left="1494" w:right="0"/>
        <w:jc w:val="left"/>
      </w:pPr>
      <w:r>
        <w:rPr/>
        <w:t>三、及时调整营销策略，灵活应对市场变化 </w:t>
      </w:r>
      <w:r>
        <w:rPr>
          <w:spacing w:val="-4"/>
        </w:rPr>
        <w:t>在不断发展变化的超纤市场中，密切关注市场动向，握住先机，主动顺应市场的需求与变化。针对福建超纤市场的变化，</w:t>
      </w:r>
    </w:p>
    <w:p>
      <w:pPr>
        <w:pStyle w:val="BodyText"/>
        <w:spacing w:line="319" w:lineRule="auto" w:before="19"/>
        <w:ind w:left="1134" w:right="1032"/>
        <w:jc w:val="left"/>
      </w:pPr>
      <w:r>
        <w:rPr>
          <w:spacing w:val="-2"/>
        </w:rPr>
        <w:t>果断调整营销策略，一方面加大基布、沙发革、汽车革和仿真皮等的开发力度；另一方面巩固核心客户，扩大粤、苏、鲁市</w:t>
      </w:r>
      <w:r>
        <w:rPr>
          <w:spacing w:val="-72"/>
        </w:rPr>
        <w:t> </w:t>
      </w:r>
      <w:r>
        <w:rPr>
          <w:spacing w:val="-72"/>
        </w:rPr>
      </w:r>
      <w:r>
        <w:rPr/>
        <w:t>场份额，深入挖掘汽车内饰、定岛品种等新产品的市场潜力，确保增量，抑制传统市场的下滑。通过整合资源，形成采购、 </w:t>
      </w:r>
      <w:r>
        <w:rPr>
          <w:spacing w:val="-2"/>
        </w:rPr>
        <w:t>技术、质量和生产、销售一条龙协调机制，每周定期召开营销例会，通报信息，制定措施，压缩交期；特殊时期或重点产品</w:t>
      </w:r>
      <w:r>
        <w:rPr>
          <w:spacing w:val="-72"/>
        </w:rPr>
        <w:t> </w:t>
      </w:r>
      <w:r>
        <w:rPr>
          <w:spacing w:val="-72"/>
        </w:rPr>
      </w:r>
      <w:r>
        <w:rPr/>
        <w:t>做到一事一议，特事特办。</w:t>
      </w:r>
    </w:p>
    <w:p>
      <w:pPr>
        <w:pStyle w:val="BodyText"/>
        <w:spacing w:line="240" w:lineRule="auto" w:before="17"/>
        <w:ind w:left="1494" w:right="0"/>
        <w:jc w:val="left"/>
      </w:pPr>
      <w:r>
        <w:rPr/>
        <w:t>实施多点开花，根据不同地区的不同产业布局特点，调整产品结构，开发出适销对路的新产品。采取有力措施，重点跟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3"/>
        <w:jc w:val="left"/>
      </w:pPr>
      <w:r>
        <w:rPr/>
        <w:t>踪、定期走访。与奋力开创营销工作的新局面，不断拓宽新的领域和市场，取得了海关高级认证</w:t>
      </w:r>
      <w:r>
        <w:rPr>
          <w:rFonts w:ascii="Times New Roman" w:hAnsi="Times New Roman" w:cs="Times New Roman" w:eastAsia="Times New Roman" w:hint="default"/>
        </w:rPr>
        <w:t>AA</w:t>
      </w:r>
      <w:r>
        <w:rPr/>
        <w:t>证书，外贸市场的开拓 与开发，对完成全年的销售任务给予了强有力的支持。</w:t>
      </w:r>
    </w:p>
    <w:p>
      <w:pPr>
        <w:pStyle w:val="BodyText"/>
        <w:spacing w:line="316" w:lineRule="auto" w:before="31"/>
        <w:ind w:left="1493" w:right="0"/>
        <w:jc w:val="left"/>
      </w:pPr>
      <w:r>
        <w:rPr/>
        <w:t>四、真抓严管，全面保障安全生产和产品质量 </w:t>
      </w:r>
      <w:r>
        <w:rPr>
          <w:spacing w:val="-2"/>
        </w:rPr>
        <w:t>在国家加强对环保、安全生产管理的大环境下，公司整体安全意识、环保意识前所未有地得到了提高。公司进一步加强</w:t>
      </w:r>
    </w:p>
    <w:p>
      <w:pPr>
        <w:pStyle w:val="BodyText"/>
        <w:spacing w:line="316" w:lineRule="auto" w:before="19"/>
        <w:ind w:right="0"/>
        <w:jc w:val="left"/>
      </w:pPr>
      <w:r>
        <w:rPr>
          <w:spacing w:val="-2"/>
        </w:rPr>
        <w:t>对应急指挥系统的管理和应用，运用现代化视频监控系统对各车间、岗位实施全天候的管理和监控，及时处置突发事件，助</w:t>
      </w:r>
      <w:r>
        <w:rPr>
          <w:spacing w:val="-66"/>
        </w:rPr>
        <w:t> </w:t>
      </w:r>
      <w:r>
        <w:rPr>
          <w:spacing w:val="-66"/>
        </w:rPr>
      </w:r>
      <w:r>
        <w:rPr/>
        <w:t>推安全和生产、质量管理的全面提升。</w:t>
      </w:r>
    </w:p>
    <w:p>
      <w:pPr>
        <w:pStyle w:val="BodyText"/>
        <w:spacing w:line="300" w:lineRule="auto" w:before="19"/>
        <w:ind w:right="0" w:firstLine="360"/>
        <w:jc w:val="left"/>
      </w:pPr>
      <w:r>
        <w:rPr>
          <w:spacing w:val="-1"/>
        </w:rPr>
        <w:t>以</w:t>
      </w:r>
      <w:r>
        <w:rPr>
          <w:rFonts w:ascii="Times New Roman" w:hAnsi="Times New Roman" w:cs="Times New Roman" w:eastAsia="Times New Roman" w:hint="default"/>
          <w:spacing w:val="-1"/>
        </w:rPr>
        <w:t>TS16949</w:t>
      </w:r>
      <w:r>
        <w:rPr>
          <w:spacing w:val="-1"/>
        </w:rPr>
        <w:t>管理体系为内容，以质量月活动为形式，质量工作的重点从专业人员的事后检验型向全员、全过程品质把控</w:t>
      </w:r>
      <w:r>
        <w:rPr/>
        <w:t> 过渡，坚持原燃料、过程产品直至最终成品全程检验把关，促进工作质量和产品质量的提升。</w:t>
      </w:r>
    </w:p>
    <w:p>
      <w:pPr>
        <w:pStyle w:val="BodyText"/>
        <w:spacing w:line="316" w:lineRule="auto" w:before="31"/>
        <w:ind w:left="1493" w:right="1118"/>
        <w:jc w:val="left"/>
      </w:pPr>
      <w:r>
        <w:rPr/>
        <w:t>五、抓好精细化管理，丰富管理创新内容 </w:t>
      </w:r>
      <w:r>
        <w:rPr>
          <w:spacing w:val="-1"/>
        </w:rPr>
        <w:t>克服订单多、品种多和设备改造带来的困难，科学调度，精心组织，合理调整库存</w:t>
      </w:r>
      <w:r>
        <w:rPr>
          <w:rFonts w:ascii="Times New Roman" w:hAnsi="Times New Roman" w:cs="Times New Roman" w:eastAsia="Times New Roman" w:hint="default"/>
          <w:spacing w:val="-1"/>
        </w:rPr>
        <w:t>,</w:t>
      </w:r>
      <w:r>
        <w:rPr>
          <w:spacing w:val="-1"/>
        </w:rPr>
        <w:t>压缩交期</w:t>
      </w:r>
      <w:r>
        <w:rPr>
          <w:rFonts w:ascii="Times New Roman" w:hAnsi="Times New Roman" w:cs="Times New Roman" w:eastAsia="Times New Roman" w:hint="default"/>
          <w:spacing w:val="-1"/>
        </w:rPr>
        <w:t>,</w:t>
      </w:r>
      <w:r>
        <w:rPr>
          <w:spacing w:val="-1"/>
        </w:rPr>
        <w:t>订单交付率</w:t>
      </w:r>
      <w:r>
        <w:rPr>
          <w:rFonts w:ascii="Times New Roman" w:hAnsi="Times New Roman" w:cs="Times New Roman" w:eastAsia="Times New Roman" w:hint="default"/>
          <w:spacing w:val="-1"/>
        </w:rPr>
        <w:t>100%</w:t>
      </w:r>
      <w:r>
        <w:rPr>
          <w:spacing w:val="-1"/>
        </w:rPr>
        <w:t>。加强绩</w:t>
      </w:r>
    </w:p>
    <w:p>
      <w:pPr>
        <w:pStyle w:val="BodyText"/>
        <w:spacing w:line="316" w:lineRule="auto"/>
        <w:ind w:right="0"/>
        <w:jc w:val="left"/>
      </w:pPr>
      <w:r>
        <w:rPr>
          <w:spacing w:val="-4"/>
        </w:rPr>
        <w:t>效管理和绩效考核，坚持以激励为主，奖优罚劣。各车间结合实际，开动脑筋，集思广益，将工作责任具体化，明确到班组，</w:t>
      </w:r>
      <w:r>
        <w:rPr>
          <w:spacing w:val="-47"/>
        </w:rPr>
        <w:t> </w:t>
      </w:r>
      <w:r>
        <w:rPr>
          <w:spacing w:val="-47"/>
        </w:rPr>
      </w:r>
      <w:r>
        <w:rPr/>
        <w:t>大家工作尽职尽责，实施精细化管理，从细节入手抓质量、抓降耗。</w:t>
      </w:r>
    </w:p>
    <w:p>
      <w:pPr>
        <w:pStyle w:val="BodyText"/>
        <w:spacing w:line="309" w:lineRule="auto" w:before="19"/>
        <w:ind w:right="0" w:firstLine="360"/>
        <w:jc w:val="left"/>
      </w:pPr>
      <w:r>
        <w:rPr>
          <w:spacing w:val="-4"/>
        </w:rPr>
        <w:t>节能降耗减排改造达到了前所未有的力度。自我消化各种不利因素，通过淘汰落后的染色设备、优化纺丝和减量等工艺，</w:t>
      </w:r>
      <w:r>
        <w:rPr/>
        <w:t> </w:t>
      </w:r>
      <w:r>
        <w:rPr>
          <w:spacing w:val="-2"/>
        </w:rPr>
        <w:t>以及科学核定岗位，压缩人员，努力降低成本。此外，还加强了对水、电、汽、导热油等指标的考核，严格控制废丝、布边</w:t>
      </w:r>
      <w:r>
        <w:rPr>
          <w:spacing w:val="-69"/>
        </w:rPr>
        <w:t> </w:t>
      </w:r>
      <w:r>
        <w:rPr>
          <w:spacing w:val="-69"/>
        </w:rPr>
      </w:r>
      <w:r>
        <w:rPr>
          <w:spacing w:val="-4"/>
        </w:rPr>
        <w:t>和砂纸等的消耗指标，提高染色的一次合格率，通过采用河水和增加水的循环使用，水的单耗也降低了</w:t>
      </w:r>
      <w:r>
        <w:rPr>
          <w:rFonts w:ascii="Times New Roman" w:hAnsi="Times New Roman" w:cs="Times New Roman" w:eastAsia="Times New Roman" w:hint="default"/>
          <w:spacing w:val="-4"/>
        </w:rPr>
        <w:t>14.2%</w:t>
      </w:r>
      <w:r>
        <w:rPr>
          <w:spacing w:val="-4"/>
        </w:rPr>
        <w:t>。按照</w:t>
      </w:r>
      <w:r>
        <w:rPr>
          <w:rFonts w:ascii="Times New Roman" w:hAnsi="Times New Roman" w:cs="Times New Roman" w:eastAsia="Times New Roman" w:hint="default"/>
          <w:spacing w:val="-4"/>
        </w:rPr>
        <w:t>ISO14001</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和</w:t>
      </w:r>
      <w:r>
        <w:rPr>
          <w:rFonts w:ascii="Times New Roman" w:hAnsi="Times New Roman" w:cs="Times New Roman" w:eastAsia="Times New Roman" w:hint="default"/>
        </w:rPr>
        <w:t>OHSAS18001</w:t>
      </w:r>
      <w:r>
        <w:rPr/>
        <w:t>体系的要求，强化安全生产和环境保护工作，实行安全生产风险抵押金，确保生产顺利进行，全年未发生重 大火灾、泄露和伤亡及群体性事件。</w:t>
      </w:r>
    </w:p>
    <w:p>
      <w:pPr>
        <w:pStyle w:val="BodyText"/>
        <w:spacing w:line="316" w:lineRule="auto" w:before="24"/>
        <w:ind w:left="1494" w:right="1212"/>
        <w:jc w:val="left"/>
        <w:rPr>
          <w:rFonts w:ascii="Times New Roman" w:hAnsi="Times New Roman" w:cs="Times New Roman" w:eastAsia="Times New Roman" w:hint="default"/>
        </w:rPr>
      </w:pPr>
      <w:r>
        <w:rPr/>
        <w:t>六、全面推进江苏启东生产基地建设 为紧抓超纤市场复苏的机遇，扩大市场占有率，为股东创造更大的利益，公司董事会决定在江苏启东市新建年产</w:t>
      </w:r>
      <w:r>
        <w:rPr>
          <w:rFonts w:ascii="Times New Roman" w:hAnsi="Times New Roman" w:cs="Times New Roman" w:eastAsia="Times New Roman" w:hint="default"/>
        </w:rPr>
        <w:t>7500</w:t>
      </w:r>
    </w:p>
    <w:p>
      <w:pPr>
        <w:pStyle w:val="BodyText"/>
        <w:spacing w:line="307" w:lineRule="auto"/>
        <w:ind w:right="1030"/>
        <w:jc w:val="left"/>
      </w:pPr>
      <w:r>
        <w:rPr>
          <w:spacing w:val="-2"/>
        </w:rPr>
        <w:t>万米产业用非织造布超纤材料项目，并为此设立了江苏华峰超纤材料有限公司以及收购江苏华峰化学有限公司作为项目顺利</w:t>
      </w:r>
      <w:r>
        <w:rPr>
          <w:spacing w:val="-64"/>
        </w:rPr>
        <w:t> </w:t>
      </w:r>
      <w:r>
        <w:rPr>
          <w:spacing w:val="-64"/>
        </w:rPr>
      </w:r>
      <w:r>
        <w:rPr>
          <w:spacing w:val="-3"/>
        </w:rPr>
        <w:t>实施的保障。</w:t>
      </w:r>
      <w:r>
        <w:rPr>
          <w:rFonts w:ascii="Times New Roman" w:hAnsi="Times New Roman" w:cs="Times New Roman" w:eastAsia="Times New Roman" w:hint="default"/>
          <w:spacing w:val="-3"/>
        </w:rPr>
        <w:t>2015</w:t>
      </w:r>
      <w:r>
        <w:rPr>
          <w:spacing w:val="-3"/>
        </w:rPr>
        <w:t>年，公司高标准、严要求推进江苏华峰超纤</w:t>
      </w:r>
      <w:r>
        <w:rPr>
          <w:rFonts w:ascii="Times New Roman" w:hAnsi="Times New Roman" w:cs="Times New Roman" w:eastAsia="Times New Roman" w:hint="default"/>
          <w:spacing w:val="-3"/>
        </w:rPr>
        <w:t>7500</w:t>
      </w:r>
      <w:r>
        <w:rPr>
          <w:spacing w:val="-3"/>
        </w:rPr>
        <w:t>万米超纤项目的实施，严格规范管理，控制工程总体造价，</w:t>
      </w:r>
      <w:r>
        <w:rPr>
          <w:spacing w:val="-87"/>
        </w:rPr>
        <w:t> </w:t>
      </w:r>
      <w:r>
        <w:rPr>
          <w:spacing w:val="-87"/>
        </w:rPr>
      </w:r>
      <w:r>
        <w:rPr/>
        <w:t>加强内外审计监督，倾力打造精品工程，树立标杆项目，采取</w:t>
      </w:r>
      <w:r>
        <w:rPr>
          <w:rFonts w:ascii="Times New Roman" w:hAnsi="Times New Roman" w:cs="Times New Roman" w:eastAsia="Times New Roman" w:hint="default"/>
        </w:rPr>
        <w:t>“</w:t>
      </w:r>
      <w:r>
        <w:rPr/>
        <w:t>全方位、全天候、立体交叉</w:t>
      </w:r>
      <w:r>
        <w:rPr>
          <w:rFonts w:ascii="Times New Roman" w:hAnsi="Times New Roman" w:cs="Times New Roman" w:eastAsia="Times New Roman" w:hint="default"/>
        </w:rPr>
        <w:t>”</w:t>
      </w:r>
      <w:r>
        <w:rPr/>
        <w:t>的作业方法，创造了</w:t>
      </w:r>
      <w:r>
        <w:rPr>
          <w:rFonts w:ascii="Times New Roman" w:hAnsi="Times New Roman" w:cs="Times New Roman" w:eastAsia="Times New Roman" w:hint="default"/>
        </w:rPr>
        <w:t>“</w:t>
      </w:r>
      <w:r>
        <w:rPr/>
        <w:t>零工伤、 零事故</w:t>
      </w:r>
      <w:r>
        <w:rPr>
          <w:rFonts w:ascii="Times New Roman" w:hAnsi="Times New Roman" w:cs="Times New Roman" w:eastAsia="Times New Roman" w:hint="default"/>
        </w:rPr>
        <w:t>”</w:t>
      </w:r>
      <w:r>
        <w:rPr/>
        <w:t>的佳绩，完成了建筑面积</w:t>
      </w:r>
      <w:r>
        <w:rPr>
          <w:rFonts w:ascii="Times New Roman" w:hAnsi="Times New Roman" w:cs="Times New Roman" w:eastAsia="Times New Roman" w:hint="default"/>
        </w:rPr>
        <w:t>25.33</w:t>
      </w:r>
      <w:r>
        <w:rPr/>
        <w:t>万㎡工程建设任务。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left="1134"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25"/>
        <w:jc w:val="left"/>
      </w:pPr>
      <w:r>
        <w:rPr>
          <w:spacing w:val="-2"/>
        </w:rPr>
        <w:t>公司</w:t>
      </w:r>
      <w:r>
        <w:rPr>
          <w:rFonts w:ascii="Times New Roman" w:hAnsi="Times New Roman" w:cs="Times New Roman" w:eastAsia="Times New Roman" w:hint="default"/>
          <w:spacing w:val="-2"/>
        </w:rPr>
        <w:t>2015</w:t>
      </w:r>
      <w:r>
        <w:rPr>
          <w:spacing w:val="-2"/>
        </w:rPr>
        <w:t>年实现营业收入</w:t>
      </w:r>
      <w:r>
        <w:rPr>
          <w:rFonts w:ascii="Times New Roman" w:hAnsi="Times New Roman" w:cs="Times New Roman" w:eastAsia="Times New Roman" w:hint="default"/>
          <w:spacing w:val="-2"/>
        </w:rPr>
        <w:t>1,136,957,949.60</w:t>
      </w:r>
      <w:r>
        <w:rPr>
          <w:spacing w:val="-2"/>
        </w:rPr>
        <w:t>元，同比增长</w:t>
      </w:r>
      <w:r>
        <w:rPr>
          <w:rFonts w:ascii="Times New Roman" w:hAnsi="Times New Roman" w:cs="Times New Roman" w:eastAsia="Times New Roman" w:hint="default"/>
          <w:spacing w:val="-2"/>
        </w:rPr>
        <w:t>17.17%</w:t>
      </w:r>
      <w:r>
        <w:rPr>
          <w:spacing w:val="-2"/>
        </w:rPr>
        <w:t>，由于四季度实施了清洁能源改造，造成成本上升，全年</w:t>
      </w:r>
      <w:r>
        <w:rPr/>
        <w:t> 实现净利润</w:t>
      </w:r>
      <w:r>
        <w:rPr>
          <w:rFonts w:ascii="Times New Roman" w:hAnsi="Times New Roman" w:cs="Times New Roman" w:eastAsia="Times New Roman" w:hint="default"/>
        </w:rPr>
        <w:t>118,936,497.53</w:t>
      </w:r>
      <w:r>
        <w:rPr/>
        <w:t>元，同比增长</w:t>
      </w:r>
      <w:r>
        <w:rPr>
          <w:rFonts w:ascii="Times New Roman" w:hAnsi="Times New Roman" w:cs="Times New Roman" w:eastAsia="Times New Roman" w:hint="default"/>
        </w:rPr>
        <w:t>2.98%</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1,136,957,949.60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970,313,107.92</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1,136,957,949.60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970,313,107.92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w:t>
            </w:r>
          </w:p>
        </w:tc>
      </w:tr>
      <w:tr>
        <w:trPr>
          <w:trHeight w:val="402"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372,810,485.79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295,377,553.70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379,099,859.70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380,784,965.37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329,626,560.21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235,009,022.12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55,421,043.90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59,141,566.73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905,157,752.78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749,714,366.61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231,800,196.82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220,598,741.31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1,081,536,905.70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788,393,809.82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372,810,485.79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316,533,087.91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379,099,859.70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264,011,390.65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329,626,560.21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207,849,331.26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849,736,708.88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665,720,260.38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超纤国外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231,800,196.82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122,673,549.44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1,136,957,949.6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970,313,107.92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1,159,723,284.09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967,701,498.18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19.84%</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85,970,644.11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65,942,599.93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30.37%</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5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随着公司产品种类日趋复杂，公司半成品和产成品的库存量小幅增加。</w:t>
      </w:r>
    </w:p>
    <w:p>
      <w:pPr>
        <w:spacing w:after="0" w:line="33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511,693,844.35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496,606,006.12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燃动费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122,074,651.13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94,064,843.67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51,877,758.31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42,346,794.79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超纤产品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96,574,514.10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71,587,925.97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34.90%</w:t>
            </w:r>
          </w:p>
        </w:tc>
      </w:tr>
    </w:tbl>
    <w:p>
      <w:pPr>
        <w:pStyle w:val="BodyText"/>
        <w:spacing w:line="240" w:lineRule="auto" w:before="51"/>
        <w:ind w:left="1134" w:right="0"/>
        <w:jc w:val="left"/>
      </w:pPr>
      <w:r>
        <w:rPr/>
        <w:t>说明</w:t>
      </w:r>
    </w:p>
    <w:p>
      <w:pPr>
        <w:pStyle w:val="BodyText"/>
        <w:spacing w:line="300" w:lineRule="auto" w:before="115"/>
        <w:ind w:right="0" w:firstLine="360"/>
        <w:jc w:val="left"/>
      </w:pPr>
      <w:r>
        <w:rPr>
          <w:spacing w:val="-2"/>
        </w:rPr>
        <w:t>由于公司产品日趋复杂，深加工环节增多，造成燃动费、直接人工和制造费用的比重上升，另外公司</w:t>
      </w:r>
      <w:r>
        <w:rPr>
          <w:rFonts w:ascii="Times New Roman" w:hAnsi="Times New Roman" w:cs="Times New Roman" w:eastAsia="Times New Roman" w:hint="default"/>
          <w:spacing w:val="-2"/>
        </w:rPr>
        <w:t>2015</w:t>
      </w:r>
      <w:r>
        <w:rPr>
          <w:spacing w:val="-2"/>
        </w:rPr>
        <w:t>年第四季度实</w:t>
      </w:r>
      <w:r>
        <w:rPr/>
        <w:t> 施了清洁能源改造，燃动力成本增加，也增加了燃动费在营业成本中的比重。</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226,996,713.13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19.97%</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85,171,351.79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44,621,017.52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35,986,447.63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30,630,459.63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30,587,436.56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226,996,713.13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19.97%</w:t>
            </w:r>
          </w:p>
        </w:tc>
      </w:tr>
    </w:tbl>
    <w:p>
      <w:pPr>
        <w:pStyle w:val="BodyText"/>
        <w:spacing w:line="240" w:lineRule="auto" w:before="51"/>
        <w:ind w:left="1134" w:right="0"/>
        <w:jc w:val="left"/>
      </w:pPr>
      <w:r>
        <w:rPr/>
        <w:t>公司主要供应商情况</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281,922,089.48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80,083,830.86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64,927,179.49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57,124,658.43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40,416,851.11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39,369,569.59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281,922,089.48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29,156,875.77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25,777,310.56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13.11%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133,226,748.26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110,370,213.91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-756,777.13</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-3,237,699.13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支付银行贷款利息，财务费用增加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129" w:firstLine="480"/>
        <w:jc w:val="both"/>
      </w:pPr>
      <w:r>
        <w:rPr>
          <w:rFonts w:ascii="宋体" w:hAnsi="宋体" w:cs="宋体" w:eastAsia="宋体" w:hint="default"/>
          <w:spacing w:val="-1"/>
        </w:rPr>
        <w:t>2015</w:t>
      </w:r>
      <w:r>
        <w:rPr>
          <w:spacing w:val="-1"/>
        </w:rPr>
        <w:t>年，为顺应市场变化，率先求变，满足汽车、动车组列车、定岛、外贸等高端客户的产品开发需求，改善鞋里革</w:t>
      </w:r>
      <w:r>
        <w:rPr/>
        <w:t> </w:t>
      </w:r>
      <w:r>
        <w:rPr>
          <w:spacing w:val="-2"/>
        </w:rPr>
        <w:t>抗菌等工艺，公司大幅增加研发投入和加快新产品开发速度。</w:t>
      </w:r>
      <w:r>
        <w:rPr>
          <w:rFonts w:ascii="宋体" w:hAnsi="宋体" w:cs="宋体" w:eastAsia="宋体" w:hint="default"/>
          <w:spacing w:val="-2"/>
        </w:rPr>
        <w:t>2015</w:t>
      </w:r>
      <w:r>
        <w:rPr>
          <w:spacing w:val="-2"/>
        </w:rPr>
        <w:t>年公司共申请专利</w:t>
      </w:r>
      <w:r>
        <w:rPr>
          <w:rFonts w:ascii="宋体" w:hAnsi="宋体" w:cs="宋体" w:eastAsia="宋体" w:hint="default"/>
          <w:spacing w:val="-2"/>
        </w:rPr>
        <w:t>11</w:t>
      </w:r>
      <w:r>
        <w:rPr>
          <w:spacing w:val="-2"/>
        </w:rPr>
        <w:t>项（其中发明专利申请</w:t>
      </w:r>
      <w:r>
        <w:rPr>
          <w:rFonts w:ascii="宋体" w:hAnsi="宋体" w:cs="宋体" w:eastAsia="宋体" w:hint="default"/>
          <w:spacing w:val="-2"/>
        </w:rPr>
        <w:t>10</w:t>
      </w:r>
      <w:r>
        <w:rPr>
          <w:spacing w:val="-2"/>
        </w:rPr>
        <w:t>项，实用新</w:t>
      </w:r>
      <w:r>
        <w:rPr>
          <w:spacing w:val="-57"/>
        </w:rPr>
        <w:t> </w:t>
      </w:r>
      <w:r>
        <w:rPr>
          <w:spacing w:val="-57"/>
        </w:rPr>
      </w:r>
      <w:r>
        <w:rPr/>
        <w:t>型专利申请</w:t>
      </w:r>
      <w:r>
        <w:rPr>
          <w:rFonts w:ascii="宋体" w:hAnsi="宋体" w:cs="宋体" w:eastAsia="宋体" w:hint="default"/>
        </w:rPr>
        <w:t>1</w:t>
      </w:r>
      <w:r>
        <w:rPr/>
        <w:t>项）。共获得授权</w:t>
      </w:r>
      <w:r>
        <w:rPr>
          <w:rFonts w:ascii="宋体" w:hAnsi="宋体" w:cs="宋体" w:eastAsia="宋体" w:hint="default"/>
        </w:rPr>
        <w:t>7</w:t>
      </w:r>
      <w:r>
        <w:rPr/>
        <w:t>项（全部为发明专利）。截至</w:t>
      </w:r>
      <w:r>
        <w:rPr>
          <w:rFonts w:ascii="宋体" w:hAnsi="宋体" w:cs="宋体" w:eastAsia="宋体" w:hint="default"/>
        </w:rPr>
        <w:t>2015</w:t>
      </w:r>
      <w:r>
        <w:rPr/>
        <w:t>年底，公司共自主申请专利</w:t>
      </w:r>
      <w:r>
        <w:rPr>
          <w:rFonts w:ascii="宋体" w:hAnsi="宋体" w:cs="宋体" w:eastAsia="宋体" w:hint="default"/>
        </w:rPr>
        <w:t>69</w:t>
      </w:r>
      <w:r>
        <w:rPr/>
        <w:t>项（其中发明专利申请</w:t>
      </w:r>
      <w:r>
        <w:rPr>
          <w:rFonts w:ascii="宋体" w:hAnsi="宋体" w:cs="宋体" w:eastAsia="宋体" w:hint="default"/>
        </w:rPr>
        <w:t>49 </w:t>
      </w:r>
      <w:r>
        <w:rPr/>
        <w:t>项），共授权</w:t>
      </w:r>
      <w:r>
        <w:rPr>
          <w:rFonts w:ascii="宋体" w:hAnsi="宋体" w:cs="宋体" w:eastAsia="宋体" w:hint="default"/>
        </w:rPr>
        <w:t>45</w:t>
      </w:r>
      <w:r>
        <w:rPr/>
        <w:t>项（其中：</w:t>
      </w:r>
      <w:r>
        <w:rPr>
          <w:rFonts w:ascii="宋体" w:hAnsi="宋体" w:cs="宋体" w:eastAsia="宋体" w:hint="default"/>
        </w:rPr>
        <w:t>1</w:t>
      </w:r>
      <w:r>
        <w:rPr/>
        <w:t>项发明和</w:t>
      </w:r>
      <w:r>
        <w:rPr>
          <w:rFonts w:ascii="宋体" w:hAnsi="宋体" w:cs="宋体" w:eastAsia="宋体" w:hint="default"/>
        </w:rPr>
        <w:t>7</w:t>
      </w:r>
      <w:r>
        <w:rPr/>
        <w:t>项外观主动终止，</w:t>
      </w:r>
      <w:r>
        <w:rPr>
          <w:rFonts w:ascii="宋体" w:hAnsi="宋体" w:cs="宋体" w:eastAsia="宋体" w:hint="default"/>
        </w:rPr>
        <w:t>2</w:t>
      </w:r>
      <w:r>
        <w:rPr/>
        <w:t>项实用新型到期终止）；公司共拥有自主知识产权的授权专利数</w:t>
      </w:r>
      <w:r>
        <w:rPr>
          <w:spacing w:val="-83"/>
        </w:rPr>
        <w:t> </w:t>
      </w:r>
      <w:r>
        <w:rPr>
          <w:spacing w:val="-83"/>
        </w:rPr>
      </w:r>
      <w:r>
        <w:rPr/>
        <w:t>量已经达到了</w:t>
      </w:r>
      <w:r>
        <w:rPr>
          <w:rFonts w:ascii="宋体" w:hAnsi="宋体" w:cs="宋体" w:eastAsia="宋体" w:hint="default"/>
        </w:rPr>
        <w:t>35</w:t>
      </w:r>
      <w:r>
        <w:rPr/>
        <w:t>项，其中：发明专利</w:t>
      </w:r>
      <w:r>
        <w:rPr>
          <w:rFonts w:ascii="宋体" w:hAnsi="宋体" w:cs="宋体" w:eastAsia="宋体" w:hint="default"/>
        </w:rPr>
        <w:t>26</w:t>
      </w:r>
      <w:r>
        <w:rPr/>
        <w:t>项、实用新型专利</w:t>
      </w:r>
      <w:r>
        <w:rPr>
          <w:rFonts w:ascii="宋体" w:hAnsi="宋体" w:cs="宋体" w:eastAsia="宋体" w:hint="default"/>
        </w:rPr>
        <w:t>9</w:t>
      </w:r>
      <w:r>
        <w:rPr/>
        <w:t>项。</w:t>
      </w:r>
      <w:r>
        <w:rPr>
          <w:rFonts w:ascii="宋体" w:hAnsi="宋体" w:cs="宋体" w:eastAsia="宋体" w:hint="default"/>
        </w:rPr>
        <w:t>2015</w:t>
      </w:r>
      <w:r>
        <w:rPr/>
        <w:t>年公司获得授权的专利情况如下：</w:t>
      </w:r>
    </w:p>
    <w:tbl>
      <w:tblPr>
        <w:tblW w:w="0" w:type="auto"/>
        <w:jc w:val="left"/>
        <w:tblInd w:w="1126" w:type="dxa"/>
        <w:tblLayout w:type="fixed"/>
        <w:tblCellMar>
          <w:top w:w="0" w:type="dxa"/>
          <w:left w:w="0" w:type="dxa"/>
          <w:bottom w:w="0" w:type="dxa"/>
          <w:right w:w="0" w:type="dxa"/>
        </w:tblCellMar>
        <w:tblLook w:val="01E0"/>
      </w:tblPr>
      <w:tblGrid>
        <w:gridCol w:w="493"/>
        <w:gridCol w:w="3458"/>
        <w:gridCol w:w="1934"/>
        <w:gridCol w:w="1740"/>
        <w:gridCol w:w="1576"/>
        <w:gridCol w:w="1125"/>
      </w:tblGrid>
      <w:tr>
        <w:trPr>
          <w:trHeight w:val="42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申请</w:t>
            </w:r>
            <w:r>
              <w:rPr>
                <w:rFonts w:ascii="宋体" w:hAnsi="宋体" w:cs="宋体" w:eastAsia="宋体" w:hint="default"/>
                <w:sz w:val="18"/>
                <w:szCs w:val="18"/>
              </w:rPr>
              <w:t>/</w:t>
            </w:r>
            <w:r>
              <w:rPr>
                <w:rFonts w:ascii="宋体" w:hAnsi="宋体" w:cs="宋体" w:eastAsia="宋体" w:hint="default"/>
                <w:sz w:val="18"/>
                <w:szCs w:val="18"/>
              </w:rPr>
              <w:t>专利号</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申请日期</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0" w:right="0"/>
              <w:jc w:val="left"/>
              <w:rPr>
                <w:rFonts w:ascii="宋体" w:hAnsi="宋体" w:cs="宋体" w:eastAsia="宋体" w:hint="default"/>
                <w:sz w:val="18"/>
                <w:szCs w:val="18"/>
              </w:rPr>
            </w:pPr>
            <w:r>
              <w:rPr>
                <w:rFonts w:ascii="宋体" w:hAnsi="宋体" w:cs="宋体" w:eastAsia="宋体" w:hint="default"/>
                <w:sz w:val="18"/>
                <w:szCs w:val="18"/>
              </w:rPr>
              <w:t>授权日期</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专利类型</w:t>
            </w:r>
          </w:p>
        </w:tc>
      </w:tr>
      <w:tr>
        <w:trPr>
          <w:trHeight w:val="739"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1</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仿绵羊皮超细纤维聚氨酯合成革及其制备方 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201310410602.X</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环保隔热保温超纤合成革及其制备方法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201310689270.3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39"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3</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含氨基甲酸酯结构的磷氮系阻燃剂及其制备 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201310689458.8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740"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4</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具有书写效应的定岛超细纤维绒面革及其制 备方法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201310698928.7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6"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5</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超细纤维聚氨酯合成革磨皮粉的再利用方法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201310594474.9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28"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6</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一种聚氨酯树脂浆料及其工业应用</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201310655155.4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93"/>
        <w:gridCol w:w="3458"/>
        <w:gridCol w:w="1934"/>
        <w:gridCol w:w="1740"/>
        <w:gridCol w:w="1576"/>
        <w:gridCol w:w="1125"/>
      </w:tblGrid>
      <w:tr>
        <w:trPr>
          <w:trHeight w:val="739"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7</w:t>
            </w:r>
          </w:p>
        </w:tc>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
              <w:jc w:val="left"/>
              <w:rPr>
                <w:rFonts w:ascii="宋体" w:hAnsi="宋体" w:cs="宋体" w:eastAsia="宋体" w:hint="default"/>
                <w:sz w:val="18"/>
                <w:szCs w:val="18"/>
              </w:rPr>
            </w:pPr>
            <w:r>
              <w:rPr>
                <w:rFonts w:ascii="宋体" w:hAnsi="宋体" w:cs="宋体" w:eastAsia="宋体" w:hint="default"/>
                <w:sz w:val="18"/>
                <w:szCs w:val="18"/>
              </w:rPr>
              <w:t>含氨基甲酸酯结构的水溶性磷氮系阻燃剂及 其制备方法</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0" w:right="0"/>
              <w:jc w:val="left"/>
              <w:rPr>
                <w:rFonts w:ascii="宋体" w:hAnsi="宋体" w:cs="宋体" w:eastAsia="宋体" w:hint="default"/>
                <w:sz w:val="18"/>
                <w:szCs w:val="18"/>
              </w:rPr>
            </w:pPr>
            <w:r>
              <w:rPr>
                <w:rFonts w:ascii="宋体"/>
                <w:sz w:val="18"/>
              </w:rPr>
              <w:t>201310689455.4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r>
    </w:tbl>
    <w:p>
      <w:pPr>
        <w:pStyle w:val="BodyText"/>
        <w:spacing w:line="240" w:lineRule="auto" w:before="51"/>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37,282,948.48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41,000,233.10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22,734,963.86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936,752,443.38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887,318,544.35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829,352,331.78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765,487,197.92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107,400,111.60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121,831,346.43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46,345,807.37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266,512,930.61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587,691,113.39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458,020,236.73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-541,345,306.02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-191,507,306.12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403,497,279.91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82,800,396.28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45,818,666.67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320,696,883.63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-15,818,666.67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-2,127.41%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-113,248,310.79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-85,494,626.36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32.46%</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60" w:lineRule="auto" w:before="44"/>
        <w:ind w:right="1933" w:firstLine="360"/>
        <w:jc w:val="left"/>
      </w:pPr>
      <w:r>
        <w:rPr/>
        <w:t>报告期内，公司通过银行贷款加大了对子公司启东项目的投入，造成了投资活动和筹资活动现金流的变化。 报告期内公司经营活动产生的现金净流量与本年度净利润存在重大差异的原因说明</w:t>
      </w:r>
    </w:p>
    <w:p>
      <w:pPr>
        <w:pStyle w:val="BodyText"/>
        <w:spacing w:line="240" w:lineRule="auto" w:before="27"/>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12,042,366.13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主要为政府补贴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需每年申请</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14,430,627.11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主要为旧锅炉报废</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一次性损失</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109,672,750.1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191,309,402.37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-6.67%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102,117,539.9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96,951,195.79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-1.62%</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189,725,005.4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201,787,680.16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-4.23%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738,740,465.8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27.94%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685,783,537.53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38.79%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-10.85%</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811,817,240.8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17,989,197.69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29.69%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启东子公司项目正处于建设期</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6.43%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6.27%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left="1134" w:right="0"/>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8052"/>
        <w:jc w:val="left"/>
      </w:pPr>
      <w:r>
        <w:rPr/>
        <w:t>□ 适用 √ 不适用 公司报告期无募集资金使用情况。</w:t>
      </w:r>
    </w:p>
    <w:p>
      <w:pPr>
        <w:spacing w:line="240" w:lineRule="auto" w:before="3"/>
        <w:rPr>
          <w:rFonts w:ascii="宋体" w:hAnsi="宋体" w:cs="宋体" w:eastAsia="宋体" w:hint="default"/>
          <w:sz w:val="18"/>
          <w:szCs w:val="18"/>
        </w:rPr>
      </w:pPr>
    </w:p>
    <w:p>
      <w:pPr>
        <w:pStyle w:val="Heading2"/>
        <w:spacing w:line="240" w:lineRule="auto"/>
        <w:ind w:left="1134" w:right="0"/>
        <w:jc w:val="left"/>
        <w:rPr>
          <w:b w:val="0"/>
          <w:bCs w:val="0"/>
        </w:rPr>
      </w:pPr>
      <w:bookmarkStart w:name="六、重大资产和股权出售" w:id="48"/>
      <w:bookmarkEnd w:id="48"/>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49"/>
      <w:bookmarkEnd w:id="49"/>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0"/>
      <w:bookmarkEnd w:id="50"/>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七、主要控股参股公司分析" w:id="51"/>
      <w:bookmarkEnd w:id="51"/>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20"/>
        <w:jc w:val="left"/>
      </w:pPr>
      <w:r>
        <w:rPr/>
        <w:t>√ 适用 □ 不适用</w:t>
      </w:r>
    </w:p>
    <w:p>
      <w:pPr>
        <w:pStyle w:val="BodyText"/>
        <w:spacing w:line="240" w:lineRule="auto" w:before="116"/>
        <w:ind w:left="113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江苏华峰超 纤材料有限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超纤产品制 造</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1,257,163,80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333,876,384.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-20,566,275.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江苏华峰化 学有限公司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100,255,019.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53,681,633.5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-1,380,984.5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报告期内取得和处置子公司的情况</w:t>
      </w:r>
    </w:p>
    <w:p>
      <w:pPr>
        <w:pStyle w:val="BodyText"/>
        <w:spacing w:line="357" w:lineRule="auto" w:before="117"/>
        <w:ind w:left="1134" w:right="8592"/>
        <w:jc w:val="left"/>
      </w:pPr>
      <w:r>
        <w:rPr/>
        <w:t>□ 适用 √ 不适用 主要控股参股公司情况说明</w:t>
      </w:r>
    </w:p>
    <w:p>
      <w:pPr>
        <w:pStyle w:val="BodyText"/>
        <w:spacing w:line="240" w:lineRule="auto" w:before="28"/>
        <w:ind w:left="1134" w:right="0"/>
        <w:jc w:val="left"/>
      </w:pPr>
      <w:r>
        <w:rPr/>
        <w:t>子公司江苏华峰超纤材料有限公司项目正处于建设期。</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八、公司控制的结构化主体情况" w:id="52"/>
      <w:bookmarkEnd w:id="52"/>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3"/>
      <w:bookmarkEnd w:id="53"/>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8" w:right="1138" w:hanging="92"/>
        <w:jc w:val="left"/>
      </w:pPr>
      <w:r>
        <w:rPr/>
        <w:t>（一）公司所处行业的发展趋势 超纤材料是在充分剖析天然皮革的微观结构和性能的基础上开发出的完全可以替代天然皮革的高档人工制革，其核心</w:t>
      </w:r>
    </w:p>
    <w:p>
      <w:pPr>
        <w:pStyle w:val="BodyText"/>
        <w:spacing w:line="309" w:lineRule="auto" w:before="19"/>
        <w:ind w:right="1033"/>
        <w:jc w:val="left"/>
      </w:pPr>
      <w:r>
        <w:rPr/>
        <w:t>技术是海岛型超细纤维加工技术。由于海岛型超细纤维与天然皮革所具有的超细胶元纤维极其相似，使其在强度、舒适性、 </w:t>
      </w:r>
      <w:r>
        <w:rPr>
          <w:spacing w:val="-2"/>
        </w:rPr>
        <w:t>透气透湿性和手感上与天然皮革相媲美，甚至在耐化学性、抗皱性、耐磨性、可加工适应性以及质量均一性等方面更优于天</w:t>
      </w:r>
      <w:r>
        <w:rPr>
          <w:spacing w:val="-66"/>
        </w:rPr>
        <w:t> </w:t>
      </w:r>
      <w:r>
        <w:rPr>
          <w:spacing w:val="-66"/>
        </w:rPr>
      </w:r>
      <w:r>
        <w:rPr/>
        <w:t>然皮革，是人工制革的第三代产品，是</w:t>
      </w:r>
      <w:r>
        <w:rPr>
          <w:rFonts w:ascii="Times New Roman" w:hAnsi="Times New Roman" w:cs="Times New Roman" w:eastAsia="Times New Roman" w:hint="default"/>
        </w:rPr>
        <w:t>PVC</w:t>
      </w:r>
      <w:r>
        <w:rPr/>
        <w:t>人造革和普通</w:t>
      </w:r>
      <w:r>
        <w:rPr>
          <w:rFonts w:ascii="Times New Roman" w:hAnsi="Times New Roman" w:cs="Times New Roman" w:eastAsia="Times New Roman" w:hint="default"/>
        </w:rPr>
        <w:t>PU</w:t>
      </w:r>
      <w:r>
        <w:rPr/>
        <w:t>合成革的升级产品。虽然受到宏观经济的影响，近年超纤市场 </w:t>
      </w:r>
      <w:r>
        <w:rPr>
          <w:spacing w:val="-2"/>
        </w:rPr>
        <w:t>整体表现低迷，但</w:t>
      </w:r>
      <w:r>
        <w:rPr>
          <w:rFonts w:ascii="Times New Roman" w:hAnsi="Times New Roman" w:cs="Times New Roman" w:eastAsia="Times New Roman" w:hint="default"/>
          <w:spacing w:val="-2"/>
        </w:rPr>
        <w:t>2015</w:t>
      </w:r>
      <w:r>
        <w:rPr>
          <w:spacing w:val="-2"/>
        </w:rPr>
        <w:t>年公司通过新产品的开发和新领域的开拓，开始了产品的转型，随着人们生活水平的提高导致对人造</w:t>
      </w:r>
      <w:r>
        <w:rPr>
          <w:spacing w:val="-62"/>
        </w:rPr>
        <w:t> </w:t>
      </w:r>
      <w:r>
        <w:rPr>
          <w:spacing w:val="-62"/>
        </w:rPr>
      </w:r>
      <w:r>
        <w:rPr/>
        <w:t>革合成革产品消费需求的提升，我们认为超纤产品仍有极大的发展空间。</w:t>
      </w:r>
    </w:p>
    <w:p>
      <w:pPr>
        <w:pStyle w:val="BodyText"/>
        <w:spacing w:line="240" w:lineRule="auto" w:before="24"/>
        <w:ind w:left="1424" w:right="0"/>
        <w:jc w:val="left"/>
      </w:pPr>
      <w:r>
        <w:rPr/>
        <w:t>（二）公司未来发展战略规划及</w:t>
      </w:r>
      <w:r>
        <w:rPr>
          <w:rFonts w:ascii="Times New Roman" w:hAnsi="Times New Roman" w:cs="Times New Roman" w:eastAsia="Times New Roman" w:hint="default"/>
        </w:rPr>
        <w:t>2016</w:t>
      </w:r>
      <w:r>
        <w:rPr/>
        <w:t>年经营计划</w:t>
      </w:r>
    </w:p>
    <w:p>
      <w:pPr>
        <w:pStyle w:val="BodyText"/>
        <w:spacing w:line="300" w:lineRule="auto" w:before="63"/>
        <w:ind w:left="1434" w:right="0" w:hanging="10"/>
        <w:jc w:val="left"/>
      </w:pPr>
      <w:r>
        <w:rPr>
          <w:rFonts w:ascii="Times New Roman" w:hAnsi="Times New Roman" w:cs="Times New Roman" w:eastAsia="Times New Roman" w:hint="default"/>
        </w:rPr>
        <w:t>1</w:t>
      </w:r>
      <w:r>
        <w:rPr/>
        <w:t>、未来发展战略规划 </w:t>
      </w:r>
      <w:r>
        <w:rPr>
          <w:spacing w:val="-1"/>
        </w:rPr>
        <w:t>根据公司长期发展战略规划，公司未来将继续以做大做强超纤材料产业为首要目标，紧抓子公司启东项目的建设，快速</w:t>
      </w:r>
    </w:p>
    <w:p>
      <w:pPr>
        <w:pStyle w:val="BodyText"/>
        <w:spacing w:line="316" w:lineRule="auto" w:before="31"/>
        <w:ind w:left="1134" w:right="1130"/>
        <w:jc w:val="both"/>
      </w:pPr>
      <w:r>
        <w:rPr>
          <w:spacing w:val="-2"/>
        </w:rPr>
        <w:t>扩大生产规模；坚持科技创新的核心理念，实施科技兴企战略，促进科技成果的转化；对内加强企业技术中心的建设和研发</w:t>
      </w:r>
      <w:r>
        <w:rPr>
          <w:spacing w:val="-66"/>
        </w:rPr>
        <w:t> </w:t>
      </w:r>
      <w:r>
        <w:rPr>
          <w:spacing w:val="-66"/>
        </w:rPr>
      </w:r>
      <w:r>
        <w:rPr>
          <w:spacing w:val="-2"/>
        </w:rPr>
        <w:t>队伍的壮大，对外增加与科研院校的合作，在产品性能、质量、品种、稳定性等方面领先于国内同行，不断提高超纤材料的</w:t>
      </w:r>
      <w:r>
        <w:rPr>
          <w:spacing w:val="-67"/>
        </w:rPr>
        <w:t> </w:t>
      </w:r>
      <w:r>
        <w:rPr>
          <w:spacing w:val="-67"/>
        </w:rPr>
      </w:r>
      <w:r>
        <w:rPr/>
        <w:t>产品档次，追赶日本同行，提高国内超纤材料行业的水平。</w:t>
      </w:r>
    </w:p>
    <w:p>
      <w:pPr>
        <w:pStyle w:val="BodyText"/>
        <w:spacing w:line="240" w:lineRule="auto" w:before="19"/>
        <w:ind w:left="143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年经营计划</w:t>
      </w:r>
    </w:p>
    <w:p>
      <w:pPr>
        <w:pStyle w:val="BodyText"/>
        <w:spacing w:line="300" w:lineRule="auto" w:before="103"/>
        <w:ind w:right="0" w:firstLine="360"/>
        <w:jc w:val="left"/>
      </w:pPr>
      <w:r>
        <w:rPr>
          <w:rFonts w:ascii="Times New Roman" w:hAnsi="Times New Roman" w:cs="Times New Roman" w:eastAsia="Times New Roman" w:hint="default"/>
          <w:spacing w:val="-2"/>
        </w:rPr>
        <w:t>2016</w:t>
      </w:r>
      <w:r>
        <w:rPr>
          <w:spacing w:val="-2"/>
        </w:rPr>
        <w:t>年，我们要继续坚持科学、务实、创新工作态度，发扬</w:t>
      </w:r>
      <w:r>
        <w:rPr>
          <w:rFonts w:ascii="Times New Roman" w:hAnsi="Times New Roman" w:cs="Times New Roman" w:eastAsia="Times New Roman" w:hint="default"/>
          <w:spacing w:val="-2"/>
        </w:rPr>
        <w:t>“</w:t>
      </w:r>
      <w:r>
        <w:rPr>
          <w:spacing w:val="-2"/>
        </w:rPr>
        <w:t>艰苦奋斗，团结拼搏</w:t>
      </w:r>
      <w:r>
        <w:rPr>
          <w:rFonts w:ascii="Times New Roman" w:hAnsi="Times New Roman" w:cs="Times New Roman" w:eastAsia="Times New Roman" w:hint="default"/>
          <w:spacing w:val="-2"/>
        </w:rPr>
        <w:t>”</w:t>
      </w:r>
      <w:r>
        <w:rPr>
          <w:spacing w:val="-2"/>
        </w:rPr>
        <w:t>的创业精神，全力以赴完成董事会下</w:t>
      </w:r>
      <w:r>
        <w:rPr/>
        <w:t> 达的各项生产工作任务。</w:t>
      </w:r>
    </w:p>
    <w:p>
      <w:pPr>
        <w:pStyle w:val="BodyText"/>
        <w:spacing w:line="340" w:lineRule="auto" w:before="71"/>
        <w:ind w:left="1493" w:right="6793"/>
        <w:jc w:val="left"/>
      </w:pPr>
      <w:r>
        <w:rPr/>
        <w:t>主要做好以下五个方面的工作</w:t>
      </w:r>
      <w:r>
        <w:rPr>
          <w:rFonts w:ascii="Times New Roman" w:hAnsi="Times New Roman" w:cs="Times New Roman" w:eastAsia="Times New Roman" w:hint="default"/>
        </w:rPr>
        <w:t>: </w:t>
      </w:r>
      <w:r>
        <w:rPr/>
        <w:t>一是全力以赴地做好启东项目的推进与实施。</w:t>
      </w:r>
    </w:p>
    <w:p>
      <w:pPr>
        <w:pStyle w:val="BodyText"/>
        <w:spacing w:line="319" w:lineRule="auto" w:before="39"/>
        <w:ind w:right="0" w:firstLine="360"/>
        <w:jc w:val="left"/>
      </w:pPr>
      <w:r>
        <w:rPr>
          <w:spacing w:val="-2"/>
        </w:rPr>
        <w:t>二是继续深化以绩效管理、绩效考核，加强精细化管理为主的管理创新，细化班组管理、现场管理，把精细化管理落到</w:t>
      </w:r>
      <w:r>
        <w:rPr/>
        <w:t> 实处；做好三大管理体系工作；不断提高自动化和信息化水平。</w:t>
      </w:r>
    </w:p>
    <w:p>
      <w:pPr>
        <w:pStyle w:val="BodyText"/>
        <w:spacing w:line="319" w:lineRule="auto" w:before="55"/>
        <w:ind w:right="0" w:firstLine="360"/>
        <w:jc w:val="left"/>
      </w:pPr>
      <w:r>
        <w:rPr>
          <w:spacing w:val="-2"/>
        </w:rPr>
        <w:t>三是强势推进节能降耗减排和降低成本工作，把产量、质量、消耗等指标分解、量化到部门、车间，制定科学的考核方</w:t>
      </w:r>
      <w:r>
        <w:rPr/>
        <w:t> 案，鼓励降耗，调动积极性，大力压缩成本，提升竞争能力。</w:t>
      </w:r>
    </w:p>
    <w:p>
      <w:pPr>
        <w:pStyle w:val="BodyText"/>
        <w:spacing w:line="357" w:lineRule="auto" w:before="58"/>
        <w:ind w:left="1493" w:right="0"/>
        <w:jc w:val="left"/>
      </w:pPr>
      <w:r>
        <w:rPr/>
        <w:t>四是加强科技创新，重点开发汽车、高铁和定岛等高附加值、高科技含量、有竞争力的新产品。 </w:t>
      </w:r>
      <w:r>
        <w:rPr>
          <w:spacing w:val="-2"/>
        </w:rPr>
        <w:t>五是在营销创新中，树立新的</w:t>
      </w:r>
      <w:r>
        <w:rPr>
          <w:rFonts w:ascii="Times New Roman" w:hAnsi="Times New Roman" w:cs="Times New Roman" w:eastAsia="Times New Roman" w:hint="default"/>
          <w:spacing w:val="-2"/>
        </w:rPr>
        <w:t>“</w:t>
      </w:r>
      <w:r>
        <w:rPr>
          <w:spacing w:val="-2"/>
        </w:rPr>
        <w:t>服务顾客，引导顾客</w:t>
      </w:r>
      <w:r>
        <w:rPr>
          <w:rFonts w:ascii="Times New Roman" w:hAnsi="Times New Roman" w:cs="Times New Roman" w:eastAsia="Times New Roman" w:hint="default"/>
          <w:spacing w:val="-2"/>
        </w:rPr>
        <w:t>”</w:t>
      </w:r>
      <w:r>
        <w:rPr>
          <w:spacing w:val="-2"/>
        </w:rPr>
        <w:t>的营销理念，培育市场，积极开辟新市场，销售新产品。同时，继</w:t>
      </w:r>
    </w:p>
    <w:p>
      <w:pPr>
        <w:pStyle w:val="BodyText"/>
        <w:spacing w:line="202" w:lineRule="exact"/>
        <w:ind w:right="0"/>
        <w:jc w:val="left"/>
      </w:pPr>
      <w:r>
        <w:rPr/>
        <w:t>续做好外贸工作，拓展电子商务。</w:t>
      </w:r>
    </w:p>
    <w:p>
      <w:pPr>
        <w:pStyle w:val="BodyText"/>
        <w:spacing w:line="240" w:lineRule="auto" w:before="115"/>
        <w:ind w:left="1424" w:right="0"/>
        <w:jc w:val="left"/>
      </w:pPr>
      <w:r>
        <w:rPr/>
        <w:t>六是进一步加强党工团建设，抓好华峰文化落地升级，加强社会主义精神文明建设，着力提升全员素质，加强人才队伍</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建设，打造一支高素质的华峰创新团队。</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接待调研、沟通、采访等活动情况" w:id="54"/>
      <w:bookmarkEnd w:id="54"/>
      <w:r>
        <w:rPr>
          <w:b w:val="0"/>
          <w:bCs w:val="0"/>
        </w:rPr>
      </w:r>
      <w:r>
        <w:rPr/>
        <w:t>十、接待调研、沟通、采访等活动情况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55"/>
      <w:bookmarkEnd w:id="55"/>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w:t>
            </w:r>
            <w:r>
              <w:rPr>
                <w:rFonts w:ascii="宋体" w:hAnsi="宋体" w:cs="宋体" w:eastAsia="宋体" w:hint="default"/>
                <w:spacing w:val="-52"/>
                <w:sz w:val="18"/>
                <w:szCs w:val="18"/>
              </w:rPr>
              <w:t> </w:t>
            </w:r>
            <w:hyperlink r:id="rId13">
              <w:r>
                <w:rPr>
                  <w:rFonts w:ascii="Times New Roman" w:hAnsi="Times New Roman" w:cs="Times New Roman" w:eastAsia="Times New Roman" w:hint="default"/>
                  <w:sz w:val="18"/>
                  <w:szCs w:val="18"/>
                </w:rPr>
                <w:t>http://irm.cninfo.com.cn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w:t>
            </w:r>
            <w:r>
              <w:rPr>
                <w:rFonts w:ascii="宋体" w:hAnsi="宋体" w:cs="宋体" w:eastAsia="宋体" w:hint="default"/>
                <w:spacing w:val="-52"/>
                <w:sz w:val="18"/>
                <w:szCs w:val="18"/>
              </w:rPr>
              <w:t> </w:t>
            </w:r>
            <w:hyperlink r:id="rId13">
              <w:r>
                <w:rPr>
                  <w:rFonts w:ascii="Times New Roman" w:hAnsi="Times New Roman" w:cs="Times New Roman" w:eastAsia="Times New Roman" w:hint="default"/>
                  <w:sz w:val="18"/>
                  <w:szCs w:val="18"/>
                </w:rPr>
                <w:t>http://irm.cninfo.com.cn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互动易平台</w:t>
            </w:r>
            <w:r>
              <w:rPr>
                <w:rFonts w:ascii="宋体" w:hAnsi="宋体" w:cs="宋体" w:eastAsia="宋体" w:hint="default"/>
                <w:spacing w:val="-52"/>
                <w:sz w:val="18"/>
                <w:szCs w:val="18"/>
              </w:rPr>
              <w:t> </w:t>
            </w:r>
            <w:hyperlink r:id="rId13">
              <w:r>
                <w:rPr>
                  <w:rFonts w:ascii="Times New Roman" w:hAnsi="Times New Roman" w:cs="Times New Roman" w:eastAsia="Times New Roman" w:hint="default"/>
                  <w:sz w:val="18"/>
                  <w:szCs w:val="18"/>
                </w:rPr>
                <w:t>http://irm.cninfo.com.cn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五节 重要事项" w:id="56"/>
      <w:bookmarkEnd w:id="56"/>
      <w:r>
        <w:rPr>
          <w:b w:val="0"/>
          <w:bCs w:val="0"/>
        </w:rPr>
      </w:r>
      <w:bookmarkStart w:name="_bookmark3" w:id="57"/>
      <w:bookmarkEnd w:id="57"/>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58"/>
      <w:bookmarkEnd w:id="58"/>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t>√ 适用 □ 不适用</w:t>
      </w:r>
    </w:p>
    <w:p>
      <w:pPr>
        <w:pStyle w:val="BodyText"/>
        <w:spacing w:line="300" w:lineRule="auto" w:before="115"/>
        <w:ind w:left="1134" w:right="1192" w:firstLine="2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日第二届董事会第二十二次会议及第二届监事会第二十次会议，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2014</w:t>
      </w:r>
      <w:r>
        <w:rPr/>
        <w:t>年年度股东大会审议通 过修改《公司章程》，调整相关利润分配政策条款如下：</w:t>
      </w:r>
    </w:p>
    <w:p>
      <w:pPr>
        <w:pStyle w:val="BodyText"/>
        <w:spacing w:line="316" w:lineRule="auto" w:before="31"/>
        <w:ind w:left="1424" w:right="1102" w:hanging="291"/>
        <w:jc w:val="left"/>
      </w:pPr>
      <w:r>
        <w:rPr/>
        <w:t>第一百五十七条 公司实施积极、持续、稳定的利润分配政策，重视对投资者的合理投资回报，并兼顾公司的可持续发展。公司董事会、</w:t>
      </w:r>
    </w:p>
    <w:p>
      <w:pPr>
        <w:pStyle w:val="BodyText"/>
        <w:spacing w:line="316" w:lineRule="auto" w:before="19"/>
        <w:ind w:left="1134" w:right="0"/>
        <w:jc w:val="left"/>
      </w:pPr>
      <w:r>
        <w:rPr>
          <w:spacing w:val="-2"/>
        </w:rPr>
        <w:t>监事会和股东大会在利润分配政策的决策和论证过程中应当充分考虑独立董事、外部监事的意见，同时采取有效措施鼓励广</w:t>
      </w:r>
      <w:r>
        <w:rPr>
          <w:spacing w:val="-64"/>
        </w:rPr>
        <w:t> </w:t>
      </w:r>
      <w:r>
        <w:rPr>
          <w:spacing w:val="-64"/>
        </w:rPr>
      </w:r>
      <w:r>
        <w:rPr/>
        <w:t>大中小投资者以及机构投资者主动参与上市公司利润分配事项的决策，并充分发挥中介机构的专业引导作用。</w:t>
      </w:r>
    </w:p>
    <w:p>
      <w:pPr>
        <w:pStyle w:val="BodyText"/>
        <w:spacing w:line="240" w:lineRule="auto" w:before="19"/>
        <w:ind w:left="1424" w:right="0"/>
        <w:jc w:val="left"/>
      </w:pPr>
      <w:r>
        <w:rPr/>
        <w:t>（一）公司利润分配的具体政策为：</w:t>
      </w:r>
    </w:p>
    <w:p>
      <w:pPr>
        <w:pStyle w:val="BodyText"/>
        <w:spacing w:line="300" w:lineRule="auto" w:before="76"/>
        <w:ind w:left="1134" w:right="0" w:firstLine="290"/>
        <w:jc w:val="left"/>
      </w:pPr>
      <w:r>
        <w:rPr>
          <w:rFonts w:ascii="Times New Roman" w:hAnsi="Times New Roman" w:cs="Times New Roman" w:eastAsia="Times New Roman" w:hint="default"/>
          <w:spacing w:val="-1"/>
        </w:rPr>
        <w:t>1</w:t>
      </w:r>
      <w:r>
        <w:rPr>
          <w:spacing w:val="-1"/>
        </w:rPr>
        <w:t>、在符合本条第一款规定原则的情况下，公司利润分配可采取现金、股票、现金股票相结合或者法律许可的其他方式，</w:t>
      </w:r>
      <w:r>
        <w:rPr/>
        <w:t> 并优先考虑现金分红的方式。</w:t>
      </w:r>
    </w:p>
    <w:p>
      <w:pPr>
        <w:pStyle w:val="BodyText"/>
        <w:spacing w:line="240" w:lineRule="auto" w:before="31"/>
        <w:ind w:left="1424" w:right="0"/>
        <w:jc w:val="left"/>
      </w:pPr>
      <w:r>
        <w:rPr/>
        <w:t>公司出现以下情况之一时，当年可不进行现金分红（募集资金投资项目除外）：</w:t>
      </w:r>
    </w:p>
    <w:p>
      <w:pPr>
        <w:pStyle w:val="BodyText"/>
        <w:spacing w:line="300" w:lineRule="auto" w:before="76"/>
        <w:ind w:left="1424" w:right="0"/>
        <w:jc w:val="left"/>
      </w:pPr>
      <w:r>
        <w:rPr/>
        <w:t>（</w:t>
      </w:r>
      <w:r>
        <w:rPr>
          <w:rFonts w:ascii="Times New Roman" w:hAnsi="Times New Roman" w:cs="Times New Roman" w:eastAsia="Times New Roman" w:hint="default"/>
        </w:rPr>
        <w:t>1</w:t>
      </w:r>
      <w:r>
        <w:rPr/>
        <w:t>）未来十二个月内计划实施重大投资或存在重大现金支出： </w:t>
      </w:r>
      <w:r>
        <w:rPr>
          <w:spacing w:val="-1"/>
        </w:rPr>
        <w:t>公司未来十二个月内拟对外投资（含股权投资、收购资产及固定资产投资）累计支出达到公司最近一期经审计净资产的</w:t>
      </w:r>
    </w:p>
    <w:p>
      <w:pPr>
        <w:pStyle w:val="BodyText"/>
        <w:spacing w:line="240" w:lineRule="auto" w:before="31"/>
        <w:ind w:right="0"/>
        <w:jc w:val="left"/>
      </w:pPr>
      <w:r>
        <w:rPr>
          <w:rFonts w:ascii="Times New Roman" w:hAnsi="Times New Roman" w:cs="Times New Roman" w:eastAsia="Times New Roman" w:hint="default"/>
        </w:rPr>
        <w:t>30%</w:t>
      </w:r>
      <w:r>
        <w:rPr/>
        <w:t>；</w:t>
      </w:r>
    </w:p>
    <w:p>
      <w:pPr>
        <w:pStyle w:val="BodyText"/>
        <w:spacing w:line="240" w:lineRule="auto" w:before="63"/>
        <w:ind w:left="1424" w:right="0"/>
        <w:jc w:val="left"/>
      </w:pPr>
      <w:r>
        <w:rPr/>
        <w:t>（</w:t>
      </w:r>
      <w:r>
        <w:rPr>
          <w:rFonts w:ascii="Times New Roman" w:hAnsi="Times New Roman" w:cs="Times New Roman" w:eastAsia="Times New Roman" w:hint="default"/>
        </w:rPr>
        <w:t>2</w:t>
      </w:r>
      <w:r>
        <w:rPr/>
        <w:t>）公司当年产生的经营活动现金净流量为负数；</w:t>
      </w:r>
    </w:p>
    <w:p>
      <w:pPr>
        <w:pStyle w:val="BodyText"/>
        <w:spacing w:line="240" w:lineRule="auto" w:before="63"/>
        <w:ind w:left="1424" w:right="0"/>
        <w:jc w:val="left"/>
      </w:pPr>
      <w:r>
        <w:rPr/>
        <w:t>（</w:t>
      </w:r>
      <w:r>
        <w:rPr>
          <w:rFonts w:ascii="Times New Roman" w:hAnsi="Times New Roman" w:cs="Times New Roman" w:eastAsia="Times New Roman" w:hint="default"/>
        </w:rPr>
        <w:t>3</w:t>
      </w:r>
      <w:r>
        <w:rPr/>
        <w:t>）当年年末经审计的公司报表的资产负债率超过</w:t>
      </w:r>
      <w:r>
        <w:rPr>
          <w:rFonts w:ascii="Times New Roman" w:hAnsi="Times New Roman" w:cs="Times New Roman" w:eastAsia="Times New Roman" w:hint="default"/>
        </w:rPr>
        <w:t>60%</w:t>
      </w:r>
      <w:r>
        <w:rPr/>
        <w:t>时；</w:t>
      </w:r>
    </w:p>
    <w:p>
      <w:pPr>
        <w:pStyle w:val="BodyText"/>
        <w:spacing w:line="300" w:lineRule="auto" w:before="63"/>
        <w:ind w:left="1424" w:right="0"/>
        <w:jc w:val="left"/>
      </w:pPr>
      <w:r>
        <w:rPr/>
        <w:t>（</w:t>
      </w:r>
      <w:r>
        <w:rPr>
          <w:rFonts w:ascii="Times New Roman" w:hAnsi="Times New Roman" w:cs="Times New Roman" w:eastAsia="Times New Roman" w:hint="default"/>
        </w:rPr>
        <w:t>4</w:t>
      </w:r>
      <w:r>
        <w:rPr/>
        <w:t>）未分配利润低于每股</w:t>
      </w:r>
      <w:r>
        <w:rPr>
          <w:rFonts w:ascii="Times New Roman" w:hAnsi="Times New Roman" w:cs="Times New Roman" w:eastAsia="Times New Roman" w:hint="default"/>
        </w:rPr>
        <w:t>0.05</w:t>
      </w:r>
      <w:r>
        <w:rPr/>
        <w:t>元时。 </w:t>
      </w:r>
      <w:r>
        <w:rPr>
          <w:spacing w:val="-1"/>
        </w:rPr>
        <w:t>公司当年未进行现金分红的，董事会就不进行现金分红的具体原因、公司留存收益的确切用途及预计投资收益等事项进</w:t>
      </w:r>
    </w:p>
    <w:p>
      <w:pPr>
        <w:pStyle w:val="BodyText"/>
        <w:spacing w:line="240" w:lineRule="auto" w:before="31"/>
        <w:ind w:left="1134" w:right="0"/>
        <w:jc w:val="left"/>
      </w:pPr>
      <w:r>
        <w:rPr/>
        <w:t>行专项说明，经独立董事发表意见后提交股东大会审议，并对外披露。</w:t>
      </w:r>
    </w:p>
    <w:p>
      <w:pPr>
        <w:pStyle w:val="BodyText"/>
        <w:spacing w:line="300" w:lineRule="auto" w:before="76"/>
        <w:ind w:left="1134" w:right="1192" w:firstLine="290"/>
        <w:jc w:val="left"/>
      </w:pPr>
      <w:r>
        <w:rPr>
          <w:rFonts w:ascii="Times New Roman" w:hAnsi="Times New Roman" w:cs="Times New Roman" w:eastAsia="Times New Roman" w:hint="default"/>
        </w:rPr>
        <w:t>2</w:t>
      </w:r>
      <w:r>
        <w:rPr/>
        <w:t>、现金分红比例及时间间隔：原则上公司每年实施一次利润分配，且以现金方式分配的利润不少于当年实现的可分配 利润的</w:t>
      </w:r>
      <w:r>
        <w:rPr>
          <w:rFonts w:ascii="Times New Roman" w:hAnsi="Times New Roman" w:cs="Times New Roman" w:eastAsia="Times New Roman" w:hint="default"/>
        </w:rPr>
        <w:t>10%</w:t>
      </w:r>
      <w:r>
        <w:rPr/>
        <w:t>。必要时可以根据公司的经营情况和现金状况进行中期分红。</w:t>
      </w:r>
    </w:p>
    <w:p>
      <w:pPr>
        <w:pStyle w:val="BodyText"/>
        <w:spacing w:line="316" w:lineRule="auto" w:before="13"/>
        <w:ind w:right="0" w:firstLine="290"/>
        <w:jc w:val="left"/>
      </w:pPr>
      <w:r>
        <w:rPr>
          <w:spacing w:val="-1"/>
        </w:rPr>
        <w:t>当年因出现公司章程规定情形而未实施现金分红时，公司应在未来年度提高现金分红比例，以保障连续三个年度内以现</w:t>
      </w:r>
      <w:r>
        <w:rPr/>
        <w:t> 金方式累计分配的利润不少于该三年实现的年均可分配利润</w:t>
      </w:r>
      <w:r>
        <w:rPr>
          <w:rFonts w:ascii="Times New Roman" w:hAnsi="Times New Roman" w:cs="Times New Roman" w:eastAsia="Times New Roman" w:hint="default"/>
        </w:rPr>
        <w:t>30%</w:t>
      </w:r>
      <w:r>
        <w:rPr/>
        <w:t>。</w:t>
      </w:r>
    </w:p>
    <w:p>
      <w:pPr>
        <w:pStyle w:val="BodyText"/>
        <w:spacing w:line="300" w:lineRule="auto"/>
        <w:ind w:left="1134" w:right="1192" w:firstLine="290"/>
        <w:jc w:val="left"/>
      </w:pPr>
      <w:r>
        <w:rPr>
          <w:rFonts w:ascii="Times New Roman" w:hAnsi="Times New Roman" w:cs="Times New Roman" w:eastAsia="Times New Roman" w:hint="default"/>
        </w:rPr>
        <w:t>3</w:t>
      </w:r>
      <w:r>
        <w:rPr/>
        <w:t>、公司董事会对利润分配方案进行讨论时，应当综合考虑所处行业特点、发展阶段、自身经营模式、盈利水平以及是 否有重大资金支出安排等因素，区分下列情形，并按照本章程规定的程序，提出差异化的现金分红政策：</w:t>
      </w:r>
    </w:p>
    <w:p>
      <w:pPr>
        <w:pStyle w:val="BodyText"/>
        <w:spacing w:line="240" w:lineRule="auto" w:before="31"/>
        <w:ind w:right="0"/>
        <w:jc w:val="left"/>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）公司发展阶段属成熟期且无重大资金支出安排的，进行利润分配时，现金分红在本次利润分配中所占比例最低应达到</w:t>
      </w:r>
    </w:p>
    <w:p>
      <w:pPr>
        <w:pStyle w:val="BodyText"/>
        <w:spacing w:line="240" w:lineRule="auto" w:before="63"/>
        <w:ind w:left="1134" w:right="0"/>
        <w:jc w:val="left"/>
      </w:pPr>
      <w:r>
        <w:rPr>
          <w:rFonts w:ascii="Times New Roman" w:hAnsi="Times New Roman" w:cs="Times New Roman" w:eastAsia="Times New Roman" w:hint="default"/>
        </w:rPr>
        <w:t>80%</w:t>
      </w:r>
      <w:r>
        <w:rPr/>
        <w:t>；</w:t>
      </w:r>
    </w:p>
    <w:p>
      <w:pPr>
        <w:pStyle w:val="BodyText"/>
        <w:spacing w:line="240" w:lineRule="auto" w:before="63"/>
        <w:ind w:left="1134" w:right="0"/>
        <w:jc w:val="left"/>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）公司发展阶段属成熟期且有重大资金支出安排的，进行利润分配时，现金分红在本次利润分配中所占比例最低应达到</w:t>
      </w:r>
    </w:p>
    <w:p>
      <w:pPr>
        <w:pStyle w:val="BodyText"/>
        <w:spacing w:line="240" w:lineRule="auto" w:before="63"/>
        <w:ind w:left="1134" w:right="0"/>
        <w:jc w:val="left"/>
      </w:pPr>
      <w:r>
        <w:rPr>
          <w:rFonts w:ascii="Times New Roman" w:hAnsi="Times New Roman" w:cs="Times New Roman" w:eastAsia="Times New Roman" w:hint="default"/>
        </w:rPr>
        <w:t>40%</w:t>
      </w:r>
      <w:r>
        <w:rPr/>
        <w:t>；</w:t>
      </w:r>
    </w:p>
    <w:p>
      <w:pPr>
        <w:pStyle w:val="BodyText"/>
        <w:spacing w:line="240" w:lineRule="auto" w:before="63"/>
        <w:ind w:left="1134" w:right="0"/>
        <w:jc w:val="left"/>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）公司发展阶段属成长期且有重大资金支出安排的，进行利润分配时，现金分红在本次利润分配中所占比例最低应达到</w:t>
      </w:r>
    </w:p>
    <w:p>
      <w:pPr>
        <w:pStyle w:val="BodyText"/>
        <w:spacing w:line="240" w:lineRule="auto" w:before="63"/>
        <w:ind w:left="1134" w:right="0"/>
        <w:jc w:val="left"/>
      </w:pPr>
      <w:r>
        <w:rPr>
          <w:rFonts w:ascii="Times New Roman" w:hAnsi="Times New Roman" w:cs="Times New Roman" w:eastAsia="Times New Roman" w:hint="default"/>
        </w:rPr>
        <w:t>20%</w:t>
      </w:r>
      <w:r>
        <w:rPr/>
        <w:t>；</w:t>
      </w:r>
    </w:p>
    <w:p>
      <w:pPr>
        <w:pStyle w:val="BodyText"/>
        <w:spacing w:line="240" w:lineRule="auto" w:before="63"/>
        <w:ind w:left="1134" w:right="0"/>
        <w:jc w:val="left"/>
      </w:pPr>
      <w:r>
        <w:rPr/>
        <w:t>（</w:t>
      </w:r>
      <w:r>
        <w:rPr>
          <w:rFonts w:ascii="Times New Roman" w:hAnsi="Times New Roman" w:cs="Times New Roman" w:eastAsia="Times New Roman" w:hint="default"/>
        </w:rPr>
        <w:t>4</w:t>
      </w:r>
      <w:r>
        <w:rPr/>
        <w:t>）公司发展阶段不易区分但有重大资金支出安排的，可以按照前项规定处理；</w:t>
      </w:r>
    </w:p>
    <w:p>
      <w:pPr>
        <w:pStyle w:val="BodyText"/>
        <w:spacing w:line="300" w:lineRule="auto" w:before="63"/>
        <w:ind w:left="1134" w:right="1192" w:firstLine="290"/>
        <w:jc w:val="left"/>
      </w:pPr>
      <w:r>
        <w:rPr>
          <w:rFonts w:ascii="Times New Roman" w:hAnsi="Times New Roman" w:cs="Times New Roman" w:eastAsia="Times New Roman" w:hint="default"/>
        </w:rPr>
        <w:t>4</w:t>
      </w:r>
      <w:r>
        <w:rPr/>
        <w:t>、分配股票股利的条件：在确保足额现金股利分配、保证公司每股盈利水平、股本规模和股权结构合理的前提下，公 司可以发放股票股利；每次分配股票股利时，每</w:t>
      </w:r>
      <w:r>
        <w:rPr>
          <w:rFonts w:ascii="Times New Roman" w:hAnsi="Times New Roman" w:cs="Times New Roman" w:eastAsia="Times New Roman" w:hint="default"/>
        </w:rPr>
        <w:t>10</w:t>
      </w:r>
      <w:r>
        <w:rPr/>
        <w:t>股股票分得的股票股利不少于</w:t>
      </w:r>
      <w:r>
        <w:rPr>
          <w:rFonts w:ascii="Times New Roman" w:hAnsi="Times New Roman" w:cs="Times New Roman" w:eastAsia="Times New Roman" w:hint="default"/>
        </w:rPr>
        <w:t>1</w:t>
      </w:r>
      <w:r>
        <w:rPr/>
        <w:t>股。</w:t>
      </w:r>
    </w:p>
    <w:p>
      <w:pPr>
        <w:pStyle w:val="BodyText"/>
        <w:spacing w:line="300" w:lineRule="auto" w:before="13"/>
        <w:ind w:left="1134" w:right="1192" w:firstLine="290"/>
        <w:jc w:val="left"/>
      </w:pPr>
      <w:r>
        <w:rPr>
          <w:rFonts w:ascii="Times New Roman" w:hAnsi="Times New Roman" w:cs="Times New Roman" w:eastAsia="Times New Roman" w:hint="default"/>
        </w:rPr>
        <w:t>5</w:t>
      </w:r>
      <w:r>
        <w:rPr/>
        <w:t>、公司在进行利润分配时，现金分红优先于股票股利。当公司满足前述现金分红条件时，应当采用现金分红进行利润 分配。采用股票股利进行利润分配的，公司董事会需就采用股票股利进行利润分配的合理因素进行说明；</w:t>
      </w:r>
    </w:p>
    <w:p>
      <w:pPr>
        <w:pStyle w:val="BodyText"/>
        <w:spacing w:line="240" w:lineRule="auto" w:before="31"/>
        <w:ind w:left="1424" w:right="0"/>
        <w:jc w:val="left"/>
      </w:pPr>
      <w:r>
        <w:rPr/>
        <w:t>（二）利润分配需履行的决策程序：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left="1134" w:right="1118" w:firstLine="290"/>
        <w:jc w:val="left"/>
      </w:pPr>
      <w:r>
        <w:rPr>
          <w:rFonts w:ascii="Times New Roman" w:hAnsi="Times New Roman" w:cs="Times New Roman" w:eastAsia="Times New Roman" w:hint="default"/>
        </w:rPr>
        <w:t>1</w:t>
      </w:r>
      <w:r>
        <w:rPr/>
        <w:t>、公司董事会结合公司具体经营数据、盈利规模、现金流量状况、发展阶段及当期资金需求，并结合股东（特别是中 </w:t>
      </w:r>
      <w:r>
        <w:rPr>
          <w:spacing w:val="-2"/>
        </w:rPr>
        <w:t>小股东）、独立董事、监事会的意见，以及参考中介机构的专业指导意见，认真研究和论证公司现金分红的时机、条件和最</w:t>
      </w:r>
      <w:r>
        <w:rPr>
          <w:spacing w:val="-68"/>
        </w:rPr>
        <w:t> </w:t>
      </w:r>
      <w:r>
        <w:rPr>
          <w:spacing w:val="-68"/>
        </w:rPr>
      </w:r>
      <w:r>
        <w:rPr>
          <w:spacing w:val="-2"/>
        </w:rPr>
        <w:t>低比例、调整的条件及其决策程序要求等事宜，在考虑对全体股东持续、稳定、科学的回报基础上，提出利润分配方案，并</w:t>
      </w:r>
      <w:r>
        <w:rPr>
          <w:spacing w:val="-68"/>
        </w:rPr>
        <w:t> </w:t>
      </w:r>
      <w:r>
        <w:rPr>
          <w:spacing w:val="-68"/>
        </w:rPr>
      </w:r>
      <w:r>
        <w:rPr/>
        <w:t>提交股东大会审议，独立董事应当发表明确意见。 独立董事可以征集中小股东的意见，提出分红提案，并直接提交董事会审议。</w:t>
      </w:r>
    </w:p>
    <w:p>
      <w:pPr>
        <w:pStyle w:val="BodyText"/>
        <w:spacing w:line="312" w:lineRule="auto" w:before="20"/>
        <w:ind w:left="1134" w:right="1118" w:firstLine="290"/>
        <w:jc w:val="left"/>
      </w:pPr>
      <w:r>
        <w:rPr>
          <w:rFonts w:ascii="Times New Roman" w:hAnsi="Times New Roman" w:cs="Times New Roman" w:eastAsia="Times New Roman" w:hint="default"/>
        </w:rPr>
        <w:t>2</w:t>
      </w:r>
      <w:r>
        <w:rPr/>
        <w:t>、董事会提出的利润分配方案需经三分之二以上独立董事表决通过并经董事会过半数以上表决通过，独立董事应当对 </w:t>
      </w:r>
      <w:r>
        <w:rPr>
          <w:spacing w:val="-2"/>
        </w:rPr>
        <w:t>利润分配方案发表独立意见。股东大会对现金分红具体预案进行审议前，应当通过多种渠道主动与股东特别是中小股东进行</w:t>
      </w:r>
      <w:r>
        <w:rPr>
          <w:spacing w:val="-64"/>
        </w:rPr>
        <w:t> </w:t>
      </w:r>
      <w:r>
        <w:rPr>
          <w:spacing w:val="-64"/>
        </w:rPr>
      </w:r>
      <w:r>
        <w:rPr>
          <w:spacing w:val="-2"/>
        </w:rPr>
        <w:t>沟通和交流，如通过公众信箱、邮件、电话、公开征集意见等方式，充分听取中小股东的意见和诉求，并及时答复中小股东</w:t>
      </w:r>
      <w:r>
        <w:rPr>
          <w:spacing w:val="-68"/>
        </w:rPr>
        <w:t> </w:t>
      </w:r>
      <w:r>
        <w:rPr>
          <w:spacing w:val="-68"/>
        </w:rPr>
      </w:r>
      <w:r>
        <w:rPr/>
        <w:t>关心的问题；</w:t>
      </w:r>
    </w:p>
    <w:p>
      <w:pPr>
        <w:pStyle w:val="BodyText"/>
        <w:spacing w:line="240" w:lineRule="auto" w:before="22"/>
        <w:ind w:left="1424" w:right="0"/>
        <w:jc w:val="left"/>
      </w:pPr>
      <w:r>
        <w:rPr/>
        <w:t>公司召开股东大会审议该等现金利润分配的议案时，应当提供网络投票表决方式为公众股东参加股东大会提供便利。</w:t>
      </w:r>
    </w:p>
    <w:p>
      <w:pPr>
        <w:pStyle w:val="BodyText"/>
        <w:spacing w:line="300" w:lineRule="auto" w:before="76"/>
        <w:ind w:left="1134" w:right="1192" w:firstLine="290"/>
        <w:jc w:val="left"/>
      </w:pPr>
      <w:r>
        <w:rPr>
          <w:rFonts w:ascii="Times New Roman" w:hAnsi="Times New Roman" w:cs="Times New Roman" w:eastAsia="Times New Roman" w:hint="default"/>
        </w:rPr>
        <w:t>3</w:t>
      </w:r>
      <w:r>
        <w:rPr/>
        <w:t>、监事会应当对董事会制定或修改的利润分配方案进行审议，并经过半数监事通过，在公告董事会决议时应同时披露 独立董事和监事会的审核意见。</w:t>
      </w:r>
    </w:p>
    <w:p>
      <w:pPr>
        <w:pStyle w:val="BodyText"/>
        <w:spacing w:line="316" w:lineRule="auto" w:before="31"/>
        <w:ind w:left="1424" w:right="0"/>
        <w:jc w:val="left"/>
      </w:pPr>
      <w:r>
        <w:rPr/>
        <w:t>（三）公司利润分配政策的变更 </w:t>
      </w:r>
      <w:r>
        <w:rPr>
          <w:spacing w:val="-1"/>
        </w:rPr>
        <w:t>公司根据生产经营情况、投资规划和长期发展的需要，或者公司外部经营环境变化并对公司生产经营造成重大影响，或</w:t>
      </w:r>
    </w:p>
    <w:p>
      <w:pPr>
        <w:pStyle w:val="BodyText"/>
        <w:spacing w:line="316" w:lineRule="auto" w:before="19"/>
        <w:ind w:left="1134" w:right="1131"/>
        <w:jc w:val="both"/>
      </w:pPr>
      <w:r>
        <w:rPr>
          <w:spacing w:val="-2"/>
        </w:rPr>
        <w:t>公司自身经营不善，发生不利变化时，公司可对利润分配政策进行调整，调整后的利润分配政策不得违反中国证监会和深圳</w:t>
      </w:r>
      <w:r>
        <w:rPr>
          <w:spacing w:val="-66"/>
        </w:rPr>
        <w:t> </w:t>
      </w:r>
      <w:r>
        <w:rPr>
          <w:spacing w:val="-66"/>
        </w:rPr>
      </w:r>
      <w:r>
        <w:rPr>
          <w:spacing w:val="-2"/>
        </w:rPr>
        <w:t>证券交易所的有关规定。公司调整利润分配政策由董事会拟定，公司董事会应做出专题论述，详细论证调整理由，形成书面</w:t>
      </w:r>
      <w:r>
        <w:rPr>
          <w:spacing w:val="-65"/>
        </w:rPr>
        <w:t> </w:t>
      </w:r>
      <w:r>
        <w:rPr>
          <w:spacing w:val="-65"/>
        </w:rPr>
      </w:r>
      <w:r>
        <w:rPr>
          <w:spacing w:val="-2"/>
        </w:rPr>
        <w:t>论证报告，独立董事及监事会对利润分配政策调整发表独立意见；调整利润分配政策的议案经董事会审议通过后提交股东大</w:t>
      </w:r>
      <w:r>
        <w:rPr>
          <w:spacing w:val="-64"/>
        </w:rPr>
        <w:t> </w:t>
      </w:r>
      <w:r>
        <w:rPr>
          <w:spacing w:val="-64"/>
        </w:rPr>
      </w:r>
      <w:r>
        <w:rPr/>
        <w:t>会审议批准，并由出席股东大会的股东所持表决权的</w:t>
      </w:r>
      <w:r>
        <w:rPr>
          <w:rFonts w:ascii="Times New Roman" w:hAnsi="Times New Roman" w:cs="Times New Roman" w:eastAsia="Times New Roman" w:hint="default"/>
        </w:rPr>
        <w:t>2/3</w:t>
      </w:r>
      <w:r>
        <w:rPr/>
        <w:t>以上通过方可实施。</w:t>
      </w:r>
    </w:p>
    <w:p>
      <w:pPr>
        <w:pStyle w:val="BodyText"/>
        <w:spacing w:line="316" w:lineRule="auto"/>
        <w:ind w:right="1131" w:firstLine="270"/>
        <w:jc w:val="both"/>
      </w:pPr>
      <w:r>
        <w:rPr/>
        <w:t>（四）公司利润分配不得超过累计可分配利润的范围。股东违规占有公司资金的，公司应当扣减该股东所分配的现金红 </w:t>
      </w:r>
      <w:r>
        <w:rPr>
          <w:spacing w:val="-2"/>
        </w:rPr>
        <w:t>利，以偿还其占用的资金。公司应当根据中国证监会、深圳证券交易所的相关规定，在定期报告中披露公司利润分配方案及</w:t>
      </w:r>
      <w:r>
        <w:rPr>
          <w:spacing w:val="-66"/>
        </w:rPr>
        <w:t> </w:t>
      </w:r>
      <w:r>
        <w:rPr>
          <w:spacing w:val="-66"/>
        </w:rPr>
      </w:r>
      <w:r>
        <w:rPr/>
        <w:t>其实施情况等相关信息。</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9"/>
        <w:ind w:left="1134" w:right="0"/>
        <w:jc w:val="left"/>
      </w:pPr>
      <w:r>
        <w:rPr/>
        <w:t>公司报告期利润分配预案及资本公积金转增股本预案与公司章程和分红管理办法等的相关规定一致</w:t>
      </w:r>
    </w:p>
    <w:p>
      <w:pPr>
        <w:pStyle w:val="BodyText"/>
        <w:spacing w:line="360" w:lineRule="auto" w:before="117"/>
        <w:ind w:right="4273"/>
        <w:jc w:val="left"/>
      </w:pPr>
      <w:r>
        <w:rPr/>
        <w:t>√ 是 □ 否 □ 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107,042,847.78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经立信会计师事务所（特殊普通合伙）审计，</w:t>
            </w:r>
            <w:r>
              <w:rPr>
                <w:rFonts w:ascii="Times New Roman" w:hAnsi="Times New Roman" w:cs="Times New Roman" w:eastAsia="Times New Roman" w:hint="default"/>
                <w:spacing w:val="-7"/>
                <w:sz w:val="18"/>
                <w:szCs w:val="18"/>
              </w:rPr>
              <w:t>2015 </w:t>
            </w:r>
            <w:r>
              <w:rPr>
                <w:rFonts w:ascii="宋体" w:hAnsi="宋体" w:cs="宋体" w:eastAsia="宋体" w:hint="default"/>
                <w:sz w:val="18"/>
                <w:szCs w:val="18"/>
              </w:rPr>
              <w:t>年度公司合并报表实现归属于母公司所有者的净利润</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118,936,497.53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元，按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提取法定盈余公积后，当年实现的可分配利润为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107,042,847.78</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年末累计未分配利润为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520,827,212.30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元。考虑到公司近几年属成长期且有重大资金支出安排，董事会提议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年度利润分配预案为：拟以公司董事会召开日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元（含税）现金股利，合计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51"/>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2013</w:t>
      </w:r>
      <w:r>
        <w:rPr/>
        <w:t>年度</w:t>
      </w:r>
    </w:p>
    <w:p>
      <w:pPr>
        <w:pStyle w:val="BodyText"/>
        <w:spacing w:line="300" w:lineRule="auto" w:before="63"/>
        <w:ind w:right="1130" w:firstLine="29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日第二届董事会第十四次会议、第二届监事会第十三次会议审议通过了《</w:t>
      </w:r>
      <w:r>
        <w:rPr>
          <w:rFonts w:ascii="Times New Roman" w:hAnsi="Times New Roman" w:cs="Times New Roman" w:eastAsia="Times New Roman" w:hint="default"/>
        </w:rPr>
        <w:t>2013</w:t>
      </w:r>
      <w:r>
        <w:rPr/>
        <w:t>年度利润分配预案》，独立 董事发表了同意的独立意见。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2013</w:t>
      </w:r>
      <w:r>
        <w:rPr/>
        <w:t>年度股东大会审议通过了上述方案，即以总股本</w:t>
      </w:r>
      <w:r>
        <w:rPr>
          <w:rFonts w:ascii="Times New Roman" w:hAnsi="Times New Roman" w:cs="Times New Roman" w:eastAsia="Times New Roman" w:hint="default"/>
        </w:rPr>
        <w:t>15,800</w:t>
      </w:r>
      <w:r>
        <w:rPr/>
        <w:t>万股为基数，向 </w:t>
      </w:r>
      <w:r>
        <w:rPr>
          <w:spacing w:val="-1"/>
        </w:rPr>
        <w:t>全体股东按每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w:t>
      </w:r>
      <w:r>
        <w:rPr>
          <w:spacing w:val="-1"/>
        </w:rPr>
        <w:t>元人民币（含税），合计派发现金股利</w:t>
      </w:r>
      <w:r>
        <w:rPr>
          <w:rFonts w:ascii="Times New Roman" w:hAnsi="Times New Roman" w:cs="Times New Roman" w:eastAsia="Times New Roman" w:hint="default"/>
          <w:spacing w:val="-1"/>
        </w:rPr>
        <w:t>15,800,000.00</w:t>
      </w:r>
      <w:r>
        <w:rPr>
          <w:spacing w:val="-1"/>
        </w:rPr>
        <w:t>元（含税）。以上利润分配方案已于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月实</w:t>
      </w:r>
      <w:r>
        <w:rPr>
          <w:spacing w:val="-64"/>
        </w:rPr>
        <w:t> </w:t>
      </w:r>
      <w:r>
        <w:rPr/>
        <w:t>施完毕。</w:t>
      </w:r>
    </w:p>
    <w:p>
      <w:pPr>
        <w:pStyle w:val="BodyText"/>
        <w:spacing w:line="240" w:lineRule="auto" w:before="31"/>
        <w:ind w:right="0"/>
        <w:jc w:val="left"/>
      </w:pPr>
      <w:r>
        <w:rPr>
          <w:rFonts w:ascii="Times New Roman" w:hAnsi="Times New Roman" w:cs="Times New Roman" w:eastAsia="Times New Roman" w:hint="default"/>
        </w:rPr>
        <w:t>2014</w:t>
      </w:r>
      <w:r>
        <w:rPr/>
        <w:t>年度</w:t>
      </w:r>
    </w:p>
    <w:p>
      <w:pPr>
        <w:pStyle w:val="BodyText"/>
        <w:spacing w:line="300" w:lineRule="auto" w:before="63"/>
        <w:ind w:right="1131" w:firstLine="29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日第二届董事会第二十二次会议、第二届监事会第二十次会议审议，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2014</w:t>
      </w:r>
      <w:r>
        <w:rPr/>
        <w:t>年年度股东大会通 </w:t>
      </w:r>
      <w:r>
        <w:rPr>
          <w:spacing w:val="-5"/>
        </w:rPr>
        <w:t>过，考虑到公司近几年业务发展迅速，成长性良好，为增加公司流动性，以及考虑子公司存在重大投资及重大现金支出，</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年度利润分配预案为：拟以</w:t>
      </w:r>
      <w:r>
        <w:rPr>
          <w:rFonts w:ascii="Times New Roman" w:hAnsi="Times New Roman" w:cs="Times New Roman" w:eastAsia="Times New Roman" w:hint="default"/>
        </w:rPr>
        <w:t>2014</w:t>
      </w:r>
      <w:r>
        <w:rPr/>
        <w:t>年末总股本</w:t>
      </w:r>
      <w:r>
        <w:rPr>
          <w:rFonts w:ascii="Times New Roman" w:hAnsi="Times New Roman" w:cs="Times New Roman" w:eastAsia="Times New Roman" w:hint="default"/>
        </w:rPr>
        <w:t>158,000,000</w:t>
      </w:r>
      <w:r>
        <w:rPr/>
        <w:t>股为基数，每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0.80</w:t>
      </w:r>
      <w:r>
        <w:rPr/>
        <w:t>元（含税）现金股利，合计</w:t>
      </w:r>
      <w:r>
        <w:rPr>
          <w:rFonts w:ascii="Times New Roman" w:hAnsi="Times New Roman" w:cs="Times New Roman" w:eastAsia="Times New Roman" w:hint="default"/>
        </w:rPr>
        <w:t>12,640,000.00</w:t>
      </w:r>
      <w:r>
        <w:rPr>
          <w:rFonts w:ascii="Times New Roman" w:hAnsi="Times New Roman" w:cs="Times New Roman" w:eastAsia="Times New Roman" w:hint="default"/>
          <w:spacing w:val="-42"/>
        </w:rPr>
        <w:t> </w:t>
      </w:r>
      <w:r>
        <w:rPr>
          <w:spacing w:val="-2"/>
        </w:rPr>
        <w:t>元，同时以资本公积金向全体股东每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股，共计转增股本</w:t>
      </w:r>
      <w:r>
        <w:rPr>
          <w:rFonts w:ascii="Times New Roman" w:hAnsi="Times New Roman" w:cs="Times New Roman" w:eastAsia="Times New Roman" w:hint="default"/>
          <w:spacing w:val="-2"/>
        </w:rPr>
        <w:t>237,000,000</w:t>
      </w:r>
      <w:r>
        <w:rPr>
          <w:spacing w:val="-2"/>
        </w:rPr>
        <w:t>股。本次利润分配及资本公积金转增股本后公</w:t>
      </w:r>
      <w:r>
        <w:rPr>
          <w:spacing w:val="-51"/>
        </w:rPr>
        <w:t> </w:t>
      </w:r>
      <w:r>
        <w:rPr>
          <w:spacing w:val="-51"/>
        </w:rPr>
      </w:r>
      <w:r>
        <w:rPr/>
        <w:t>司总股本变更为</w:t>
      </w:r>
      <w:r>
        <w:rPr>
          <w:rFonts w:ascii="Times New Roman" w:hAnsi="Times New Roman" w:cs="Times New Roman" w:eastAsia="Times New Roman" w:hint="default"/>
        </w:rPr>
        <w:t>395,000,000</w:t>
      </w:r>
      <w:r>
        <w:rPr/>
        <w:t>股。以上利润分配方案已于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月实施完毕。</w:t>
      </w:r>
    </w:p>
    <w:p>
      <w:pPr>
        <w:pStyle w:val="BodyText"/>
        <w:spacing w:line="240" w:lineRule="auto" w:before="13"/>
        <w:ind w:right="0"/>
        <w:jc w:val="left"/>
      </w:pPr>
      <w:r>
        <w:rPr>
          <w:rFonts w:ascii="Times New Roman" w:hAnsi="Times New Roman" w:cs="Times New Roman" w:eastAsia="Times New Roman" w:hint="default"/>
        </w:rPr>
        <w:t>2015</w:t>
      </w:r>
      <w:r>
        <w:rPr/>
        <w:t>年度</w:t>
      </w:r>
    </w:p>
    <w:p>
      <w:pPr>
        <w:pStyle w:val="BodyText"/>
        <w:spacing w:line="300" w:lineRule="auto" w:before="63"/>
        <w:ind w:right="1130" w:firstLine="290"/>
        <w:jc w:val="both"/>
      </w:pPr>
      <w:r>
        <w:rPr>
          <w:rFonts w:ascii="Times New Roman" w:hAnsi="Times New Roman" w:cs="Times New Roman" w:eastAsia="Times New Roman" w:hint="default"/>
          <w:spacing w:val="-1"/>
        </w:rPr>
        <w:t>2015</w:t>
      </w:r>
      <w:r>
        <w:rPr>
          <w:spacing w:val="-1"/>
        </w:rPr>
        <w:t>年度公司合并报表实现归属于母公司所有者的净利润</w:t>
      </w:r>
      <w:r>
        <w:rPr>
          <w:rFonts w:ascii="Times New Roman" w:hAnsi="Times New Roman" w:cs="Times New Roman" w:eastAsia="Times New Roman" w:hint="default"/>
          <w:spacing w:val="-1"/>
        </w:rPr>
        <w:t>118,936,497.53</w:t>
      </w:r>
      <w:r>
        <w:rPr>
          <w:spacing w:val="-1"/>
        </w:rPr>
        <w:t>元，按</w:t>
      </w:r>
      <w:r>
        <w:rPr>
          <w:rFonts w:ascii="Times New Roman" w:hAnsi="Times New Roman" w:cs="Times New Roman" w:eastAsia="Times New Roman" w:hint="default"/>
          <w:spacing w:val="-1"/>
        </w:rPr>
        <w:t>10%</w:t>
      </w:r>
      <w:r>
        <w:rPr>
          <w:spacing w:val="-1"/>
        </w:rPr>
        <w:t>提取法定盈余公积后，当年实现的可</w:t>
      </w:r>
      <w:r>
        <w:rPr/>
        <w:t> 分配利润为</w:t>
      </w:r>
      <w:r>
        <w:rPr>
          <w:rFonts w:ascii="Times New Roman" w:hAnsi="Times New Roman" w:cs="Times New Roman" w:eastAsia="Times New Roman" w:hint="default"/>
        </w:rPr>
        <w:t>107,042,847.78</w:t>
      </w:r>
      <w:r>
        <w:rPr/>
        <w:t>元，</w:t>
      </w:r>
      <w:r>
        <w:rPr>
          <w:rFonts w:ascii="Times New Roman" w:hAnsi="Times New Roman" w:cs="Times New Roman" w:eastAsia="Times New Roman" w:hint="default"/>
        </w:rPr>
        <w:t>2015</w:t>
      </w:r>
      <w:r>
        <w:rPr/>
        <w:t>年末累计未分配利润为</w:t>
      </w:r>
      <w:r>
        <w:rPr>
          <w:rFonts w:ascii="Times New Roman" w:hAnsi="Times New Roman" w:cs="Times New Roman" w:eastAsia="Times New Roman" w:hint="default"/>
        </w:rPr>
        <w:t>520,827,212.30</w:t>
      </w:r>
      <w:r>
        <w:rPr/>
        <w:t>元。考虑到公司近几年属成长期且有重大资金支出 安排，董事会提议</w:t>
      </w:r>
      <w:r>
        <w:rPr>
          <w:rFonts w:ascii="Times New Roman" w:hAnsi="Times New Roman" w:cs="Times New Roman" w:eastAsia="Times New Roman" w:hint="default"/>
        </w:rPr>
        <w:t>2015</w:t>
      </w:r>
      <w:r>
        <w:rPr/>
        <w:t>年度利润分配预案为：拟以公司董事会召开日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日总股本</w:t>
      </w:r>
      <w:r>
        <w:rPr>
          <w:rFonts w:ascii="Times New Roman" w:hAnsi="Times New Roman" w:cs="Times New Roman" w:eastAsia="Times New Roman" w:hint="default"/>
        </w:rPr>
        <w:t>475,000,000</w:t>
      </w:r>
      <w:r>
        <w:rPr/>
        <w:t>股为基数，每</w:t>
      </w:r>
      <w:r>
        <w:rPr>
          <w:rFonts w:ascii="Times New Roman" w:hAnsi="Times New Roman" w:cs="Times New Roman" w:eastAsia="Times New Roman" w:hint="default"/>
        </w:rPr>
        <w:t>10</w:t>
      </w:r>
      <w:r>
        <w:rPr/>
        <w:t>股派</w:t>
      </w:r>
      <w:r>
        <w:rPr>
          <w:spacing w:val="-85"/>
        </w:rPr>
        <w:t> </w:t>
      </w:r>
      <w:r>
        <w:rPr/>
        <w:t>送</w:t>
      </w:r>
      <w:r>
        <w:rPr>
          <w:rFonts w:ascii="Times New Roman" w:hAnsi="Times New Roman" w:cs="Times New Roman" w:eastAsia="Times New Roman" w:hint="default"/>
        </w:rPr>
        <w:t>0.30</w:t>
      </w:r>
      <w:r>
        <w:rPr/>
        <w:t>元（含税）现金股利，合计</w:t>
      </w:r>
      <w:r>
        <w:rPr>
          <w:rFonts w:ascii="Times New Roman" w:hAnsi="Times New Roman" w:cs="Times New Roman" w:eastAsia="Times New Roman" w:hint="default"/>
        </w:rPr>
        <w:t>14,250,000.00</w:t>
      </w:r>
      <w:r>
        <w:rPr/>
        <w:t>元。</w:t>
      </w:r>
    </w:p>
    <w:p>
      <w:pPr>
        <w:pStyle w:val="BodyText"/>
        <w:spacing w:line="240" w:lineRule="auto" w:before="53"/>
        <w:ind w:left="113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118,936,497.53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115,493,664.07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88,178,458.31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r>
        <w:rPr/>
        <w:pict>
          <v:group style="position:absolute;margin-left:415.619995pt;margin-top:274.219971pt;width:43.8pt;height:225.2pt;mso-position-horizontal-relative:page;mso-position-vertical-relative:page;z-index:-649840" coordorigin="8312,5484" coordsize="876,4504">
            <v:shape style="position:absolute;left:8312;top:5484;width:876;height:4504" coordorigin="8312,5484" coordsize="876,4504" path="m8312,9988l9188,9988,9188,5484,8312,5484,8312,9988xe" filled="true" fillcolor="#ffffff" stroked="false">
              <v:path arrowok="t"/>
              <v:fill type="solid"/>
            </v:shape>
            <w10:wrap type="none"/>
          </v:group>
        </w:pict>
      </w:r>
      <w:r>
        <w:rPr/>
        <w:pict>
          <v:group style="position:absolute;margin-left:415.619995pt;margin-top:534.639954pt;width:43.8pt;height:225.2pt;mso-position-horizontal-relative:page;mso-position-vertical-relative:page;z-index:-649816" coordorigin="8312,10693" coordsize="876,4504">
            <v:shape style="position:absolute;left:8312;top:10693;width:876;height:4504" coordorigin="8312,10693" coordsize="876,4504" path="m8312,15197l9188,15197,9188,10693,8312,10693,8312,15197xe" filled="true" fillcolor="#ffffff" stroked="false">
              <v:path arrowok="t"/>
              <v:fill type="solid"/>
            </v:shape>
            <w10:wrap type="none"/>
          </v:group>
        </w:pict>
      </w:r>
    </w:p>
    <w:p>
      <w:pPr>
        <w:pStyle w:val="Heading2"/>
        <w:spacing w:line="240" w:lineRule="auto" w:before="26"/>
        <w:ind w:right="0"/>
        <w:jc w:val="left"/>
        <w:rPr>
          <w:b w:val="0"/>
          <w:bCs w:val="0"/>
        </w:rPr>
      </w:pPr>
      <w:bookmarkStart w:name="二、承诺事项履行情况" w:id="59"/>
      <w:bookmarkEnd w:id="59"/>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股东、实际控制人、收购人、董事、监事、高级管理人员或其他关联方在报告期" w:id="60"/>
      <w:bookmarkEnd w:id="60"/>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60"/>
        <w:gridCol w:w="1080"/>
        <w:gridCol w:w="1080"/>
        <w:gridCol w:w="3753"/>
        <w:gridCol w:w="886"/>
        <w:gridCol w:w="990"/>
        <w:gridCol w:w="922"/>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080" w:type="dxa"/>
            <w:tcBorders>
              <w:top w:val="single" w:sz="4" w:space="0" w:color="000000"/>
              <w:left w:val="single" w:sz="13" w:space="0" w:color="D2D2D2"/>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75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080" w:type="dxa"/>
            <w:tcBorders>
              <w:top w:val="single" w:sz="4" w:space="0" w:color="000000"/>
              <w:left w:val="single" w:sz="13" w:space="0" w:color="D2D2D2"/>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75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353" w:hRule="exact"/>
        </w:trPr>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16" w:right="-40"/>
              <w:jc w:val="left"/>
              <w:rPr>
                <w:rFonts w:ascii="宋体" w:hAnsi="宋体" w:cs="宋体" w:eastAsia="宋体" w:hint="default"/>
                <w:sz w:val="18"/>
                <w:szCs w:val="18"/>
              </w:rPr>
            </w:pPr>
            <w:r>
              <w:rPr>
                <w:rFonts w:ascii="宋体" w:hAnsi="宋体" w:cs="宋体" w:eastAsia="宋体" w:hint="default"/>
                <w:sz w:val="18"/>
                <w:szCs w:val="18"/>
              </w:rPr>
              <w:t>华峰集团有 </w:t>
            </w:r>
            <w:r>
              <w:rPr>
                <w:rFonts w:ascii="宋体" w:hAnsi="宋体" w:cs="宋体" w:eastAsia="宋体" w:hint="default"/>
                <w:spacing w:val="-10"/>
                <w:sz w:val="18"/>
                <w:szCs w:val="18"/>
              </w:rPr>
              <w:t>限公司、尤小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平、尤金焕、 </w:t>
            </w:r>
            <w:r>
              <w:rPr>
                <w:rFonts w:ascii="宋体" w:hAnsi="宋体" w:cs="宋体" w:eastAsia="宋体" w:hint="default"/>
                <w:spacing w:val="-10"/>
                <w:sz w:val="18"/>
                <w:szCs w:val="18"/>
              </w:rPr>
              <w:t>尤小华、尤小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燕、尤小玲、 陈林真</w:t>
            </w:r>
          </w:p>
        </w:tc>
        <w:tc>
          <w:tcPr>
            <w:tcW w:w="1080"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6"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10"/>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375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一、为避免今后与公司之间可能出现的同业竞 </w:t>
            </w:r>
            <w:r>
              <w:rPr>
                <w:rFonts w:ascii="宋体" w:hAnsi="宋体" w:cs="宋体" w:eastAsia="宋体" w:hint="default"/>
                <w:spacing w:val="-5"/>
                <w:sz w:val="18"/>
                <w:szCs w:val="18"/>
              </w:rPr>
              <w:t>争，维护公司全体股东的利益和保证公司的长期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稳定发展，公司的第一大股东华峰集团以及本公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司的实际控制人尤小平、尤金焕、尤小华、尤小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玲、尤小燕、陈林真分别向本公司出具了《关于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避免同业竞争的承诺函》，承诺函的主要内容如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下：</w:t>
            </w:r>
            <w:r>
              <w:rPr>
                <w:rFonts w:ascii="宋体" w:hAnsi="宋体" w:cs="宋体" w:eastAsia="宋体" w:hint="default"/>
                <w:spacing w:val="-10"/>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、于本承诺函签署之日，本公司、本公司</w:t>
            </w: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（本人）直接或间接控制的除股份公司外的其他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企业及本公司（本人）参股企业均未直接或间接</w:t>
            </w:r>
            <w:r>
              <w:rPr>
                <w:rFonts w:ascii="宋体" w:hAnsi="宋体" w:cs="宋体" w:eastAsia="宋体" w:hint="default"/>
                <w:sz w:val="18"/>
                <w:szCs w:val="18"/>
              </w:rPr>
              <w:t> </w:t>
            </w:r>
            <w:r>
              <w:rPr>
                <w:rFonts w:ascii="宋体" w:hAnsi="宋体" w:cs="宋体" w:eastAsia="宋体" w:hint="default"/>
                <w:spacing w:val="-5"/>
                <w:sz w:val="18"/>
                <w:szCs w:val="18"/>
              </w:rPr>
              <w:t>生产、开发任何与股份公司生产的产品构成竞争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或可能构成竞争的产品，未直接或间接从事任何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与股份公司经营的业务构成竞争或可能构成竞 争的业务或活动；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、自本承诺函签署之日起 </w:t>
            </w:r>
            <w:r>
              <w:rPr>
                <w:rFonts w:ascii="宋体" w:hAnsi="宋体" w:cs="宋体" w:eastAsia="宋体" w:hint="default"/>
                <w:spacing w:val="-5"/>
                <w:sz w:val="18"/>
                <w:szCs w:val="18"/>
              </w:rPr>
              <w:t>本公司、本公司（本人）直接或间接控制的除股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份公司外的其他企业及本公司（本人）参股企业</w:t>
            </w:r>
            <w:r>
              <w:rPr>
                <w:rFonts w:ascii="宋体" w:hAnsi="宋体" w:cs="宋体" w:eastAsia="宋体" w:hint="default"/>
                <w:sz w:val="18"/>
                <w:szCs w:val="18"/>
              </w:rPr>
              <w:t> </w:t>
            </w:r>
            <w:r>
              <w:rPr>
                <w:rFonts w:ascii="宋体" w:hAnsi="宋体" w:cs="宋体" w:eastAsia="宋体" w:hint="default"/>
                <w:spacing w:val="-5"/>
                <w:sz w:val="18"/>
                <w:szCs w:val="18"/>
              </w:rPr>
              <w:t>将不直接或间接生产、开发任何与股份公司生产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的产品构成竞争或可能构成竞争的产品，不直接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或间接从事任何与股份公司经营的业务构成竞 争或可能构成竞争的业务或活动；</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、自本承诺</w:t>
            </w:r>
            <w:r>
              <w:rPr>
                <w:rFonts w:ascii="宋体" w:hAnsi="宋体" w:cs="宋体" w:eastAsia="宋体" w:hint="default"/>
                <w:sz w:val="18"/>
                <w:szCs w:val="18"/>
              </w:rPr>
              <w:t> </w:t>
            </w:r>
            <w:r>
              <w:rPr>
                <w:rFonts w:ascii="宋体" w:hAnsi="宋体" w:cs="宋体" w:eastAsia="宋体" w:hint="default"/>
                <w:spacing w:val="-5"/>
                <w:sz w:val="18"/>
                <w:szCs w:val="18"/>
              </w:rPr>
              <w:t>函签署之日起，如股份公司进一步拓展其产品和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业务范围，本公司、本公司（本人）直接或间接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控制的除股份公司外的其他企业及本公司（本 </w:t>
            </w:r>
            <w:r>
              <w:rPr>
                <w:rFonts w:ascii="宋体" w:hAnsi="宋体" w:cs="宋体" w:eastAsia="宋体" w:hint="default"/>
                <w:spacing w:val="-5"/>
                <w:sz w:val="18"/>
                <w:szCs w:val="18"/>
              </w:rPr>
              <w:t>人）参股企业将不与股份公司拓展后的产品或业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务相竞争；若与股份公司拓展后的产品或业务产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生竞争，本公司、本公司（本人）直接或间接控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制的除股份公司外的其他企业及本公司（本人 参股企业将停止生产或经营相竞争的产品或业 </w:t>
            </w:r>
            <w:r>
              <w:rPr>
                <w:rFonts w:ascii="宋体" w:hAnsi="宋体" w:cs="宋体" w:eastAsia="宋体" w:hint="default"/>
                <w:spacing w:val="-5"/>
                <w:sz w:val="18"/>
                <w:szCs w:val="18"/>
              </w:rPr>
              <w:t>务，或者将相竞争的产品或业务纳入到股份公司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的生产或经营，或者将相竞争的产品或业务转让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给无关联关系的第三方；如本承诺函被证明是不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真实或未被遵守，本公司（本人）将向股份公司</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1016" w:hRule="exact"/>
        </w:trPr>
        <w:tc>
          <w:tcPr>
            <w:tcW w:w="12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080" w:type="dxa"/>
            <w:vMerge/>
            <w:tcBorders>
              <w:left w:val="single" w:sz="9" w:space="0" w:color="D2D2D2"/>
              <w:right w:val="single" w:sz="9" w:space="0" w:color="FFFFFF"/>
            </w:tcBorders>
          </w:tcPr>
          <w:p>
            <w:pPr/>
          </w:p>
        </w:tc>
        <w:tc>
          <w:tcPr>
            <w:tcW w:w="1080" w:type="dxa"/>
            <w:vMerge/>
            <w:tcBorders>
              <w:left w:val="single" w:sz="9" w:space="0" w:color="FFFFFF"/>
              <w:right w:val="single" w:sz="4" w:space="0" w:color="000000"/>
            </w:tcBorders>
          </w:tcPr>
          <w:p>
            <w:pPr/>
          </w:p>
        </w:tc>
        <w:tc>
          <w:tcPr>
            <w:tcW w:w="375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4353" w:hRule="exact"/>
        </w:trPr>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vMerge/>
            <w:tcBorders>
              <w:left w:val="single" w:sz="9" w:space="0" w:color="D2D2D2"/>
              <w:bottom w:val="single" w:sz="4" w:space="0" w:color="000000"/>
              <w:right w:val="single" w:sz="9" w:space="0" w:color="FFFFFF"/>
            </w:tcBorders>
          </w:tcPr>
          <w:p>
            <w:pPr/>
          </w:p>
        </w:tc>
        <w:tc>
          <w:tcPr>
            <w:tcW w:w="1080" w:type="dxa"/>
            <w:vMerge/>
            <w:tcBorders>
              <w:left w:val="single" w:sz="9" w:space="0" w:color="FFFFFF"/>
              <w:bottom w:val="single" w:sz="4" w:space="0" w:color="000000"/>
              <w:right w:val="single" w:sz="4" w:space="0" w:color="000000"/>
            </w:tcBorders>
          </w:tcPr>
          <w:p>
            <w:pPr/>
          </w:p>
        </w:tc>
        <w:tc>
          <w:tcPr>
            <w:tcW w:w="375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8"/>
        <w:rPr>
          <w:rFonts w:ascii="宋体" w:hAnsi="宋体" w:cs="宋体" w:eastAsia="宋体" w:hint="default"/>
          <w:sz w:val="26"/>
          <w:szCs w:val="26"/>
        </w:rPr>
      </w:pPr>
    </w:p>
    <w:p>
      <w:pPr>
        <w:pStyle w:val="BodyText"/>
        <w:spacing w:line="314" w:lineRule="auto" w:before="44"/>
        <w:ind w:left="4582" w:right="3524"/>
        <w:jc w:val="left"/>
      </w:pPr>
      <w:r>
        <w:rPr/>
        <w:pict>
          <v:shape style="position:absolute;margin-left:409.440002pt;margin-top:1.671743pt;width:50pt;height:236.1pt;mso-position-horizontal-relative:page;mso-position-vertical-relative:paragraph;z-index:-649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left="0" w:right="0"/>
                    <w:jc w:val="left"/>
                  </w:pPr>
                  <w:r>
                    <w:rPr/>
                    <w:t>、</w:t>
                  </w:r>
                </w:p>
              </w:txbxContent>
            </v:textbox>
            <w10:wrap type="none"/>
          </v:shape>
        </w:pict>
      </w:r>
      <w:r>
        <w:rPr>
          <w:spacing w:val="-4"/>
        </w:rPr>
        <w:t>赔偿一切直接和间接损失。二、第一大股东华峰</w:t>
      </w:r>
      <w:r>
        <w:rPr/>
        <w:t> 集团以及实际控制人尤小平、尤金焕、尤小华、 </w:t>
      </w:r>
      <w:r>
        <w:rPr>
          <w:spacing w:val="-4"/>
        </w:rPr>
        <w:t>陈林真、尤小玲、尤小燕已经出具了《减少及规</w:t>
      </w:r>
      <w:r>
        <w:rPr/>
        <w:t> </w:t>
      </w:r>
      <w:r>
        <w:rPr>
          <w:spacing w:val="-7"/>
        </w:rPr>
        <w:t>范关联交易承诺函》，做出如下承诺和保证：</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华峰集团、尤小平、尤金焕、尤小华、陈林真、 </w:t>
      </w:r>
      <w:r>
        <w:rPr>
          <w:spacing w:val="-5"/>
        </w:rPr>
        <w:t>尤小玲、尤小燕及其控制的其他企业将尽量避免</w:t>
      </w:r>
      <w:r>
        <w:rPr>
          <w:spacing w:val="-70"/>
        </w:rPr>
        <w:t> </w:t>
      </w:r>
      <w:r>
        <w:rPr>
          <w:spacing w:val="-70"/>
        </w:rPr>
      </w:r>
      <w:r>
        <w:rPr/>
        <w:t>与股份公司及其控股或控制的子公司之间发生 关联交易。</w:t>
      </w:r>
      <w:r>
        <w:rPr>
          <w:spacing w:val="-26"/>
        </w:rPr>
        <w:t> </w:t>
      </w:r>
      <w:r>
        <w:rPr>
          <w:rFonts w:ascii="Times New Roman" w:hAnsi="Times New Roman" w:cs="Times New Roman" w:eastAsia="Times New Roman" w:hint="default"/>
          <w:spacing w:val="-4"/>
        </w:rPr>
        <w:t>2</w:t>
      </w:r>
      <w:r>
        <w:rPr>
          <w:spacing w:val="-4"/>
        </w:rPr>
        <w:t>、如果关联交易难以避免，交易双</w:t>
      </w:r>
      <w:r>
        <w:rPr>
          <w:spacing w:val="-86"/>
        </w:rPr>
        <w:t> </w:t>
      </w:r>
      <w:r>
        <w:rPr>
          <w:spacing w:val="-86"/>
        </w:rPr>
      </w:r>
      <w:r>
        <w:rPr>
          <w:spacing w:val="-5"/>
        </w:rPr>
        <w:t>方将严格按照正常商业行为准则进行。关联交易</w:t>
      </w:r>
      <w:r>
        <w:rPr>
          <w:spacing w:val="-70"/>
        </w:rPr>
        <w:t> </w:t>
      </w:r>
      <w:r>
        <w:rPr>
          <w:spacing w:val="-70"/>
        </w:rPr>
      </w:r>
      <w:r>
        <w:rPr/>
        <w:t>的定价政策遵循市场公平、公正、公开的原则， 交易价格依据与市场独立第三方交易价格确定。 无市场价格可比较或定价受到限制的重大关联 </w:t>
      </w:r>
      <w:r>
        <w:rPr>
          <w:spacing w:val="-5"/>
        </w:rPr>
        <w:t>交易，按照交易的商品或劳务的成本基础上加合</w:t>
      </w:r>
      <w:r>
        <w:rPr>
          <w:spacing w:val="-70"/>
        </w:rPr>
        <w:t> </w:t>
      </w:r>
      <w:r>
        <w:rPr>
          <w:spacing w:val="-70"/>
        </w:rPr>
      </w:r>
      <w:r>
        <w:rPr>
          <w:spacing w:val="-5"/>
        </w:rPr>
        <w:t>理利润的标准予以确定交易价格，以保证交易价</w:t>
      </w:r>
      <w:r>
        <w:rPr>
          <w:spacing w:val="-70"/>
        </w:rPr>
        <w:t> </w:t>
      </w:r>
      <w:r>
        <w:rPr>
          <w:spacing w:val="-70"/>
        </w:rPr>
      </w:r>
      <w:r>
        <w:rPr/>
        <w:t>格的公允性。</w:t>
      </w:r>
    </w:p>
    <w:p>
      <w:pPr>
        <w:spacing w:after="0" w:line="314" w:lineRule="auto"/>
        <w:jc w:val="left"/>
        <w:sectPr>
          <w:pgSz w:w="11910" w:h="16840"/>
          <w:pgMar w:header="747" w:footer="979"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19" w:lineRule="auto"/>
        <w:ind w:left="2422" w:right="-20"/>
        <w:jc w:val="left"/>
      </w:pPr>
      <w:r>
        <w:rPr>
          <w:spacing w:val="-10"/>
        </w:rPr>
        <w:t>尤小平、尤金</w:t>
      </w:r>
      <w:r>
        <w:rPr>
          <w:spacing w:val="-87"/>
        </w:rPr>
        <w:t> </w:t>
      </w:r>
      <w:r>
        <w:rPr>
          <w:spacing w:val="-87"/>
        </w:rPr>
      </w:r>
      <w:r>
        <w:rPr/>
        <w:t>焕、尤小华、股份限售承 </w:t>
      </w:r>
      <w:r>
        <w:rPr>
          <w:spacing w:val="-10"/>
        </w:rPr>
        <w:t>尤小燕、尤小</w:t>
      </w:r>
      <w:r>
        <w:rPr>
          <w:spacing w:val="-34"/>
        </w:rPr>
        <w:t> </w:t>
      </w:r>
      <w:r>
        <w:rPr/>
        <w:t>诺</w:t>
      </w:r>
      <w:r>
        <w:rPr>
          <w:spacing w:val="-88"/>
        </w:rPr>
        <w:t> </w:t>
      </w:r>
      <w:r>
        <w:rPr>
          <w:spacing w:val="-88"/>
        </w:rPr>
      </w:r>
      <w:r>
        <w:rPr/>
        <w:t>玲、陈林真</w:t>
      </w:r>
    </w:p>
    <w:p>
      <w:pPr>
        <w:pStyle w:val="BodyText"/>
        <w:spacing w:line="316" w:lineRule="auto" w:before="110"/>
        <w:ind w:left="139" w:right="0"/>
        <w:jc w:val="left"/>
      </w:pPr>
      <w:r>
        <w:rPr>
          <w:spacing w:val="-5"/>
        </w:rPr>
        <w:br w:type="column"/>
      </w:r>
      <w:r>
        <w:rPr>
          <w:spacing w:val="-5"/>
        </w:rPr>
        <w:t>本公司董事长尤小平、监事尤小玲以及其直系亲</w:t>
      </w:r>
      <w:r>
        <w:rPr>
          <w:spacing w:val="-70"/>
        </w:rPr>
        <w:t> </w:t>
      </w:r>
      <w:r>
        <w:rPr>
          <w:spacing w:val="-70"/>
        </w:rPr>
      </w:r>
      <w:r>
        <w:rPr>
          <w:spacing w:val="-5"/>
        </w:rPr>
        <w:t>属尤金焕、尤小华、尤小燕、陈林真（以上六人</w:t>
      </w:r>
      <w:r>
        <w:rPr>
          <w:spacing w:val="-73"/>
        </w:rPr>
        <w:t> </w:t>
      </w:r>
      <w:r>
        <w:rPr>
          <w:spacing w:val="-73"/>
        </w:rPr>
      </w:r>
      <w:r>
        <w:rPr>
          <w:spacing w:val="-4"/>
        </w:rPr>
        <w:t>为本公司实际控制人）均特别承诺：在前述限售</w:t>
      </w:r>
      <w:r>
        <w:rPr/>
        <w:t> </w:t>
      </w:r>
      <w:r>
        <w:rPr>
          <w:spacing w:val="-4"/>
        </w:rPr>
        <w:t>期满后，在尤小平、尤小玲任职期间，每年转让</w:t>
      </w:r>
      <w:r>
        <w:rPr/>
        <w:t> 的股份不超过其直接和间接持有发行人股份总</w:t>
      </w:r>
    </w:p>
    <w:p>
      <w:pPr>
        <w:pStyle w:val="BodyText"/>
        <w:spacing w:line="203" w:lineRule="exact" w:before="20"/>
        <w:ind w:left="139" w:right="0"/>
        <w:jc w:val="left"/>
        <w:rPr>
          <w:rFonts w:ascii="Times New Roman" w:hAnsi="Times New Roman" w:cs="Times New Roman" w:eastAsia="Times New Roman" w:hint="default"/>
        </w:rPr>
      </w:pPr>
      <w:r>
        <w:rPr/>
        <w:t>数的百分之二十五</w:t>
      </w:r>
      <w:r>
        <w:rPr>
          <w:spacing w:val="-85"/>
        </w:rPr>
        <w:t>，</w:t>
      </w:r>
      <w:r>
        <w:rPr/>
        <w:t>并且在卖出后六个月内不再</w:t>
      </w:r>
      <w:r>
        <w:rPr>
          <w:spacing w:val="-33"/>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01</w:t>
      </w:r>
    </w:p>
    <w:p>
      <w:pPr>
        <w:pStyle w:val="BodyText"/>
        <w:spacing w:line="149" w:lineRule="exact"/>
        <w:ind w:left="0" w:right="0"/>
        <w:jc w:val="right"/>
      </w:pPr>
      <w:r>
        <w:rPr/>
        <w:t>长期</w:t>
      </w:r>
    </w:p>
    <w:p>
      <w:pPr>
        <w:pStyle w:val="BodyText"/>
        <w:spacing w:line="209" w:lineRule="exact"/>
        <w:ind w:left="139" w:right="0"/>
        <w:jc w:val="left"/>
      </w:pPr>
      <w:r>
        <w:rPr/>
        <w:t>买入发行人的股份</w:t>
      </w:r>
      <w:r>
        <w:rPr>
          <w:spacing w:val="-85"/>
        </w:rPr>
        <w:t>，</w:t>
      </w:r>
      <w:r>
        <w:rPr/>
        <w:t>买入后六个月内不再卖出发</w:t>
      </w:r>
      <w:r>
        <w:rPr>
          <w:spacing w:val="-3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319" w:lineRule="auto" w:before="62"/>
        <w:ind w:left="139" w:right="1199"/>
        <w:jc w:val="left"/>
      </w:pPr>
      <w:r>
        <w:rPr>
          <w:spacing w:val="-4"/>
        </w:rPr>
        <w:t>行人股份；尤小平、尤小玲离职后六个月内，不</w:t>
      </w:r>
      <w:r>
        <w:rPr/>
        <w:t> 转让其直接或间接持有的发行人股份；尤小平、 尤小玲离职六个月后的十二个月内转让其直接 或间接持有的发行人股份不超过其该部分股份 总数的百分之五十。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316" w:lineRule="auto"/>
        <w:ind w:left="589" w:right="956"/>
        <w:jc w:val="left"/>
      </w:pPr>
      <w:r>
        <w:rPr/>
        <w:t>已履行承 诺</w:t>
      </w:r>
    </w:p>
    <w:p>
      <w:pPr>
        <w:spacing w:after="0" w:line="316" w:lineRule="auto"/>
        <w:jc w:val="left"/>
        <w:sectPr>
          <w:type w:val="continuous"/>
          <w:pgSz w:w="11910" w:h="16840"/>
          <w:pgMar w:top="1060" w:bottom="1160" w:left="0" w:right="0"/>
          <w:cols w:num="3" w:equalWidth="0">
            <w:col w:w="4403" w:space="40"/>
            <w:col w:w="5139" w:space="40"/>
            <w:col w:w="228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310" w:lineRule="atLeast"/>
        <w:ind w:left="1542" w:right="0"/>
        <w:jc w:val="right"/>
      </w:pPr>
      <w:r>
        <w:rPr/>
        <w:t>浙江华峰氨 纶股份有限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spacing w:line="316" w:lineRule="auto"/>
        <w:ind w:left="139" w:right="-19"/>
        <w:jc w:val="left"/>
      </w:pPr>
      <w:r>
        <w:rPr/>
        <w:t>关于同业竞 争、关联交</w:t>
      </w:r>
    </w:p>
    <w:p>
      <w:pPr>
        <w:pStyle w:val="BodyText"/>
        <w:spacing w:line="316" w:lineRule="auto" w:before="107"/>
        <w:ind w:left="139" w:right="1199"/>
        <w:jc w:val="left"/>
      </w:pPr>
      <w:r>
        <w:rPr>
          <w:spacing w:val="-4"/>
        </w:rPr>
        <w:br w:type="column"/>
      </w:r>
      <w:r>
        <w:rPr>
          <w:spacing w:val="-4"/>
        </w:rPr>
        <w:t>一、就与公司避免同业竞争，经华峰氨纶第四届</w:t>
      </w:r>
      <w:r>
        <w:rPr/>
        <w:t> </w:t>
      </w:r>
      <w:r>
        <w:rPr>
          <w:spacing w:val="-5"/>
        </w:rPr>
        <w:t>董事会第八次会议审议通过，华峰氨纶向公司出</w:t>
      </w:r>
      <w:r>
        <w:rPr>
          <w:spacing w:val="-70"/>
        </w:rPr>
        <w:t> </w:t>
      </w:r>
      <w:r>
        <w:rPr>
          <w:spacing w:val="-70"/>
        </w:rPr>
      </w:r>
      <w:r>
        <w:rPr>
          <w:spacing w:val="-5"/>
        </w:rPr>
        <w:t>具了《承诺函》，华峰氨纶承诺：截至本承诺函</w:t>
      </w:r>
      <w:r>
        <w:rPr>
          <w:spacing w:val="-75"/>
        </w:rPr>
        <w:t> </w:t>
      </w:r>
      <w:r>
        <w:rPr>
          <w:spacing w:val="-75"/>
        </w:rPr>
      </w:r>
      <w:r>
        <w:rPr>
          <w:spacing w:val="-5"/>
        </w:rPr>
        <w:t>签署之日，本公司未直接或间接从事与华峰超纤</w:t>
      </w:r>
      <w:r>
        <w:rPr>
          <w:spacing w:val="-70"/>
        </w:rPr>
        <w:t> </w:t>
      </w:r>
      <w:r>
        <w:rPr>
          <w:spacing w:val="-70"/>
        </w:rPr>
      </w:r>
      <w:r>
        <w:rPr/>
        <w:t>构成竞争的任何业务；自本承诺函签署之日起， 本公司及下属子公司将不直接或间接从事人造 </w:t>
      </w:r>
      <w:r>
        <w:rPr>
          <w:spacing w:val="-4"/>
        </w:rPr>
        <w:t>革合成革（包括超细纤维聚氨酯合成革）的生产</w:t>
      </w:r>
    </w:p>
    <w:p>
      <w:pPr>
        <w:pStyle w:val="BodyText"/>
        <w:spacing w:line="203" w:lineRule="exact" w:before="20"/>
        <w:ind w:left="139" w:right="0"/>
        <w:jc w:val="left"/>
        <w:rPr>
          <w:rFonts w:ascii="Times New Roman" w:hAnsi="Times New Roman" w:cs="Times New Roman" w:eastAsia="Times New Roman" w:hint="default"/>
        </w:rPr>
      </w:pPr>
      <w:r>
        <w:rPr/>
        <w:t>和销售。</w:t>
      </w:r>
      <w:r>
        <w:rPr>
          <w:spacing w:val="-3"/>
        </w:rPr>
        <w:t> </w:t>
      </w:r>
      <w:r>
        <w:rPr/>
        <w:t>二、就与公司减少关联交易，经华峰</w:t>
      </w:r>
      <w:r>
        <w:rPr>
          <w:spacing w:val="-3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01</w:t>
      </w:r>
    </w:p>
    <w:p>
      <w:pPr>
        <w:pStyle w:val="BodyText"/>
        <w:spacing w:line="164" w:lineRule="exact"/>
        <w:ind w:left="0" w:right="0"/>
        <w:jc w:val="right"/>
      </w:pPr>
      <w:r>
        <w:rPr/>
        <w:t>长期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left="589" w:right="0"/>
        <w:jc w:val="left"/>
      </w:pPr>
      <w:r>
        <w:rPr/>
        <w:t>已履行承</w:t>
      </w:r>
    </w:p>
    <w:p>
      <w:pPr>
        <w:spacing w:after="0" w:line="240" w:lineRule="auto"/>
        <w:jc w:val="left"/>
        <w:sectPr>
          <w:type w:val="continuous"/>
          <w:pgSz w:w="11910" w:h="16840"/>
          <w:pgMar w:top="1060" w:bottom="1160" w:left="0" w:right="0"/>
          <w:cols w:num="4" w:equalWidth="0">
            <w:col w:w="3323" w:space="40"/>
            <w:col w:w="1040" w:space="40"/>
            <w:col w:w="5139" w:space="40"/>
            <w:col w:w="2288"/>
          </w:cols>
        </w:sectPr>
      </w:pPr>
    </w:p>
    <w:p>
      <w:pPr>
        <w:pStyle w:val="BodyText"/>
        <w:tabs>
          <w:tab w:pos="10210" w:val="left" w:leader="none"/>
        </w:tabs>
        <w:spacing w:line="124" w:lineRule="exact"/>
        <w:ind w:left="3502" w:right="0"/>
        <w:jc w:val="left"/>
      </w:pPr>
      <w:r>
        <w:rPr/>
        <w:t>易</w:t>
      </w:r>
      <w:r>
        <w:rPr>
          <w:spacing w:val="-57"/>
        </w:rPr>
        <w:t>、</w:t>
      </w:r>
      <w:r>
        <w:rPr/>
        <w:t>资金占用</w:t>
      </w:r>
      <w:r>
        <w:rPr>
          <w:spacing w:val="-34"/>
        </w:rPr>
        <w:t> </w:t>
      </w:r>
      <w:r>
        <w:rPr/>
        <w:t>氨纶第四届董事会第八次会议审议通过</w:t>
      </w:r>
      <w:r>
        <w:rPr>
          <w:spacing w:val="-85"/>
        </w:rPr>
        <w:t>，</w:t>
      </w:r>
      <w:r>
        <w:rPr/>
        <w:t>华峰氨</w:t>
      </w:r>
      <w:r>
        <w:rPr>
          <w:spacing w:val="-3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t>诺</w:t>
      </w:r>
    </w:p>
    <w:p>
      <w:pPr>
        <w:pStyle w:val="BodyText"/>
        <w:spacing w:line="164" w:lineRule="exact"/>
        <w:ind w:left="2422" w:right="0"/>
        <w:jc w:val="left"/>
      </w:pPr>
      <w:r>
        <w:rPr/>
        <w:t>公司</w:t>
      </w:r>
    </w:p>
    <w:p>
      <w:pPr>
        <w:spacing w:after="0" w:line="164" w:lineRule="exact"/>
        <w:jc w:val="left"/>
        <w:sectPr>
          <w:type w:val="continuous"/>
          <w:pgSz w:w="11910" w:h="16840"/>
          <w:pgMar w:top="1060" w:bottom="1160" w:left="0" w:right="0"/>
        </w:sectPr>
      </w:pPr>
    </w:p>
    <w:p>
      <w:pPr>
        <w:pStyle w:val="BodyText"/>
        <w:spacing w:line="181" w:lineRule="exact"/>
        <w:ind w:left="0" w:right="0"/>
        <w:jc w:val="right"/>
      </w:pPr>
      <w:r>
        <w:rPr/>
        <w:pict>
          <v:group style="position:absolute;margin-left:56.459999pt;margin-top:71.759979pt;width:499.05pt;height:683.35pt;mso-position-horizontal-relative:page;mso-position-vertical-relative:page;z-index:-649768" coordorigin="1129,1435" coordsize="9981,13667">
            <v:group style="position:absolute;left:1139;top:1450;width:1251;height:4722" coordorigin="1139,1450" coordsize="1251,4722">
              <v:shape style="position:absolute;left:1139;top:1450;width:1251;height:4722" coordorigin="1139,1450" coordsize="1251,4722" path="m1139,6171l2390,6171,2390,1450,1139,1450,1139,6171xe" filled="true" fillcolor="#d2d2d2" stroked="false">
                <v:path arrowok="t"/>
                <v:fill type="solid"/>
              </v:shape>
            </v:group>
            <v:group style="position:absolute;left:1139;top:1445;width:1251;height:2" coordorigin="1139,1445" coordsize="1251,2">
              <v:shape style="position:absolute;left:1139;top:1445;width:1251;height:2" coordorigin="1139,1445" coordsize="1251,0" path="m1139,1445l2390,1445e" filled="false" stroked="true" strokeweight=".48pt" strokecolor="#000000">
                <v:path arrowok="t"/>
              </v:shape>
            </v:group>
            <v:group style="position:absolute;left:2399;top:1445;width:1071;height:2" coordorigin="2399,1445" coordsize="1071,2">
              <v:shape style="position:absolute;left:2399;top:1445;width:1071;height:2" coordorigin="2399,1445" coordsize="1071,0" path="m2399,1445l3470,1445e" filled="false" stroked="true" strokeweight=".48pt" strokecolor="#000000">
                <v:path arrowok="t"/>
              </v:shape>
            </v:group>
            <v:group style="position:absolute;left:3479;top:1445;width:1071;height:2" coordorigin="3479,1445" coordsize="1071,2">
              <v:shape style="position:absolute;left:3479;top:1445;width:1071;height:2" coordorigin="3479,1445" coordsize="1071,0" path="m3479,1445l4550,1445e" filled="false" stroked="true" strokeweight=".48pt" strokecolor="#000000">
                <v:path arrowok="t"/>
              </v:shape>
            </v:group>
            <v:group style="position:absolute;left:8312;top:1450;width:876;height:4722" coordorigin="8312,1450" coordsize="876,4722">
              <v:shape style="position:absolute;left:8312;top:1450;width:876;height:4722" coordorigin="8312,1450" coordsize="876,4722" path="m8312,6171l9188,6171,9188,1450,8312,1450,8312,6171xe" filled="true" fillcolor="#ffffff" stroked="false">
                <v:path arrowok="t"/>
                <v:fill type="solid"/>
              </v:shape>
            </v:group>
            <v:group style="position:absolute;left:4559;top:1445;width:3744;height:2" coordorigin="4559,1445" coordsize="3744,2">
              <v:shape style="position:absolute;left:4559;top:1445;width:3744;height:2" coordorigin="4559,1445" coordsize="3744,0" path="m4559,1445l8303,1445e" filled="false" stroked="true" strokeweight=".48pt" strokecolor="#000000">
                <v:path arrowok="t"/>
              </v:shape>
            </v:group>
            <v:group style="position:absolute;left:8312;top:1445;width:876;height:2" coordorigin="8312,1445" coordsize="876,2">
              <v:shape style="position:absolute;left:8312;top:1445;width:876;height:2" coordorigin="8312,1445" coordsize="876,0" path="m8312,1445l9188,1445e" filled="false" stroked="true" strokeweight=".48pt" strokecolor="#000000">
                <v:path arrowok="t"/>
              </v:shape>
            </v:group>
            <v:group style="position:absolute;left:9198;top:1445;width:981;height:2" coordorigin="9198,1445" coordsize="981,2">
              <v:shape style="position:absolute;left:9198;top:1445;width:981;height:2" coordorigin="9198,1445" coordsize="981,0" path="m9198,1445l10178,1445e" filled="false" stroked="true" strokeweight=".48pt" strokecolor="#000000">
                <v:path arrowok="t"/>
              </v:shape>
            </v:group>
            <v:group style="position:absolute;left:10188;top:1445;width:912;height:2" coordorigin="10188,1445" coordsize="912,2">
              <v:shape style="position:absolute;left:10188;top:1445;width:912;height:2" coordorigin="10188,1445" coordsize="912,0" path="m10188,1445l11100,1445e" filled="false" stroked="true" strokeweight=".48pt" strokecolor="#000000">
                <v:path arrowok="t"/>
              </v:shape>
            </v:group>
            <v:group style="position:absolute;left:1139;top:6171;width:1251;height:3835" coordorigin="1139,6171" coordsize="1251,3835">
              <v:shape style="position:absolute;left:1139;top:6171;width:1251;height:3835" coordorigin="1139,6171" coordsize="1251,3835" path="m1139,10005l2390,10005,2390,6171,1139,6171,1139,10005xe" filled="true" fillcolor="#d2d2d2" stroked="false">
                <v:path arrowok="t"/>
                <v:fill type="solid"/>
              </v:shape>
            </v:group>
            <v:group style="position:absolute;left:3491;top:7740;width:2;height:705" coordorigin="3491,7740" coordsize="2,705">
              <v:shape style="position:absolute;left:3491;top:7740;width:2;height:705" coordorigin="3491,7740" coordsize="0,705" path="m3491,7740l3491,8445e" filled="false" stroked="true" strokeweight="1.140pt" strokecolor="#ffffff">
                <v:path arrowok="t"/>
              </v:shape>
            </v:group>
            <v:group style="position:absolute;left:8312;top:8445;width:876;height:1560" coordorigin="8312,8445" coordsize="876,1560">
              <v:shape style="position:absolute;left:8312;top:8445;width:876;height:1560" coordorigin="8312,8445" coordsize="876,1560" path="m8312,10005l9188,10005,9188,8445,8312,8445,8312,10005xe" filled="true" fillcolor="#ffffff" stroked="false">
                <v:path arrowok="t"/>
                <v:fill type="solid"/>
              </v:shape>
            </v:group>
            <v:group style="position:absolute;left:2399;top:6176;width:1071;height:2" coordorigin="2399,6176" coordsize="1071,2">
              <v:shape style="position:absolute;left:2399;top:6176;width:1071;height:2" coordorigin="2399,6176" coordsize="1071,0" path="m2399,6176l3470,6176e" filled="false" stroked="true" strokeweight=".48pt" strokecolor="#000000">
                <v:path arrowok="t"/>
              </v:shape>
            </v:group>
            <v:group style="position:absolute;left:3479;top:6176;width:1071;height:2" coordorigin="3479,6176" coordsize="1071,2">
              <v:shape style="position:absolute;left:3479;top:6176;width:1071;height:2" coordorigin="3479,6176" coordsize="1071,0" path="m3479,6176l4550,6176e" filled="false" stroked="true" strokeweight=".48pt" strokecolor="#000000">
                <v:path arrowok="t"/>
              </v:shape>
            </v:group>
            <v:group style="position:absolute;left:4559;top:6176;width:3744;height:2" coordorigin="4559,6176" coordsize="3744,2">
              <v:shape style="position:absolute;left:4559;top:6176;width:3744;height:2" coordorigin="4559,6176" coordsize="3744,0" path="m4559,6176l8303,6176e" filled="false" stroked="true" strokeweight=".48pt" strokecolor="#000000">
                <v:path arrowok="t"/>
              </v:shape>
            </v:group>
            <v:group style="position:absolute;left:8312;top:6176;width:876;height:2" coordorigin="8312,6176" coordsize="876,2">
              <v:shape style="position:absolute;left:8312;top:6176;width:876;height:2" coordorigin="8312,6176" coordsize="876,0" path="m8312,6176l9188,6176e" filled="false" stroked="true" strokeweight=".48pt" strokecolor="#000000">
                <v:path arrowok="t"/>
              </v:shape>
            </v:group>
            <v:group style="position:absolute;left:9198;top:6176;width:981;height:2" coordorigin="9198,6176" coordsize="981,2">
              <v:shape style="position:absolute;left:9198;top:6176;width:981;height:2" coordorigin="9198,6176" coordsize="981,0" path="m9198,6176l10178,6176e" filled="false" stroked="true" strokeweight=".48pt" strokecolor="#000000">
                <v:path arrowok="t"/>
              </v:shape>
            </v:group>
            <v:group style="position:absolute;left:10188;top:6176;width:912;height:2" coordorigin="10188,6176" coordsize="912,2">
              <v:shape style="position:absolute;left:10188;top:6176;width:912;height:2" coordorigin="10188,6176" coordsize="912,0" path="m10188,6176l11100,6176e" filled="false" stroked="true" strokeweight=".48pt" strokecolor="#000000">
                <v:path arrowok="t"/>
              </v:shape>
            </v:group>
            <v:group style="position:absolute;left:1139;top:10005;width:1251;height:5083" coordorigin="1139,10005" coordsize="1251,5083">
              <v:shape style="position:absolute;left:1139;top:10005;width:1251;height:5083" coordorigin="1139,10005" coordsize="1251,5083" path="m1139,15088l2390,15088,2390,10005,1139,10005,1139,15088xe" filled="true" fillcolor="#d2d2d2" stroked="false">
                <v:path arrowok="t"/>
                <v:fill type="solid"/>
              </v:shape>
            </v:group>
            <v:group style="position:absolute;left:8312;top:10015;width:876;height:2184" coordorigin="8312,10015" coordsize="876,2184">
              <v:shape style="position:absolute;left:8312;top:10015;width:876;height:2184" coordorigin="8312,10015" coordsize="876,2184" path="m8312,12199l9188,12199,9188,10015,8312,10015,8312,12199xe" filled="true" fillcolor="#ffffff" stroked="false">
                <v:path arrowok="t"/>
                <v:fill type="solid"/>
              </v:shape>
            </v:group>
            <v:group style="position:absolute;left:2399;top:10010;width:1071;height:2" coordorigin="2399,10010" coordsize="1071,2">
              <v:shape style="position:absolute;left:2399;top:10010;width:1071;height:2" coordorigin="2399,10010" coordsize="1071,0" path="m2399,10010l3470,10010e" filled="false" stroked="true" strokeweight=".48pt" strokecolor="#000000">
                <v:path arrowok="t"/>
              </v:shape>
            </v:group>
            <v:group style="position:absolute;left:3479;top:10010;width:1071;height:2" coordorigin="3479,10010" coordsize="1071,2">
              <v:shape style="position:absolute;left:3479;top:10010;width:1071;height:2" coordorigin="3479,10010" coordsize="1071,0" path="m3479,10010l4550,10010e" filled="false" stroked="true" strokeweight=".48pt" strokecolor="#000000">
                <v:path arrowok="t"/>
              </v:shape>
            </v:group>
            <v:group style="position:absolute;left:4559;top:10010;width:3744;height:2" coordorigin="4559,10010" coordsize="3744,2">
              <v:shape style="position:absolute;left:4559;top:10010;width:3744;height:2" coordorigin="4559,10010" coordsize="3744,0" path="m4559,10010l8303,10010e" filled="false" stroked="true" strokeweight=".48pt" strokecolor="#000000">
                <v:path arrowok="t"/>
              </v:shape>
            </v:group>
            <v:group style="position:absolute;left:8312;top:10010;width:876;height:2" coordorigin="8312,10010" coordsize="876,2">
              <v:shape style="position:absolute;left:8312;top:10010;width:876;height:2" coordorigin="8312,10010" coordsize="876,0" path="m8312,10010l9188,10010e" filled="false" stroked="true" strokeweight=".48pt" strokecolor="#000000">
                <v:path arrowok="t"/>
              </v:shape>
            </v:group>
            <v:group style="position:absolute;left:9198;top:10010;width:981;height:2" coordorigin="9198,10010" coordsize="981,2">
              <v:shape style="position:absolute;left:9198;top:10010;width:981;height:2" coordorigin="9198,10010" coordsize="981,0" path="m9198,10010l10178,10010e" filled="false" stroked="true" strokeweight=".48pt" strokecolor="#000000">
                <v:path arrowok="t"/>
              </v:shape>
            </v:group>
            <v:group style="position:absolute;left:10188;top:10010;width:912;height:2" coordorigin="10188,10010" coordsize="912,2">
              <v:shape style="position:absolute;left:10188;top:10010;width:912;height:2" coordorigin="10188,10010" coordsize="912,0" path="m10188,10010l11100,10010e" filled="false" stroked="true" strokeweight=".48pt" strokecolor="#000000">
                <v:path arrowok="t"/>
              </v:shape>
            </v:group>
            <v:group style="position:absolute;left:1134;top:1440;width:2;height:13658" coordorigin="1134,1440" coordsize="2,13658">
              <v:shape style="position:absolute;left:1134;top:1440;width:2;height:13658" coordorigin="1134,1440" coordsize="0,13658" path="m1134,1440l1134,15097e" filled="false" stroked="true" strokeweight=".48pt" strokecolor="#000000">
                <v:path arrowok="t"/>
              </v:shape>
            </v:group>
            <v:group style="position:absolute;left:1139;top:15092;width:1251;height:2" coordorigin="1139,15092" coordsize="1251,2">
              <v:shape style="position:absolute;left:1139;top:15092;width:1251;height:2" coordorigin="1139,15092" coordsize="1251,0" path="m1139,15092l2390,15092e" filled="false" stroked="true" strokeweight=".48pt" strokecolor="#000000">
                <v:path arrowok="t"/>
              </v:shape>
            </v:group>
            <v:group style="position:absolute;left:2394;top:1440;width:2;height:13658" coordorigin="2394,1440" coordsize="2,13658">
              <v:shape style="position:absolute;left:2394;top:1440;width:2;height:13658" coordorigin="2394,1440" coordsize="0,13658" path="m2394,1440l2394,15097e" filled="false" stroked="true" strokeweight=".48pt" strokecolor="#000000">
                <v:path arrowok="t"/>
              </v:shape>
            </v:group>
            <v:group style="position:absolute;left:2399;top:15092;width:1071;height:2" coordorigin="2399,15092" coordsize="1071,2">
              <v:shape style="position:absolute;left:2399;top:15092;width:1071;height:2" coordorigin="2399,15092" coordsize="1071,0" path="m2399,15092l3470,15092e" filled="false" stroked="true" strokeweight=".48pt" strokecolor="#000000">
                <v:path arrowok="t"/>
              </v:shape>
            </v:group>
            <v:group style="position:absolute;left:3474;top:1440;width:2;height:13658" coordorigin="3474,1440" coordsize="2,13658">
              <v:shape style="position:absolute;left:3474;top:1440;width:2;height:13658" coordorigin="3474,1440" coordsize="0,13658" path="m3474,1440l3474,15097e" filled="false" stroked="true" strokeweight=".48pt" strokecolor="#000000">
                <v:path arrowok="t"/>
              </v:shape>
            </v:group>
            <v:group style="position:absolute;left:3479;top:15092;width:1071;height:2" coordorigin="3479,15092" coordsize="1071,2">
              <v:shape style="position:absolute;left:3479;top:15092;width:1071;height:2" coordorigin="3479,15092" coordsize="1071,0" path="m3479,15092l4550,15092e" filled="false" stroked="true" strokeweight=".48pt" strokecolor="#000000">
                <v:path arrowok="t"/>
              </v:shape>
            </v:group>
            <v:group style="position:absolute;left:4554;top:1440;width:2;height:13658" coordorigin="4554,1440" coordsize="2,13658">
              <v:shape style="position:absolute;left:4554;top:1440;width:2;height:13658" coordorigin="4554,1440" coordsize="0,13658" path="m4554,1440l4554,15097e" filled="false" stroked="true" strokeweight=".48pt" strokecolor="#000000">
                <v:path arrowok="t"/>
              </v:shape>
            </v:group>
            <v:group style="position:absolute;left:4559;top:15092;width:3744;height:2" coordorigin="4559,15092" coordsize="3744,2">
              <v:shape style="position:absolute;left:4559;top:15092;width:3744;height:2" coordorigin="4559,15092" coordsize="3744,0" path="m4559,15092l8303,15092e" filled="false" stroked="true" strokeweight=".48pt" strokecolor="#000000">
                <v:path arrowok="t"/>
              </v:shape>
            </v:group>
            <v:group style="position:absolute;left:8308;top:1440;width:2;height:13658" coordorigin="8308,1440" coordsize="2,13658">
              <v:shape style="position:absolute;left:8308;top:1440;width:2;height:13658" coordorigin="8308,1440" coordsize="0,13658" path="m8308,1440l8308,15097e" filled="false" stroked="true" strokeweight=".48pt" strokecolor="#000000">
                <v:path arrowok="t"/>
              </v:shape>
            </v:group>
            <v:group style="position:absolute;left:8312;top:15092;width:876;height:2" coordorigin="8312,15092" coordsize="876,2">
              <v:shape style="position:absolute;left:8312;top:15092;width:876;height:2" coordorigin="8312,15092" coordsize="876,0" path="m8312,15092l9188,15092e" filled="false" stroked="true" strokeweight=".48pt" strokecolor="#000000">
                <v:path arrowok="t"/>
              </v:shape>
            </v:group>
            <v:group style="position:absolute;left:9193;top:1440;width:2;height:13658" coordorigin="9193,1440" coordsize="2,13658">
              <v:shape style="position:absolute;left:9193;top:1440;width:2;height:13658" coordorigin="9193,1440" coordsize="0,13658" path="m9193,1440l9193,15097e" filled="false" stroked="true" strokeweight=".48pt" strokecolor="#000000">
                <v:path arrowok="t"/>
              </v:shape>
            </v:group>
            <v:group style="position:absolute;left:9198;top:15092;width:981;height:2" coordorigin="9198,15092" coordsize="981,2">
              <v:shape style="position:absolute;left:9198;top:15092;width:981;height:2" coordorigin="9198,15092" coordsize="981,0" path="m9198,15092l10178,15092e" filled="false" stroked="true" strokeweight=".48pt" strokecolor="#000000">
                <v:path arrowok="t"/>
              </v:shape>
            </v:group>
            <v:group style="position:absolute;left:10183;top:1440;width:2;height:13658" coordorigin="10183,1440" coordsize="2,13658">
              <v:shape style="position:absolute;left:10183;top:1440;width:2;height:13658" coordorigin="10183,1440" coordsize="0,13658" path="m10183,1440l10183,15097e" filled="false" stroked="true" strokeweight=".48pt" strokecolor="#000000">
                <v:path arrowok="t"/>
              </v:shape>
            </v:group>
            <v:group style="position:absolute;left:10188;top:15092;width:912;height:2" coordorigin="10188,15092" coordsize="912,2">
              <v:shape style="position:absolute;left:10188;top:15092;width:912;height:2" coordorigin="10188,15092" coordsize="912,0" path="m10188,15092l11100,15092e" filled="false" stroked="true" strokeweight=".48pt" strokecolor="#000000">
                <v:path arrowok="t"/>
              </v:shape>
            </v:group>
            <v:group style="position:absolute;left:11105;top:1440;width:2;height:13658" coordorigin="11105,1440" coordsize="2,13658">
              <v:shape style="position:absolute;left:11105;top:1440;width:2;height:13658" coordorigin="11105,1440" coordsize="0,13658" path="m11105,1440l11105,15097e" filled="false" stroked="true" strokeweight=".48pt" strokecolor="#000000">
                <v:path arrowok="t"/>
              </v:shape>
            </v:group>
            <w10:wrap type="none"/>
          </v:group>
        </w:pict>
      </w:r>
      <w:r>
        <w:rPr/>
        <w:t>方面的承诺</w:t>
      </w:r>
    </w:p>
    <w:p>
      <w:pPr>
        <w:pStyle w:val="BodyText"/>
        <w:spacing w:line="180" w:lineRule="exact"/>
        <w:ind w:left="139" w:right="0"/>
        <w:jc w:val="left"/>
      </w:pPr>
      <w:r>
        <w:rPr/>
        <w:br w:type="column"/>
      </w:r>
      <w:r>
        <w:rPr/>
        <w:t>纶向公司出具了《承诺函</w:t>
      </w:r>
      <w:r>
        <w:rPr>
          <w:spacing w:val="-90"/>
        </w:rPr>
        <w:t>》</w:t>
      </w:r>
      <w:r>
        <w:rPr/>
        <w:t>，华峰氨纶承诺：本</w:t>
      </w:r>
    </w:p>
    <w:p>
      <w:pPr>
        <w:pStyle w:val="BodyText"/>
        <w:spacing w:line="319" w:lineRule="auto" w:before="76"/>
        <w:ind w:left="139" w:right="3609"/>
        <w:jc w:val="left"/>
      </w:pPr>
      <w:r>
        <w:rPr/>
        <w:t>公司及下属子公司将不与华峰超纤及其子公司 </w:t>
      </w:r>
      <w:r>
        <w:rPr>
          <w:spacing w:val="-5"/>
        </w:rPr>
        <w:t>之间发生购销商品、提供劳务等经常性的关联交</w:t>
      </w:r>
      <w:r>
        <w:rPr>
          <w:spacing w:val="-70"/>
        </w:rPr>
        <w:t> </w:t>
      </w:r>
      <w:r>
        <w:rPr>
          <w:spacing w:val="-70"/>
        </w:rPr>
      </w:r>
      <w:r>
        <w:rPr>
          <w:spacing w:val="-4"/>
        </w:rPr>
        <w:t>易，尽量避免发生偶发性关联交易；确属必要的</w:t>
      </w:r>
      <w:r>
        <w:rPr/>
        <w:t> </w:t>
      </w:r>
      <w:r>
        <w:rPr>
          <w:spacing w:val="-4"/>
        </w:rPr>
        <w:t>关联交易，须遵循公平、公正的原则，严格执行</w:t>
      </w:r>
      <w:r>
        <w:rPr/>
        <w:t> </w:t>
      </w:r>
      <w:r>
        <w:rPr>
          <w:spacing w:val="-4"/>
        </w:rPr>
        <w:t>关联交易决策程序，保证交易公允，不损害双方</w:t>
      </w:r>
      <w:r>
        <w:rPr/>
        <w:t> 利益。</w:t>
      </w:r>
    </w:p>
    <w:p>
      <w:pPr>
        <w:spacing w:after="0" w:line="319" w:lineRule="auto"/>
        <w:jc w:val="left"/>
        <w:sectPr>
          <w:type w:val="continuous"/>
          <w:pgSz w:w="11910" w:h="16840"/>
          <w:pgMar w:top="1060" w:bottom="1160" w:left="0" w:right="0"/>
          <w:cols w:num="2" w:equalWidth="0">
            <w:col w:w="4403" w:space="40"/>
            <w:col w:w="7467"/>
          </w:cols>
        </w:sectPr>
      </w:pPr>
    </w:p>
    <w:p>
      <w:pPr>
        <w:spacing w:line="240" w:lineRule="auto" w:before="6"/>
        <w:rPr>
          <w:rFonts w:ascii="宋体" w:hAnsi="宋体" w:cs="宋体" w:eastAsia="宋体" w:hint="default"/>
          <w:sz w:val="28"/>
          <w:szCs w:val="28"/>
        </w:rPr>
      </w:pPr>
      <w:r>
        <w:rPr/>
        <w:pict>
          <v:group style="position:absolute;margin-left:415.619995pt;margin-top:244.72998pt;width:42.7pt;height:36.4pt;mso-position-horizontal-relative:page;mso-position-vertical-relative:page;z-index:-649744" coordorigin="8312,4895" coordsize="854,728">
            <v:group style="position:absolute;left:8324;top:4906;width:2;height:705" coordorigin="8324,4906" coordsize="2,705">
              <v:shape style="position:absolute;left:8324;top:4906;width:2;height:705" coordorigin="8324,4906" coordsize="0,705" path="m8324,4906l8324,5610e" filled="false" stroked="true" strokeweight="1.140pt" strokecolor="#ffffff">
                <v:path arrowok="t"/>
              </v:shape>
            </v:group>
            <v:group style="position:absolute;left:8335;top:4906;width:831;height:353" coordorigin="8335,4906" coordsize="831,353">
              <v:shape style="position:absolute;left:8335;top:4906;width:831;height:353" coordorigin="8335,4906" coordsize="831,353" path="m8335,5259l9166,5259,9166,4906,8335,4906,8335,5259xe" filled="true" fillcolor="#ffffff" stroked="false">
                <v:path arrowok="t"/>
                <v:fill type="solid"/>
              </v:shape>
            </v:group>
            <v:group style="position:absolute;left:8335;top:5259;width:831;height:352" coordorigin="8335,5259" coordsize="831,352">
              <v:shape style="position:absolute;left:8335;top:5259;width:831;height:352" coordorigin="8335,5259" coordsize="831,352" path="m8335,5610l9166,5610,9166,5259,8335,5259,8335,561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260"/>
        <w:gridCol w:w="1080"/>
        <w:gridCol w:w="1080"/>
        <w:gridCol w:w="3753"/>
        <w:gridCol w:w="886"/>
        <w:gridCol w:w="990"/>
        <w:gridCol w:w="922"/>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75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7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公司承诺在使用剩余超募资金永久性补充流动 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个月内不进行证券投资、委托理财、 衍生品投资、创业投资等高风险投资。</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4770"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上海华峰超 纤材料股份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10"/>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3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一、就与华峰氨纶避免同业竞争，经公司第一届</w:t>
            </w:r>
            <w:r>
              <w:rPr>
                <w:rFonts w:ascii="宋体" w:hAnsi="宋体" w:cs="宋体" w:eastAsia="宋体" w:hint="default"/>
                <w:sz w:val="18"/>
                <w:szCs w:val="18"/>
              </w:rPr>
              <w:t> </w:t>
            </w:r>
            <w:r>
              <w:rPr>
                <w:rFonts w:ascii="宋体" w:hAnsi="宋体" w:cs="宋体" w:eastAsia="宋体" w:hint="default"/>
                <w:spacing w:val="-5"/>
                <w:sz w:val="18"/>
                <w:szCs w:val="18"/>
              </w:rPr>
              <w:t>董事会第九次会议审议通过，公司向华峰氨纶出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具了《承诺函》，公司承诺：截至本承诺函签署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之日，本公司未直接或间接从事与华峰氨纶构成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竞争的任何业务；自本承诺函签署之日起，本公</w:t>
            </w:r>
            <w:r>
              <w:rPr>
                <w:rFonts w:ascii="宋体" w:hAnsi="宋体" w:cs="宋体" w:eastAsia="宋体" w:hint="default"/>
                <w:sz w:val="18"/>
                <w:szCs w:val="18"/>
              </w:rPr>
              <w:t> 司及下属子公司将不直接或间接从事氨纶产品 的生产和销售。 二、就与华峰氨纶减少关联交 易，经公司第一届董事会第九次会议审议通过 </w:t>
            </w:r>
            <w:r>
              <w:rPr>
                <w:rFonts w:ascii="宋体" w:hAnsi="宋体" w:cs="宋体" w:eastAsia="宋体" w:hint="default"/>
                <w:spacing w:val="-5"/>
                <w:sz w:val="18"/>
                <w:szCs w:val="18"/>
              </w:rPr>
              <w:t>公司向华峰氨纶出具了《承诺函》，公司承诺：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本公司及下属子公司将不与华峰氨纶及其子公 </w:t>
            </w:r>
            <w:r>
              <w:rPr>
                <w:rFonts w:ascii="宋体" w:hAnsi="宋体" w:cs="宋体" w:eastAsia="宋体" w:hint="default"/>
                <w:spacing w:val="-5"/>
                <w:sz w:val="18"/>
                <w:szCs w:val="18"/>
              </w:rPr>
              <w:t>司之间发生购销商品、提供劳务等经常性的关联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交易，尽量避免发生偶发性关联交易；确属必要</w:t>
            </w:r>
            <w:r>
              <w:rPr>
                <w:rFonts w:ascii="宋体" w:hAnsi="宋体" w:cs="宋体" w:eastAsia="宋体" w:hint="default"/>
                <w:sz w:val="18"/>
                <w:szCs w:val="18"/>
              </w:rPr>
              <w:t> </w:t>
            </w:r>
            <w:r>
              <w:rPr>
                <w:rFonts w:ascii="宋体" w:hAnsi="宋体" w:cs="宋体" w:eastAsia="宋体" w:hint="default"/>
                <w:spacing w:val="-4"/>
                <w:sz w:val="18"/>
                <w:szCs w:val="18"/>
              </w:rPr>
              <w:t>的关联交易，须遵循公平、公正的原则，严格执</w:t>
            </w:r>
            <w:r>
              <w:rPr>
                <w:rFonts w:ascii="宋体" w:hAnsi="宋体" w:cs="宋体" w:eastAsia="宋体" w:hint="default"/>
                <w:sz w:val="18"/>
                <w:szCs w:val="18"/>
              </w:rPr>
              <w:t> </w:t>
            </w:r>
            <w:r>
              <w:rPr>
                <w:rFonts w:ascii="宋体" w:hAnsi="宋体" w:cs="宋体" w:eastAsia="宋体" w:hint="default"/>
                <w:spacing w:val="-4"/>
                <w:sz w:val="18"/>
                <w:szCs w:val="18"/>
              </w:rPr>
              <w:t>行关联交易决策程序，保证交易价格公允，不损</w:t>
            </w:r>
            <w:r>
              <w:rPr>
                <w:rFonts w:ascii="宋体" w:hAnsi="宋体" w:cs="宋体" w:eastAsia="宋体" w:hint="default"/>
                <w:sz w:val="18"/>
                <w:szCs w:val="18"/>
              </w:rPr>
              <w:t> 害双方利益。</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150"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7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9"/>
                <w:sz w:val="18"/>
                <w:szCs w:val="18"/>
              </w:rPr>
              <w:t>履行完毕的，应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当详细说明未 完成履行的具 体原因及下一 步的工作计划</w:t>
            </w:r>
          </w:p>
        </w:tc>
        <w:tc>
          <w:tcPr>
            <w:tcW w:w="87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1"/>
      <w:bookmarkEnd w:id="61"/>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2"/>
      <w:bookmarkEnd w:id="6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3"/>
      <w:bookmarkEnd w:id="63"/>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4"/>
      <w:bookmarkEnd w:id="64"/>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5"/>
      <w:bookmarkEnd w:id="65"/>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66"/>
      <w:bookmarkEnd w:id="66"/>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67"/>
      <w:bookmarkEnd w:id="67"/>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沈建林、陈科举、唐伟</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2015</w:t>
      </w:r>
      <w:r>
        <w:rPr/>
        <w:t>年度，公司聘任立信会计师事务所（特殊普通合伙）进行内部控制审计，报告期内尚未支付相关费用。</w:t>
      </w:r>
    </w:p>
    <w:p>
      <w:pPr>
        <w:pStyle w:val="BodyText"/>
        <w:spacing w:line="240" w:lineRule="auto" w:before="63"/>
        <w:ind w:right="0"/>
        <w:jc w:val="left"/>
      </w:pPr>
      <w:r>
        <w:rPr>
          <w:rFonts w:ascii="Times New Roman" w:hAnsi="Times New Roman" w:cs="Times New Roman" w:eastAsia="Times New Roman" w:hint="default"/>
        </w:rPr>
        <w:t>2015</w:t>
      </w:r>
      <w:r>
        <w:rPr/>
        <w:t>年度，公司因非公开发行股票事宜，聘请东方花旗证券有限公司为保荐人，报告期内尚未支付相关费用。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68"/>
      <w:bookmarkEnd w:id="68"/>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69"/>
      <w:bookmarkEnd w:id="69"/>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0"/>
      <w:bookmarkEnd w:id="70"/>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处罚及整改情况" w:id="71"/>
      <w:bookmarkEnd w:id="71"/>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2"/>
      <w:bookmarkEnd w:id="72"/>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3"/>
      <w:bookmarkEnd w:id="73"/>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4"/>
      <w:bookmarkEnd w:id="74"/>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75"/>
      <w:bookmarkEnd w:id="75"/>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重庆华峰 化工有限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实际控 制人控 制的其 他企业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购买原 材料</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购买己 二酸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4"/>
              <w:jc w:val="left"/>
              <w:rPr>
                <w:rFonts w:ascii="宋体" w:hAnsi="宋体" w:cs="宋体" w:eastAsia="宋体" w:hint="default"/>
                <w:sz w:val="18"/>
                <w:szCs w:val="18"/>
              </w:rPr>
            </w:pPr>
            <w:r>
              <w:rPr>
                <w:rFonts w:ascii="宋体" w:hAnsi="宋体" w:cs="宋体" w:eastAsia="宋体" w:hint="default"/>
                <w:sz w:val="18"/>
                <w:szCs w:val="18"/>
              </w:rPr>
              <w:t>遵循市 场定价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899.83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92.90%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月结</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同期市 场价格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899.83</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76"/>
      <w:bookmarkEnd w:id="76"/>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77"/>
      <w:bookmarkEnd w:id="77"/>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公司报告期未发生共同对外投资的关联交易。</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关联债权债务往来" w:id="78"/>
      <w:bookmarkEnd w:id="78"/>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94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4"/>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924"/>
        <w:gridCol w:w="944"/>
        <w:gridCol w:w="968"/>
        <w:gridCol w:w="945"/>
        <w:gridCol w:w="958"/>
        <w:gridCol w:w="956"/>
        <w:gridCol w:w="946"/>
        <w:gridCol w:w="981"/>
        <w:gridCol w:w="946"/>
        <w:gridCol w:w="991"/>
      </w:tblGrid>
      <w:tr>
        <w:trPr>
          <w:trHeight w:val="162" w:hRule="exact"/>
        </w:trPr>
        <w:tc>
          <w:tcPr>
            <w:tcW w:w="924" w:type="dxa"/>
            <w:vMerge w:val="restart"/>
            <w:tcBorders>
              <w:top w:val="single" w:sz="4" w:space="0" w:color="000000"/>
              <w:left w:val="single" w:sz="4" w:space="0" w:color="000000"/>
              <w:right w:val="single" w:sz="4" w:space="0" w:color="000000"/>
            </w:tcBorders>
            <w:shd w:val="clear" w:color="auto" w:fill="D2D2D2"/>
          </w:tcPr>
          <w:p>
            <w:pPr/>
          </w:p>
        </w:tc>
        <w:tc>
          <w:tcPr>
            <w:tcW w:w="944" w:type="dxa"/>
            <w:vMerge w:val="restart"/>
            <w:tcBorders>
              <w:top w:val="single" w:sz="4" w:space="0" w:color="000000"/>
              <w:left w:val="single" w:sz="4" w:space="0" w:color="000000"/>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1" w:type="dxa"/>
            <w:vMerge w:val="restart"/>
            <w:tcBorders>
              <w:top w:val="single" w:sz="4" w:space="0" w:color="000000"/>
              <w:left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24" w:type="dxa"/>
            <w:vMerge/>
            <w:tcBorders>
              <w:left w:val="single" w:sz="4" w:space="0" w:color="000000"/>
              <w:bottom w:val="nil" w:sz="6" w:space="0" w:color="auto"/>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81" w:type="dxa"/>
            <w:vMerge/>
            <w:tcBorders>
              <w:left w:val="single" w:sz="4" w:space="0" w:color="000000"/>
              <w:bottom w:val="nil" w:sz="6" w:space="0" w:color="auto"/>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4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4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r>
      <w:tr>
        <w:trPr>
          <w:trHeight w:val="156" w:hRule="exact"/>
        </w:trPr>
        <w:tc>
          <w:tcPr>
            <w:tcW w:w="924" w:type="dxa"/>
            <w:vMerge w:val="restart"/>
            <w:tcBorders>
              <w:top w:val="nil" w:sz="6" w:space="0" w:color="auto"/>
              <w:left w:val="single" w:sz="4" w:space="0" w:color="000000"/>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81" w:type="dxa"/>
            <w:vMerge w:val="restart"/>
            <w:tcBorders>
              <w:top w:val="nil" w:sz="6" w:space="0" w:color="auto"/>
              <w:left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24" w:type="dxa"/>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应付关联方债务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3"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浙江华峰新材 料股份有限公 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2"/>
              <w:jc w:val="both"/>
              <w:rPr>
                <w:rFonts w:ascii="宋体" w:hAnsi="宋体" w:cs="宋体" w:eastAsia="宋体" w:hint="default"/>
                <w:sz w:val="18"/>
                <w:szCs w:val="18"/>
              </w:rPr>
            </w:pPr>
            <w:r>
              <w:rPr>
                <w:rFonts w:ascii="宋体" w:hAnsi="宋体" w:cs="宋体" w:eastAsia="宋体" w:hint="default"/>
                <w:sz w:val="18"/>
                <w:szCs w:val="18"/>
              </w:rPr>
              <w:t>实际控制人 控制的其他 企业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09"/>
              <w:jc w:val="left"/>
              <w:rPr>
                <w:rFonts w:ascii="宋体" w:hAnsi="宋体" w:cs="宋体" w:eastAsia="宋体" w:hint="default"/>
                <w:sz w:val="18"/>
                <w:szCs w:val="18"/>
              </w:rPr>
            </w:pPr>
            <w:r>
              <w:rPr>
                <w:rFonts w:ascii="宋体" w:hAnsi="宋体" w:cs="宋体" w:eastAsia="宋体" w:hint="default"/>
                <w:sz w:val="18"/>
                <w:szCs w:val="18"/>
              </w:rPr>
              <w:t>支持上市公 司发展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7,857.45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6" w:right="0"/>
              <w:jc w:val="lef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4,857.45</w:t>
            </w:r>
          </w:p>
        </w:tc>
      </w:tr>
      <w:tr>
        <w:trPr>
          <w:trHeight w:val="716"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5"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不构成重大影响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重大关联交易" w:id="79"/>
      <w:bookmarkEnd w:id="79"/>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0"/>
      <w:bookmarkEnd w:id="80"/>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1"/>
      <w:bookmarkEnd w:id="81"/>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2"/>
      <w:bookmarkEnd w:id="82"/>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承包情况" w:id="83"/>
      <w:bookmarkEnd w:id="83"/>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租赁情况" w:id="84"/>
      <w:bookmarkEnd w:id="84"/>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left="1133" w:right="0"/>
        <w:jc w:val="left"/>
        <w:rPr>
          <w:b w:val="0"/>
          <w:bCs w:val="0"/>
        </w:rPr>
      </w:pPr>
      <w:bookmarkStart w:name="2、重大担保" w:id="85"/>
      <w:bookmarkEnd w:id="85"/>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担保情况" w:id="86"/>
      <w:bookmarkEnd w:id="86"/>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9"/>
        <w:gridCol w:w="922"/>
        <w:gridCol w:w="922"/>
        <w:gridCol w:w="1302"/>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189" w:right="181"/>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71" w:right="17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1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6"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68" w:right="1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9"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江苏华峰超纤材料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50,000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22,750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22,750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22,750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6" w:right="19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0"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6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9" w:hRule="exact"/>
        </w:trPr>
        <w:tc>
          <w:tcPr>
            <w:tcW w:w="2632"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6"/>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4" w:type="dxa"/>
            <w:gridSpan w:val="2"/>
            <w:tcBorders>
              <w:top w:val="single" w:sz="4" w:space="0" w:color="000000"/>
              <w:left w:val="single" w:sz="5"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32"/>
        <w:gridCol w:w="2224"/>
        <w:gridCol w:w="2098"/>
        <w:gridCol w:w="2621"/>
      </w:tblGrid>
      <w:tr>
        <w:trPr>
          <w:trHeight w:val="719"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22,750</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22,750</w:t>
            </w:r>
          </w:p>
        </w:tc>
      </w:tr>
      <w:tr>
        <w:trPr>
          <w:trHeight w:val="40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14.91%</w:t>
            </w:r>
          </w:p>
        </w:tc>
      </w:tr>
      <w:tr>
        <w:trPr>
          <w:trHeight w:val="392"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采用复合方式担保的具体情况说明：无</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违规对外担保情况" w:id="87"/>
      <w:bookmarkEnd w:id="87"/>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6793"/>
        <w:jc w:val="left"/>
      </w:pPr>
      <w:r>
        <w:rPr/>
        <w:t>□ 适用 √ 不适用 公司报告期无违规对外担保情况。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其他重大事项的说明" w:id="92"/>
      <w:bookmarkEnd w:id="92"/>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3"/>
      <w:bookmarkEnd w:id="93"/>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九、社会责任情况" w:id="94"/>
      <w:bookmarkEnd w:id="94"/>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5"/>
      <w:bookmarkEnd w:id="95"/>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6"/>
      <w:bookmarkEnd w:id="96"/>
      <w:r>
        <w:rPr>
          <w:b w:val="0"/>
          <w:bCs w:val="0"/>
        </w:rPr>
      </w:r>
      <w:bookmarkStart w:name="_bookmark4" w:id="97"/>
      <w:bookmarkEnd w:id="9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8"/>
      <w:bookmarkEnd w:id="9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99"/>
      <w:bookmarkEnd w:id="9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24.07%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95,092,31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24.07%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95,092,31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24.07%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95,092,31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75.93%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75.93%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299,907,6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日第二届董事会第二十二次会议、第二届监事会第二十次会议审议，</w:t>
      </w:r>
      <w:r>
        <w:rPr>
          <w:rFonts w:ascii="Times New Roman" w:hAnsi="Times New Roman" w:cs="Times New Roman" w:eastAsia="Times New Roman" w:hint="default"/>
        </w:rPr>
        <w:t>2014</w:t>
      </w:r>
      <w:r>
        <w:rPr/>
        <w:t>年年度股东大会审议通过，</w:t>
      </w:r>
      <w:r>
        <w:rPr>
          <w:rFonts w:ascii="MS Gothic" w:hAnsi="MS Gothic" w:cs="MS Gothic" w:eastAsia="MS Gothic" w:hint="default"/>
        </w:rPr>
        <w:t>考</w:t>
      </w:r>
      <w:r>
        <w:rPr/>
        <w:t>虑 </w:t>
      </w:r>
      <w:r>
        <w:rPr>
          <w:spacing w:val="-2"/>
        </w:rPr>
        <w:t>到公司近几年业务发展迅速，成长性良好，为增加公司流动性，以及考虑子公司存在重大投资及重大现金支出，</w:t>
      </w:r>
      <w:r>
        <w:rPr>
          <w:rFonts w:ascii="Times New Roman" w:hAnsi="Times New Roman" w:cs="Times New Roman" w:eastAsia="Times New Roman" w:hint="default"/>
          <w:spacing w:val="-2"/>
        </w:rPr>
        <w:t>2014</w:t>
      </w:r>
      <w:r>
        <w:rPr>
          <w:spacing w:val="-2"/>
        </w:rPr>
        <w:t>年度利</w:t>
      </w:r>
      <w:r>
        <w:rPr>
          <w:spacing w:val="-61"/>
        </w:rPr>
        <w:t> </w:t>
      </w:r>
      <w:r>
        <w:rPr/>
        <w:t>润分配预案为：拟以</w:t>
      </w:r>
      <w:r>
        <w:rPr>
          <w:rFonts w:ascii="Times New Roman" w:hAnsi="Times New Roman" w:cs="Times New Roman" w:eastAsia="Times New Roman" w:hint="default"/>
        </w:rPr>
        <w:t>2014</w:t>
      </w:r>
      <w:r>
        <w:rPr/>
        <w:t>年末总股本</w:t>
      </w:r>
      <w:r>
        <w:rPr>
          <w:rFonts w:ascii="Times New Roman" w:hAnsi="Times New Roman" w:cs="Times New Roman" w:eastAsia="Times New Roman" w:hint="default"/>
        </w:rPr>
        <w:t>158,000,000</w:t>
      </w:r>
      <w:r>
        <w:rPr/>
        <w:t>股为基数，每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0.80</w:t>
      </w:r>
      <w:r>
        <w:rPr/>
        <w:t>元（含税）现金股利，合计</w:t>
      </w:r>
      <w:r>
        <w:rPr>
          <w:rFonts w:ascii="Times New Roman" w:hAnsi="Times New Roman" w:cs="Times New Roman" w:eastAsia="Times New Roman" w:hint="default"/>
        </w:rPr>
        <w:t>12,640,000.00</w:t>
      </w:r>
      <w:r>
        <w:rPr/>
        <w:t>元，同 </w:t>
      </w:r>
      <w:r>
        <w:rPr>
          <w:spacing w:val="-2"/>
        </w:rPr>
        <w:t>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股，共计转增股本</w:t>
      </w:r>
      <w:r>
        <w:rPr>
          <w:rFonts w:ascii="Times New Roman" w:hAnsi="Times New Roman" w:cs="Times New Roman" w:eastAsia="Times New Roman" w:hint="default"/>
          <w:spacing w:val="-2"/>
        </w:rPr>
        <w:t>237,000,000</w:t>
      </w:r>
      <w:r>
        <w:rPr>
          <w:spacing w:val="-2"/>
        </w:rPr>
        <w:t>股。本次利润分配及资本公积金转增股本后公司总股</w:t>
      </w:r>
      <w:r>
        <w:rPr>
          <w:spacing w:val="-49"/>
        </w:rPr>
        <w:t> </w:t>
      </w:r>
      <w:r>
        <w:rPr>
          <w:spacing w:val="-49"/>
        </w:rPr>
      </w:r>
      <w:r>
        <w:rPr/>
        <w:t>本变更为</w:t>
      </w:r>
      <w:r>
        <w:rPr>
          <w:rFonts w:ascii="Times New Roman" w:hAnsi="Times New Roman" w:cs="Times New Roman" w:eastAsia="Times New Roman" w:hint="default"/>
        </w:rPr>
        <w:t>395,000,000</w:t>
      </w:r>
      <w:r>
        <w:rPr/>
        <w:t>股。上述利润分配方案于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月实施。</w:t>
      </w:r>
    </w:p>
    <w:p>
      <w:pPr>
        <w:pStyle w:val="BodyText"/>
        <w:spacing w:line="240" w:lineRule="auto" w:before="53"/>
        <w:ind w:left="1134" w:right="0"/>
        <w:jc w:val="left"/>
      </w:pPr>
      <w:r>
        <w:rPr/>
        <w:t>股份变动的批准情况</w:t>
      </w:r>
    </w:p>
    <w:p>
      <w:pPr>
        <w:pStyle w:val="BodyText"/>
        <w:spacing w:line="240" w:lineRule="auto" w:before="117"/>
        <w:ind w:left="1134" w:right="0"/>
        <w:jc w:val="left"/>
      </w:pPr>
      <w:r>
        <w:rPr/>
        <w:t>√ 适用 □ 不适用</w:t>
      </w:r>
    </w:p>
    <w:p>
      <w:pPr>
        <w:pStyle w:val="BodyText"/>
        <w:spacing w:line="300" w:lineRule="auto" w:before="115"/>
        <w:ind w:right="0" w:firstLine="217"/>
        <w:jc w:val="left"/>
      </w:pPr>
      <w:r>
        <w:rPr>
          <w:rFonts w:ascii="Times New Roman" w:hAnsi="Times New Roman" w:cs="Times New Roman" w:eastAsia="Times New Roman" w:hint="default"/>
          <w:spacing w:val="-1"/>
        </w:rPr>
        <w:t>2014</w:t>
      </w:r>
      <w:r>
        <w:rPr>
          <w:spacing w:val="-1"/>
        </w:rPr>
        <w:t>年度利润分配方案于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26</w:t>
      </w:r>
      <w:r>
        <w:rPr>
          <w:spacing w:val="-1"/>
        </w:rPr>
        <w:t>日第二届董事会第二十二次会议、第二届监事会第二十次会议审议，</w:t>
      </w:r>
      <w:r>
        <w:rPr>
          <w:rFonts w:ascii="Times New Roman" w:hAnsi="Times New Roman" w:cs="Times New Roman" w:eastAsia="Times New Roman" w:hint="default"/>
          <w:spacing w:val="-1"/>
        </w:rPr>
        <w:t>2014</w:t>
      </w:r>
      <w:r>
        <w:rPr>
          <w:spacing w:val="-1"/>
        </w:rPr>
        <w:t>年年度股</w:t>
      </w:r>
      <w:r>
        <w:rPr/>
        <w:t> 东大会审议通过，</w:t>
      </w:r>
    </w:p>
    <w:p>
      <w:pPr>
        <w:pStyle w:val="BodyText"/>
        <w:spacing w:line="240" w:lineRule="auto" w:before="72"/>
        <w:ind w:right="0"/>
        <w:jc w:val="left"/>
      </w:pPr>
      <w:r>
        <w:rPr/>
        <w:t>股份变动的过户情况</w:t>
      </w:r>
    </w:p>
    <w:p>
      <w:pPr>
        <w:pStyle w:val="BodyText"/>
        <w:spacing w:line="338" w:lineRule="auto" w:before="117"/>
        <w:ind w:left="1351" w:right="5765"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本次所送（转）股于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日直接记入股东证券账户。</w:t>
      </w:r>
    </w:p>
    <w:p>
      <w:pPr>
        <w:pStyle w:val="BodyText"/>
        <w:spacing w:line="240" w:lineRule="auto" w:before="22"/>
        <w:ind w:left="1134"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58" w:firstLine="325"/>
        <w:jc w:val="left"/>
      </w:pPr>
      <w:r>
        <w:rPr/>
        <w:t>本次实施送（转）股后，按新股本</w:t>
      </w:r>
      <w:r>
        <w:rPr>
          <w:rFonts w:ascii="Times New Roman" w:hAnsi="Times New Roman" w:cs="Times New Roman" w:eastAsia="Times New Roman" w:hint="default"/>
        </w:rPr>
        <w:t>395,000,000</w:t>
      </w:r>
      <w:r>
        <w:rPr/>
        <w:t>股摊薄计算，</w:t>
      </w:r>
      <w:r>
        <w:rPr>
          <w:rFonts w:ascii="Times New Roman" w:hAnsi="Times New Roman" w:cs="Times New Roman" w:eastAsia="Times New Roman" w:hint="default"/>
        </w:rPr>
        <w:t>2014</w:t>
      </w:r>
      <w:r>
        <w:rPr/>
        <w:t>年年度，基本每股收益为</w:t>
      </w:r>
      <w:r>
        <w:rPr>
          <w:rFonts w:ascii="Times New Roman" w:hAnsi="Times New Roman" w:cs="Times New Roman" w:eastAsia="Times New Roman" w:hint="default"/>
        </w:rPr>
        <w:t>0.29</w:t>
      </w:r>
      <w:r>
        <w:rPr/>
        <w:t>元，稀释每股收益为</w:t>
      </w:r>
      <w:r>
        <w:rPr>
          <w:rFonts w:ascii="Times New Roman" w:hAnsi="Times New Roman" w:cs="Times New Roman" w:eastAsia="Times New Roman" w:hint="default"/>
        </w:rPr>
        <w:t>0.29 </w:t>
      </w:r>
      <w:r>
        <w:rPr/>
        <w:t>元，每股净资产为</w:t>
      </w:r>
      <w:r>
        <w:rPr>
          <w:rFonts w:ascii="Times New Roman" w:hAnsi="Times New Roman" w:cs="Times New Roman" w:eastAsia="Times New Roman" w:hint="default"/>
        </w:rPr>
        <w:t>3.59</w:t>
      </w:r>
      <w:r>
        <w:rPr/>
        <w:t>元。</w:t>
      </w:r>
      <w:r>
        <w:rPr>
          <w:rFonts w:ascii="Times New Roman" w:hAnsi="Times New Roman" w:cs="Times New Roman" w:eastAsia="Times New Roman" w:hint="default"/>
        </w:rPr>
        <w:t>2015</w:t>
      </w:r>
      <w:r>
        <w:rPr/>
        <w:t>年第一季度基本每股收益为</w:t>
      </w:r>
      <w:r>
        <w:rPr>
          <w:rFonts w:ascii="Times New Roman" w:hAnsi="Times New Roman" w:cs="Times New Roman" w:eastAsia="Times New Roman" w:hint="default"/>
        </w:rPr>
        <w:t>0.08</w:t>
      </w:r>
      <w:r>
        <w:rPr/>
        <w:t>元，稀释每股收益为</w:t>
      </w:r>
      <w:r>
        <w:rPr>
          <w:rFonts w:ascii="Times New Roman" w:hAnsi="Times New Roman" w:cs="Times New Roman" w:eastAsia="Times New Roman" w:hint="default"/>
        </w:rPr>
        <w:t>0.08</w:t>
      </w:r>
      <w:r>
        <w:rPr/>
        <w:t>元，每股净资产为</w:t>
      </w:r>
      <w:r>
        <w:rPr>
          <w:rFonts w:ascii="Times New Roman" w:hAnsi="Times New Roman" w:cs="Times New Roman" w:eastAsia="Times New Roman" w:hint="default"/>
        </w:rPr>
        <w:t>3.68</w:t>
      </w:r>
      <w:r>
        <w:rPr/>
        <w:t>元。 公司认为必要或证券监管机构要求披露的其他内容</w:t>
      </w:r>
    </w:p>
    <w:p>
      <w:pPr>
        <w:pStyle w:val="BodyText"/>
        <w:spacing w:line="240" w:lineRule="auto" w:before="58"/>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00"/>
      <w:bookmarkEnd w:id="10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二、证券发行与上市情况" w:id="101"/>
      <w:bookmarkEnd w:id="10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02"/>
      <w:bookmarkEnd w:id="10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03"/>
      <w:bookmarkEnd w:id="10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 适用 □ 不适用</w:t>
      </w:r>
    </w:p>
    <w:p>
      <w:pPr>
        <w:pStyle w:val="BodyText"/>
        <w:spacing w:line="300" w:lineRule="auto" w:before="115"/>
        <w:ind w:right="1130" w:firstLine="36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日第二届董事会第二十二次会议、第二届监事会第二十次会议审议，</w:t>
      </w:r>
      <w:r>
        <w:rPr>
          <w:rFonts w:ascii="Times New Roman" w:hAnsi="Times New Roman" w:cs="Times New Roman" w:eastAsia="Times New Roman" w:hint="default"/>
        </w:rPr>
        <w:t>2014</w:t>
      </w:r>
      <w:r>
        <w:rPr/>
        <w:t>年年度股东大会审议通过，</w:t>
      </w:r>
      <w:r>
        <w:rPr>
          <w:rFonts w:ascii="MS Gothic" w:hAnsi="MS Gothic" w:cs="MS Gothic" w:eastAsia="MS Gothic" w:hint="default"/>
        </w:rPr>
        <w:t>考</w:t>
      </w:r>
      <w:r>
        <w:rPr/>
        <w:t>虑 </w:t>
      </w:r>
      <w:r>
        <w:rPr>
          <w:spacing w:val="-2"/>
        </w:rPr>
        <w:t>到公司近几年业务发展迅速，成长性良好，为增加公司流动性，以及考虑子公司存在重大投资及重大现金支出，</w:t>
      </w:r>
      <w:r>
        <w:rPr>
          <w:rFonts w:ascii="Times New Roman" w:hAnsi="Times New Roman" w:cs="Times New Roman" w:eastAsia="Times New Roman" w:hint="default"/>
          <w:spacing w:val="-2"/>
        </w:rPr>
        <w:t>2014</w:t>
      </w:r>
      <w:r>
        <w:rPr>
          <w:spacing w:val="-2"/>
        </w:rPr>
        <w:t>年度利</w:t>
      </w:r>
      <w:r>
        <w:rPr>
          <w:spacing w:val="-61"/>
        </w:rPr>
        <w:t> </w:t>
      </w:r>
      <w:r>
        <w:rPr/>
        <w:t>润分配预案为：拟以</w:t>
      </w:r>
      <w:r>
        <w:rPr>
          <w:rFonts w:ascii="Times New Roman" w:hAnsi="Times New Roman" w:cs="Times New Roman" w:eastAsia="Times New Roman" w:hint="default"/>
        </w:rPr>
        <w:t>2014</w:t>
      </w:r>
      <w:r>
        <w:rPr/>
        <w:t>年末总股本</w:t>
      </w:r>
      <w:r>
        <w:rPr>
          <w:rFonts w:ascii="Times New Roman" w:hAnsi="Times New Roman" w:cs="Times New Roman" w:eastAsia="Times New Roman" w:hint="default"/>
        </w:rPr>
        <w:t>158,000,000</w:t>
      </w:r>
      <w:r>
        <w:rPr/>
        <w:t>股为基数，每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0.80</w:t>
      </w:r>
      <w:r>
        <w:rPr/>
        <w:t>元（含税）现金股利，合计</w:t>
      </w:r>
      <w:r>
        <w:rPr>
          <w:rFonts w:ascii="Times New Roman" w:hAnsi="Times New Roman" w:cs="Times New Roman" w:eastAsia="Times New Roman" w:hint="default"/>
        </w:rPr>
        <w:t>12,640,000.00</w:t>
      </w:r>
      <w:r>
        <w:rPr/>
        <w:t>元，同 </w:t>
      </w:r>
      <w:r>
        <w:rPr>
          <w:spacing w:val="-2"/>
        </w:rPr>
        <w:t>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股，共计转增股本</w:t>
      </w:r>
      <w:r>
        <w:rPr>
          <w:rFonts w:ascii="Times New Roman" w:hAnsi="Times New Roman" w:cs="Times New Roman" w:eastAsia="Times New Roman" w:hint="default"/>
          <w:spacing w:val="-2"/>
        </w:rPr>
        <w:t>237,000,000</w:t>
      </w:r>
      <w:r>
        <w:rPr>
          <w:spacing w:val="-2"/>
        </w:rPr>
        <w:t>股。本次利润分配及资本公积金转增股本后公司总股</w:t>
      </w:r>
      <w:r>
        <w:rPr>
          <w:spacing w:val="-49"/>
        </w:rPr>
        <w:t> </w:t>
      </w:r>
      <w:r>
        <w:rPr>
          <w:spacing w:val="-49"/>
        </w:rPr>
      </w:r>
      <w:r>
        <w:rPr/>
        <w:t>本变更为</w:t>
      </w:r>
      <w:r>
        <w:rPr>
          <w:rFonts w:ascii="Times New Roman" w:hAnsi="Times New Roman" w:cs="Times New Roman" w:eastAsia="Times New Roman" w:hint="default"/>
        </w:rPr>
        <w:t>395,000,000</w:t>
      </w:r>
      <w:r>
        <w:rPr/>
        <w:t>股。上述利润分配方案于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月实施。</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04"/>
      <w:bookmarkEnd w:id="10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5"/>
      <w:bookmarkEnd w:id="105"/>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06"/>
      <w:bookmarkEnd w:id="10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291710pt;width:85.6pt;height:31.2pt;mso-position-horizontal-relative:page;mso-position-vertical-relative:paragraph;z-index:-649720"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291710pt;width:52.45pt;height:31.2pt;mso-position-horizontal-relative:page;mso-position-vertical-relative:paragraph;z-index:-649696"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23"/>
        <w:gridCol w:w="134"/>
        <w:gridCol w:w="673"/>
        <w:gridCol w:w="739"/>
        <w:gridCol w:w="744"/>
        <w:gridCol w:w="842"/>
        <w:gridCol w:w="332"/>
        <w:gridCol w:w="445"/>
        <w:gridCol w:w="824"/>
        <w:gridCol w:w="791"/>
        <w:gridCol w:w="334"/>
        <w:gridCol w:w="1027"/>
        <w:gridCol w:w="279"/>
        <w:gridCol w:w="513"/>
        <w:gridCol w:w="558"/>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19,597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15,937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4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1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42"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华峰集团有限公</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22"/>
              <w:jc w:val="left"/>
              <w:rPr>
                <w:rFonts w:ascii="Times New Roman" w:hAnsi="Times New Roman" w:cs="Times New Roman" w:eastAsia="Times New Roman" w:hint="default"/>
                <w:sz w:val="18"/>
                <w:szCs w:val="18"/>
              </w:rPr>
            </w:pPr>
            <w:r>
              <w:rPr>
                <w:rFonts w:ascii="Times New Roman"/>
                <w:sz w:val="18"/>
              </w:rPr>
              <w:t>14.87%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58,750,00</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35250000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58,750,00</w:t>
            </w:r>
          </w:p>
        </w:tc>
        <w:tc>
          <w:tcPr>
            <w:tcW w:w="1361" w:type="dxa"/>
            <w:gridSpan w:val="2"/>
            <w:tcBorders>
              <w:top w:val="single" w:sz="48" w:space="0" w:color="D2D2D2"/>
              <w:left w:val="single" w:sz="4" w:space="0" w:color="000000"/>
              <w:bottom w:val="single" w:sz="4" w:space="0" w:color="000000"/>
              <w:right w:val="single" w:sz="4" w:space="0" w:color="000000"/>
            </w:tcBorders>
          </w:tcPr>
          <w:p>
            <w:pPr/>
          </w:p>
        </w:tc>
        <w:tc>
          <w:tcPr>
            <w:tcW w:w="1350" w:type="dxa"/>
            <w:gridSpan w:val="3"/>
            <w:tcBorders>
              <w:top w:val="single" w:sz="48" w:space="0" w:color="D2D2D2"/>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23475000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29,343,75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9,781,250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16650000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6,937,500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4,062,500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6803850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8,504,812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2,834,938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深圳前海旗隆基 金管理有限公司</w:t>
            </w:r>
          </w:p>
          <w:p>
            <w:pPr>
              <w:pStyle w:val="TableParagraph"/>
              <w:spacing w:line="319" w:lineRule="auto" w:before="19"/>
              <w:ind w:left="22" w:right="174"/>
              <w:jc w:val="left"/>
              <w:rPr>
                <w:rFonts w:ascii="宋体" w:hAnsi="宋体" w:cs="宋体" w:eastAsia="宋体" w:hint="default"/>
                <w:sz w:val="18"/>
                <w:szCs w:val="18"/>
              </w:rPr>
            </w:pPr>
            <w:r>
              <w:rPr>
                <w:rFonts w:ascii="宋体" w:hAnsi="宋体" w:cs="宋体" w:eastAsia="宋体" w:hint="default"/>
                <w:sz w:val="18"/>
                <w:szCs w:val="18"/>
              </w:rPr>
              <w:t>－前海旗隆量化 分级基金二期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7,810,750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7810750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7,810,750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李长梅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第一大股东华峰集团有限公司之控股股东尤小平及其直系亲属尤金焕、尤小华、尤小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燕、尤小玲、陈林真为本公司实际控制人，为一致行动人。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9,781,250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深圳前海旗隆基金管理有限公司－ 前海旗隆量化分级基金二期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7,810,750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7,810,750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4,062,500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李长梅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3,792,000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69"/>
        <w:gridCol w:w="4001"/>
        <w:gridCol w:w="1349"/>
        <w:gridCol w:w="1350"/>
      </w:tblGrid>
      <w:tr>
        <w:trPr>
          <w:trHeight w:val="402"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3,625,000</w:t>
            </w:r>
          </w:p>
        </w:tc>
      </w:tr>
      <w:tr>
        <w:trPr>
          <w:trHeight w:val="1338"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0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 w:right="22"/>
              <w:jc w:val="left"/>
              <w:rPr>
                <w:rFonts w:ascii="宋体" w:hAnsi="宋体" w:cs="宋体" w:eastAsia="宋体" w:hint="default"/>
                <w:sz w:val="18"/>
                <w:szCs w:val="18"/>
              </w:rPr>
            </w:pPr>
            <w:r>
              <w:rPr>
                <w:rFonts w:ascii="宋体" w:hAnsi="宋体" w:cs="宋体" w:eastAsia="宋体" w:hint="default"/>
                <w:spacing w:val="-1"/>
                <w:sz w:val="18"/>
                <w:szCs w:val="18"/>
              </w:rPr>
              <w:t>第一大股东华峰集团有限公司之控股股东尤小平及其直系亲属尤金焕、尤小华、尤小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燕、尤小玲、陈林真为本公司实际控制人，为一致行动人。</w:t>
            </w:r>
          </w:p>
        </w:tc>
      </w:tr>
      <w:tr>
        <w:trPr>
          <w:trHeight w:val="71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70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07"/>
      <w:bookmarkEnd w:id="10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14563576-0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华峰集团有限公司持有浙江华峰氨纶股份有限公司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49736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29.66%</w:t>
            </w:r>
          </w:p>
        </w:tc>
      </w:tr>
    </w:tbl>
    <w:p>
      <w:pPr>
        <w:pStyle w:val="BodyText"/>
        <w:spacing w:line="240" w:lineRule="auto" w:before="65"/>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08"/>
      <w:bookmarkEnd w:id="10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尤小平现任本公司董事长和华峰集团及其控股的多家公司董事长职务。</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浙江华峰氨纶股份有限公司、上海华峰超纤材料股份有限公司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24"/>
          <w:szCs w:val="24"/>
        </w:rPr>
      </w:pPr>
    </w:p>
    <w:p>
      <w:pPr>
        <w:spacing w:line="3150" w:lineRule="exact"/>
        <w:ind w:left="2338"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91050" cy="20002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1050" cy="200025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7"/>
        <w:rPr>
          <w:rFonts w:ascii="宋体" w:hAnsi="宋体" w:cs="宋体" w:eastAsia="宋体" w:hint="default"/>
          <w:sz w:val="23"/>
          <w:szCs w:val="23"/>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4、其他持股在10%以上的法人股东" w:id="109"/>
      <w:bookmarkEnd w:id="10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控股股东、实际控制人、重组方及其他承诺主体股份限制减持情况" w:id="110"/>
      <w:bookmarkEnd w:id="11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七节 优先股相关情况" w:id="111"/>
      <w:bookmarkEnd w:id="111"/>
      <w:r>
        <w:rPr>
          <w:b w:val="0"/>
          <w:bCs w:val="0"/>
        </w:rPr>
      </w:r>
      <w:bookmarkStart w:name="_bookmark5" w:id="112"/>
      <w:bookmarkEnd w:id="11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3"/>
      <w:bookmarkEnd w:id="113"/>
      <w:r>
        <w:rPr>
          <w:b w:val="0"/>
          <w:bCs w:val="0"/>
        </w:rPr>
      </w:r>
      <w:bookmarkStart w:name="_bookmark6" w:id="114"/>
      <w:bookmarkEnd w:id="11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5"/>
      <w:bookmarkEnd w:id="11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4,535,900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6,803,850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3"/>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4,500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2,154,500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1,125,000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5,865,900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4,500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8,768,850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14,619,25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6"/>
      <w:bookmarkEnd w:id="116"/>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任职情况" w:id="117"/>
      <w:bookmarkEnd w:id="11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3733"/>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300" w:lineRule="auto" w:before="1"/>
        <w:ind w:right="1139" w:firstLine="360"/>
        <w:jc w:val="both"/>
      </w:pPr>
      <w:r>
        <w:rPr/>
        <w:t>尤小平先生：中国国籍，无境外永久居留权。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月出生，大专学历。第十一、十二届全国人民代表大会代表，中 国石油和化学工业协会副会长，浙江省工商联第八、九届常务委员，曾荣获</w:t>
      </w:r>
      <w:r>
        <w:rPr>
          <w:rFonts w:ascii="Times New Roman" w:hAnsi="Times New Roman" w:cs="Times New Roman" w:eastAsia="Times New Roman" w:hint="default"/>
        </w:rPr>
        <w:t>“</w:t>
      </w:r>
      <w:r>
        <w:rPr/>
        <w:t>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浙江省优秀中国特色社会 主义事业建设者</w:t>
      </w:r>
      <w:r>
        <w:rPr>
          <w:rFonts w:ascii="Times New Roman" w:hAnsi="Times New Roman" w:cs="Times New Roman" w:eastAsia="Times New Roman" w:hint="default"/>
        </w:rPr>
        <w:t>”</w:t>
      </w:r>
      <w:r>
        <w:rPr/>
        <w:t>等荣誉称号。曾任瑞安市塑料七厂副厂长，瑞安市塑料十一厂厂长等职。现任华峰集团有限公司及下属多 家控股公司董事长、浙江华峰氨纶股份有限公司董事及本公司董事长。</w:t>
      </w:r>
    </w:p>
    <w:p>
      <w:pPr>
        <w:pStyle w:val="BodyText"/>
        <w:spacing w:line="307" w:lineRule="auto" w:before="31"/>
        <w:ind w:right="1131" w:firstLine="360"/>
        <w:jc w:val="both"/>
      </w:pPr>
      <w:r>
        <w:rPr/>
        <w:t>段伟东先生：中国国籍，男，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月出生，硕士研究生学历。曾任黑龙江齐亿合成树脂有限公司经理、华峰集团有 </w:t>
      </w:r>
      <w:r>
        <w:rPr>
          <w:spacing w:val="-2"/>
        </w:rPr>
        <w:t>限公司副总经理等职务。</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2013</w:t>
      </w:r>
      <w:r>
        <w:rPr>
          <w:spacing w:val="-2"/>
        </w:rPr>
        <w:t>年期间，任浙江华峰新材料股份有限公司总经理、浙江华峰合成树脂有限公司总经理</w:t>
      </w:r>
      <w:r>
        <w:rPr>
          <w:spacing w:val="-58"/>
        </w:rPr>
        <w:t> </w:t>
      </w:r>
      <w:r>
        <w:rPr>
          <w:spacing w:val="-58"/>
        </w:rPr>
      </w:r>
      <w:r>
        <w:rPr>
          <w:spacing w:val="-2"/>
        </w:rPr>
        <w:t>等职务。还担任中国聚氨酯工业协会鞋用树脂专业委员会主任，是中国聚氨酯工业协会第五届理事会专家库成员。现担任本</w:t>
      </w:r>
      <w:r>
        <w:rPr>
          <w:spacing w:val="-66"/>
        </w:rPr>
        <w:t> </w:t>
      </w:r>
      <w:r>
        <w:rPr>
          <w:spacing w:val="-66"/>
        </w:rPr>
      </w:r>
      <w:r>
        <w:rPr/>
        <w:t>公司董事、总经理，兼任浙江华峰新材料股份有限公司董事。</w:t>
      </w:r>
    </w:p>
    <w:p>
      <w:pPr>
        <w:pStyle w:val="BodyText"/>
        <w:spacing w:line="240" w:lineRule="auto" w:before="26"/>
        <w:ind w:left="1494" w:right="0"/>
        <w:jc w:val="left"/>
      </w:pPr>
      <w:r>
        <w:rPr/>
        <w:t>赵鸿凯先生：中国国籍，无境外永久居留权。</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月出生，硕士、工程师。曾任秦皇岛福胜化学制革有限公司技术</w:t>
      </w:r>
    </w:p>
    <w:p>
      <w:pPr>
        <w:pStyle w:val="Heading4"/>
        <w:spacing w:line="240" w:lineRule="auto" w:before="46"/>
        <w:ind w:right="0"/>
        <w:jc w:val="left"/>
      </w:pPr>
      <w:r>
        <w:rPr/>
        <w:t>员、车间主任、工程师，浙江省温州人造革有限公司工程师、生产部经理，本公司董事会秘书等。现任本公司</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4"/>
        <w:spacing w:line="240" w:lineRule="auto"/>
        <w:ind w:right="0"/>
        <w:jc w:val="left"/>
      </w:pPr>
      <w:r>
        <w:rPr/>
        <w:t>董事、副总经理。</w:t>
      </w:r>
    </w:p>
    <w:p>
      <w:pPr>
        <w:pStyle w:val="BodyText"/>
        <w:spacing w:line="300" w:lineRule="auto" w:before="66"/>
        <w:ind w:left="1134" w:right="1139" w:firstLine="360"/>
        <w:jc w:val="both"/>
      </w:pPr>
      <w:r>
        <w:rPr/>
        <w:t>程鸣先生：中国国籍，无境外永久居留权。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4</w:t>
      </w:r>
      <w:r>
        <w:rPr/>
        <w:t>月出生，硕士。曾供职于华峰集团有限公司投资发展部、华峰铝业 股份有限公司。现任本公司董事、董事会秘书、证券事务代表。</w:t>
      </w:r>
    </w:p>
    <w:p>
      <w:pPr>
        <w:pStyle w:val="BodyText"/>
        <w:spacing w:line="309" w:lineRule="auto" w:before="31"/>
        <w:ind w:left="1134" w:right="1132" w:firstLine="360"/>
        <w:jc w:val="both"/>
      </w:pPr>
      <w:r>
        <w:rPr>
          <w:spacing w:val="-2"/>
        </w:rPr>
        <w:t>陈南梁先生：中国国籍，无境外永久居留权。</w:t>
      </w:r>
      <w:r>
        <w:rPr>
          <w:rFonts w:ascii="Times New Roman" w:hAnsi="Times New Roman" w:cs="Times New Roman" w:eastAsia="Times New Roman" w:hint="default"/>
          <w:spacing w:val="-2"/>
        </w:rPr>
        <w:t>1962</w:t>
      </w:r>
      <w:r>
        <w:rPr>
          <w:spacing w:val="-2"/>
        </w:rPr>
        <w:t>年出生，博士，教授。历任东华大学纺织学院系主任、副院长，现任</w:t>
      </w:r>
      <w:r>
        <w:rPr/>
        <w:t> </w:t>
      </w:r>
      <w:r>
        <w:rPr>
          <w:spacing w:val="-2"/>
        </w:rPr>
        <w:t>东华大学纺织学院教授、院长、博士生导师，产业用纺织品教育部工程研究中心主任，上海龙头股份有限公司、上海嘉麟杰</w:t>
      </w:r>
      <w:r>
        <w:rPr>
          <w:spacing w:val="-66"/>
        </w:rPr>
        <w:t> </w:t>
      </w:r>
      <w:r>
        <w:rPr>
          <w:spacing w:val="-66"/>
        </w:rPr>
      </w:r>
      <w:r>
        <w:rPr/>
        <w:t>股份有限公司及本公司独立董事。</w:t>
      </w:r>
    </w:p>
    <w:p>
      <w:pPr>
        <w:pStyle w:val="BodyText"/>
        <w:spacing w:line="304" w:lineRule="auto" w:before="24"/>
        <w:ind w:right="1123" w:firstLine="360"/>
        <w:jc w:val="left"/>
      </w:pPr>
      <w:r>
        <w:rPr/>
        <w:t>吴伟明先生：中国国籍，无境外永久居留权。</w:t>
      </w:r>
      <w:r>
        <w:rPr>
          <w:rFonts w:ascii="Times New Roman" w:hAnsi="Times New Roman" w:cs="Times New Roman" w:eastAsia="Times New Roman" w:hint="default"/>
        </w:rPr>
        <w:t>1961</w:t>
      </w:r>
      <w:r>
        <w:rPr/>
        <w:t>年出生</w:t>
      </w:r>
      <w:r>
        <w:rPr>
          <w:rFonts w:ascii="Times New Roman" w:hAnsi="Times New Roman" w:cs="Times New Roman" w:eastAsia="Times New Roman" w:hint="default"/>
        </w:rPr>
        <w:t>,</w:t>
      </w:r>
      <w:r>
        <w:rPr/>
        <w:t>华南理工大学汽车专业本科毕业</w:t>
      </w:r>
      <w:r>
        <w:rPr>
          <w:rFonts w:ascii="Times New Roman" w:hAnsi="Times New Roman" w:cs="Times New Roman" w:eastAsia="Times New Roman" w:hint="default"/>
        </w:rPr>
        <w:t>,</w:t>
      </w:r>
      <w:r>
        <w:rPr/>
        <w:t>研究员级高级工程师。曾任 </w:t>
      </w:r>
      <w:r>
        <w:rPr>
          <w:spacing w:val="-2"/>
        </w:rPr>
        <w:t>东风杭州汽车有限公司研究所所长、总工程师、副总经理、总经理兼党委书记、杭州市汽车工业协会理事长；获得中国机械</w:t>
      </w:r>
      <w:r>
        <w:rPr>
          <w:spacing w:val="-66"/>
        </w:rPr>
        <w:t> </w:t>
      </w:r>
      <w:r>
        <w:rPr>
          <w:spacing w:val="-66"/>
        </w:rPr>
      </w:r>
      <w:r>
        <w:rPr/>
        <w:t>工业科技专家、东风汽车公司有突出贡献专家、东风青年人才、杭州市劳动模范等称号。入选</w:t>
      </w:r>
      <w:r>
        <w:rPr>
          <w:rFonts w:ascii="Times New Roman" w:hAnsi="Times New Roman" w:cs="Times New Roman" w:eastAsia="Times New Roman" w:hint="default"/>
        </w:rPr>
        <w:t>1999</w:t>
      </w:r>
      <w:r>
        <w:rPr/>
        <w:t>年度浙江省</w:t>
      </w:r>
      <w:r>
        <w:rPr>
          <w:rFonts w:ascii="Times New Roman" w:hAnsi="Times New Roman" w:cs="Times New Roman" w:eastAsia="Times New Roman" w:hint="default"/>
        </w:rPr>
        <w:t>“</w:t>
      </w:r>
      <w:r>
        <w:rPr/>
        <w:t>新世纪</w:t>
      </w:r>
      <w:r>
        <w:rPr>
          <w:rFonts w:ascii="Times New Roman" w:hAnsi="Times New Roman" w:cs="Times New Roman" w:eastAsia="Times New Roman" w:hint="default"/>
        </w:rPr>
        <w:t>151 </w:t>
      </w:r>
      <w:r>
        <w:rPr>
          <w:spacing w:val="-3"/>
        </w:rPr>
        <w:t>人才工程</w:t>
      </w:r>
      <w:r>
        <w:rPr>
          <w:rFonts w:ascii="Times New Roman" w:hAnsi="Times New Roman" w:cs="Times New Roman" w:eastAsia="Times New Roman" w:hint="default"/>
          <w:spacing w:val="-3"/>
        </w:rPr>
        <w:t>”</w:t>
      </w:r>
      <w:r>
        <w:rPr>
          <w:spacing w:val="-3"/>
        </w:rPr>
        <w:t>第二层次培养人员于</w:t>
      </w:r>
      <w:r>
        <w:rPr>
          <w:rFonts w:ascii="Times New Roman" w:hAnsi="Times New Roman" w:cs="Times New Roman" w:eastAsia="Times New Roman" w:hint="default"/>
          <w:spacing w:val="-3"/>
        </w:rPr>
        <w:t>2006</w:t>
      </w:r>
      <w:r>
        <w:rPr>
          <w:spacing w:val="-3"/>
        </w:rPr>
        <w:t>年培养期届满。主持开发设计的产品项目多次获得中国汽车工业</w:t>
      </w:r>
      <w:r>
        <w:rPr>
          <w:rFonts w:ascii="Times New Roman" w:hAnsi="Times New Roman" w:cs="Times New Roman" w:eastAsia="Times New Roman" w:hint="default"/>
          <w:spacing w:val="-3"/>
        </w:rPr>
        <w:t>(</w:t>
      </w:r>
      <w:r>
        <w:rPr>
          <w:spacing w:val="-3"/>
        </w:rPr>
        <w:t>省级</w:t>
      </w:r>
      <w:r>
        <w:rPr>
          <w:rFonts w:ascii="Times New Roman" w:hAnsi="Times New Roman" w:cs="Times New Roman" w:eastAsia="Times New Roman" w:hint="default"/>
          <w:spacing w:val="-3"/>
        </w:rPr>
        <w:t>)</w:t>
      </w:r>
      <w:r>
        <w:rPr>
          <w:spacing w:val="-3"/>
        </w:rPr>
        <w:t>、东风汽车公司</w:t>
      </w:r>
      <w:r>
        <w:rPr>
          <w:rFonts w:ascii="Times New Roman" w:hAnsi="Times New Roman" w:cs="Times New Roman" w:eastAsia="Times New Roman" w:hint="default"/>
          <w:spacing w:val="-3"/>
        </w:rPr>
        <w:t>(</w:t>
      </w:r>
      <w:r>
        <w:rPr>
          <w:spacing w:val="-3"/>
        </w:rPr>
        <w:t>市</w:t>
      </w:r>
      <w:r>
        <w:rPr>
          <w:spacing w:val="-76"/>
        </w:rPr>
        <w:t> </w:t>
      </w:r>
      <w:r>
        <w:rPr>
          <w:spacing w:val="-1"/>
        </w:rPr>
        <w:t>级</w:t>
      </w:r>
      <w:r>
        <w:rPr>
          <w:rFonts w:ascii="Times New Roman" w:hAnsi="Times New Roman" w:cs="Times New Roman" w:eastAsia="Times New Roman" w:hint="default"/>
          <w:spacing w:val="-1"/>
        </w:rPr>
        <w:t>)</w:t>
      </w:r>
      <w:r>
        <w:rPr>
          <w:spacing w:val="-1"/>
        </w:rPr>
        <w:t>的科技进步奖。现为浙江大学城市学院专职教师</w:t>
      </w:r>
      <w:r>
        <w:rPr>
          <w:rFonts w:ascii="Times New Roman" w:hAnsi="Times New Roman" w:cs="Times New Roman" w:eastAsia="Times New Roman" w:hint="default"/>
          <w:spacing w:val="-1"/>
        </w:rPr>
        <w:t>,</w:t>
      </w:r>
      <w:r>
        <w:rPr>
          <w:spacing w:val="-1"/>
        </w:rPr>
        <w:t>兼任杭州市汽车行业协会专家委员会主任，宁波双林汽车部件股份有限</w:t>
      </w:r>
      <w:r>
        <w:rPr>
          <w:spacing w:val="-45"/>
        </w:rPr>
        <w:t> </w:t>
      </w:r>
      <w:r>
        <w:rPr>
          <w:spacing w:val="-45"/>
        </w:rPr>
      </w:r>
      <w:r>
        <w:rPr/>
        <w:t>公司、浙江金固股份有限公司、宁波高发汽车控制系统股份有限公司及本公司独立董事。</w:t>
      </w:r>
    </w:p>
    <w:p>
      <w:pPr>
        <w:pStyle w:val="BodyText"/>
        <w:spacing w:line="309" w:lineRule="auto" w:before="28"/>
        <w:ind w:left="1134" w:right="1133" w:firstLine="360"/>
        <w:jc w:val="both"/>
      </w:pPr>
      <w:r>
        <w:rPr/>
        <w:t>易颜新先生：中国国籍，无境外永久居留权。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7</w:t>
      </w:r>
      <w:r>
        <w:rPr/>
        <w:t>月生，河北石家庄人，杭州电子科技大学会计学院教授，会计学 </w:t>
      </w:r>
      <w:r>
        <w:rPr>
          <w:spacing w:val="-2"/>
        </w:rPr>
        <w:t>博士，硕士生导师，财务管理系主任，中国非执业注册会计师，浙江省管理会计咨询专家，浙江省总会计师协会学术部副主</w:t>
      </w:r>
      <w:r>
        <w:rPr>
          <w:spacing w:val="-66"/>
        </w:rPr>
        <w:t> </w:t>
      </w:r>
      <w:r>
        <w:rPr>
          <w:spacing w:val="-66"/>
        </w:rPr>
      </w:r>
      <w:r>
        <w:rPr/>
        <w:t>任。本公司独立董事。</w:t>
      </w:r>
    </w:p>
    <w:p>
      <w:pPr>
        <w:pStyle w:val="BodyText"/>
        <w:spacing w:line="300" w:lineRule="auto" w:before="24"/>
        <w:ind w:left="1134" w:right="1042" w:firstLine="360"/>
        <w:jc w:val="both"/>
      </w:pPr>
      <w:r>
        <w:rPr>
          <w:spacing w:val="-2"/>
        </w:rPr>
        <w:t>刘勇胜先生：中国国籍，无境外永久居留权。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月出生，大专学历。曾任南京佳山纺织有限公司生产技术部经理，</w:t>
      </w:r>
      <w:r>
        <w:rPr/>
        <w:t> 温州人造革有限公司开发部经理。现任本公司技术部副经理、监事。</w:t>
      </w:r>
    </w:p>
    <w:p>
      <w:pPr>
        <w:pStyle w:val="BodyText"/>
        <w:spacing w:line="300" w:lineRule="auto" w:before="31"/>
        <w:ind w:left="1134" w:right="1133" w:firstLine="360"/>
        <w:jc w:val="both"/>
      </w:pPr>
      <w:r>
        <w:rPr>
          <w:spacing w:val="-2"/>
        </w:rPr>
        <w:t>贺璇先生：中国国籍，</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11</w:t>
      </w:r>
      <w:r>
        <w:rPr>
          <w:spacing w:val="-2"/>
        </w:rPr>
        <w:t>月出生，硕士学历，工程师。曾任杭州新光塑料有限公司一分厂厂长助理、副厂长，曾</w:t>
      </w:r>
      <w:r>
        <w:rPr/>
        <w:t> 获</w:t>
      </w:r>
      <w:r>
        <w:rPr>
          <w:rFonts w:ascii="Times New Roman" w:hAnsi="Times New Roman" w:cs="Times New Roman" w:eastAsia="Times New Roman" w:hint="default"/>
        </w:rPr>
        <w:t>“</w:t>
      </w:r>
      <w:r>
        <w:rPr/>
        <w:t>上海市金山区技改创新标兵</w:t>
      </w:r>
      <w:r>
        <w:rPr>
          <w:rFonts w:ascii="Times New Roman" w:hAnsi="Times New Roman" w:cs="Times New Roman" w:eastAsia="Times New Roman" w:hint="default"/>
        </w:rPr>
        <w:t>”</w:t>
      </w:r>
      <w:r>
        <w:rPr/>
        <w:t>荣誉称号，现任本公司生产部经理、监事。</w:t>
      </w:r>
    </w:p>
    <w:p>
      <w:pPr>
        <w:pStyle w:val="BodyText"/>
        <w:spacing w:line="300" w:lineRule="auto" w:before="13"/>
        <w:ind w:right="1130" w:firstLine="360"/>
        <w:jc w:val="both"/>
      </w:pPr>
      <w:r>
        <w:rPr>
          <w:spacing w:val="-2"/>
        </w:rPr>
        <w:t>余少挺先生：中国国籍，无境外永久居留权。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10</w:t>
      </w:r>
      <w:r>
        <w:rPr>
          <w:spacing w:val="-2"/>
        </w:rPr>
        <w:t>月出生，本科学历，</w:t>
      </w:r>
      <w:r>
        <w:rPr>
          <w:rFonts w:ascii="Times New Roman" w:hAnsi="Times New Roman" w:cs="Times New Roman" w:eastAsia="Times New Roman" w:hint="default"/>
          <w:spacing w:val="-2"/>
        </w:rPr>
        <w:t>2003</w:t>
      </w:r>
      <w:r>
        <w:rPr>
          <w:spacing w:val="-2"/>
        </w:rPr>
        <w:t>年起至今一直在本公司营销部工作。现</w:t>
      </w:r>
      <w:r>
        <w:rPr/>
        <w:t> 任本公司监事。</w:t>
      </w:r>
    </w:p>
    <w:p>
      <w:pPr>
        <w:pStyle w:val="BodyText"/>
        <w:spacing w:line="300" w:lineRule="auto" w:before="31"/>
        <w:ind w:right="1132" w:firstLine="360"/>
        <w:jc w:val="both"/>
      </w:pPr>
      <w:r>
        <w:rPr/>
        <w:t>蔡开成先生：中国国籍，男，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月出生，大专文化，会计师。曾任温州安庆建设开发公司副总经理，瑞安华威印 </w:t>
      </w:r>
      <w:r>
        <w:rPr>
          <w:spacing w:val="-2"/>
        </w:rPr>
        <w:t>刷机械有限公司副总经理，</w:t>
      </w:r>
      <w:r>
        <w:rPr>
          <w:rFonts w:ascii="Times New Roman" w:hAnsi="Times New Roman" w:cs="Times New Roman" w:eastAsia="Times New Roman" w:hint="default"/>
          <w:spacing w:val="-2"/>
        </w:rPr>
        <w:t>2009</w:t>
      </w:r>
      <w:r>
        <w:rPr>
          <w:spacing w:val="-2"/>
        </w:rPr>
        <w:t>年进入浙江华峰氨纶股份有限公司，曾任该公司财务总监兼财务部部长。现任本公司财务总</w:t>
      </w:r>
      <w:r>
        <w:rPr>
          <w:spacing w:val="-62"/>
        </w:rPr>
        <w:t> </w:t>
      </w:r>
      <w:r>
        <w:rPr>
          <w:spacing w:val="-62"/>
        </w:rPr>
      </w:r>
      <w:r>
        <w:rPr/>
        <w:t>监。</w:t>
      </w:r>
    </w:p>
    <w:p>
      <w:pPr>
        <w:pStyle w:val="BodyText"/>
        <w:spacing w:line="300" w:lineRule="auto" w:before="31"/>
        <w:ind w:right="1141" w:firstLine="360"/>
        <w:jc w:val="both"/>
      </w:pPr>
      <w:r>
        <w:rPr/>
        <w:t>黄康军先生：中国国籍，男，</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9</w:t>
      </w:r>
      <w:r>
        <w:rPr/>
        <w:t>月出生，高级工程师。曾任上海松山国际贸易公司副总经理、华峰集团有限公司 投资发展部经理等职务。</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年期间，任华峰集团有限公司副总经理。现担任本公司副总经理。</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在股东单位任职情况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09"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3231"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6"/>
              <w:ind w:left="22" w:right="-49"/>
              <w:jc w:val="left"/>
              <w:rPr>
                <w:rFonts w:ascii="宋体" w:hAnsi="宋体" w:cs="宋体" w:eastAsia="宋体" w:hint="default"/>
                <w:sz w:val="18"/>
                <w:szCs w:val="18"/>
              </w:rPr>
            </w:pPr>
            <w:r>
              <w:rPr>
                <w:rFonts w:ascii="宋体" w:hAnsi="宋体" w:cs="宋体" w:eastAsia="宋体" w:hint="default"/>
                <w:sz w:val="18"/>
                <w:szCs w:val="18"/>
              </w:rPr>
              <w:t>华峰集团有限公司及下属多家控股公司、 浙江华峰氨纶股份有限公司</w:t>
            </w:r>
          </w:p>
        </w:tc>
        <w:tc>
          <w:tcPr>
            <w:tcW w:w="1076"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7"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53.35pt;height:7.8pt;mso-position-horizontal-relative:char;mso-position-vertical-relative:line" coordorigin="0,0" coordsize="1067,156">
                  <v:group style="position:absolute;left:0;top:0;width:1067;height:156" coordorigin="0,0" coordsize="1067,156">
                    <v:shape style="position:absolute;left:0;top:0;width:1067;height:156" coordorigin="0,0" coordsize="1067,156" path="m0,156l1067,156,1067,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pacing w:val="-10"/>
                <w:sz w:val="18"/>
                <w:szCs w:val="18"/>
              </w:rPr>
              <w:t>董事长、董事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东华大学纺织学院、上海龙头股份有限公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司、上海嘉麟杰股份有限公司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教授、独立董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浙江大学城市学院、宁波双林汽车部件股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份有限公司、浙江金固股份有限公司、宁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波高发汽车控制系统股份有限公司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8"/>
                <w:sz w:val="18"/>
                <w:szCs w:val="18"/>
              </w:rPr>
              <w:t>教师、独立董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杭州电子科技大学会计学院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四、董事、监事、高级管理人员报酬情况" w:id="118"/>
      <w:bookmarkEnd w:id="11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261"/>
        <w:gridCol w:w="5308"/>
      </w:tblGrid>
      <w:tr>
        <w:trPr>
          <w:trHeight w:val="105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69"/>
              <w:jc w:val="both"/>
              <w:rPr>
                <w:rFonts w:ascii="宋体" w:hAnsi="宋体" w:cs="宋体" w:eastAsia="宋体" w:hint="default"/>
                <w:sz w:val="18"/>
                <w:szCs w:val="18"/>
              </w:rPr>
            </w:pPr>
            <w:r>
              <w:rPr>
                <w:rFonts w:ascii="宋体" w:hAnsi="宋体" w:cs="宋体" w:eastAsia="宋体" w:hint="default"/>
                <w:sz w:val="18"/>
                <w:szCs w:val="18"/>
              </w:rPr>
              <w:t>董事、高管报酬由公司薪酬与考核委员会，根据其经营绩效、工作 能力、岗位职级等为依据考核确定，经董事会通过后，由股东大会 批准。监事薪酬经监事会通过后，由股东大会批准。</w:t>
            </w: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left"/>
              <w:rPr>
                <w:rFonts w:ascii="宋体" w:hAnsi="宋体" w:cs="宋体" w:eastAsia="宋体" w:hint="default"/>
                <w:sz w:val="18"/>
                <w:szCs w:val="18"/>
              </w:rPr>
            </w:pPr>
            <w:r>
              <w:rPr>
                <w:rFonts w:ascii="宋体" w:hAnsi="宋体" w:cs="宋体" w:eastAsia="宋体" w:hint="default"/>
                <w:sz w:val="18"/>
                <w:szCs w:val="18"/>
              </w:rPr>
              <w:t>由公司薪酬与考核委员会和监事会，根据其经营绩效、工作能力、 岗位职级等为依据分别考核确定。</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根据股东大会审议情况最终确定。</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681.98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19"/>
      <w:bookmarkEnd w:id="11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0"/>
      <w:bookmarkEnd w:id="12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1"/>
      <w:bookmarkEnd w:id="12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133" w:firstLine="290"/>
        <w:jc w:val="both"/>
      </w:pPr>
      <w:r>
        <w:rPr>
          <w:spacing w:val="-1"/>
        </w:rPr>
        <w:t>公司以岗位、绩效、能力作为定薪的基本依据，将绩效考核与薪酬挂钩，发挥薪酬的激励作用，体现企业与员工共同利</w:t>
      </w:r>
      <w:r>
        <w:rPr/>
        <w:t> </w:t>
      </w:r>
      <w:r>
        <w:rPr>
          <w:spacing w:val="-2"/>
        </w:rPr>
        <w:t>益，共同发展的理念，遵循对外具有竞争力，对内公平公正，合理控制人工成本的原则下，结合上海市相关法律法规从而制</w:t>
      </w:r>
      <w:r>
        <w:rPr>
          <w:spacing w:val="-66"/>
        </w:rPr>
        <w:t> </w:t>
      </w:r>
      <w:r>
        <w:rPr>
          <w:spacing w:val="-66"/>
        </w:rPr>
      </w:r>
      <w:r>
        <w:rPr/>
        <w:t>定薪酬制度。</w:t>
      </w:r>
    </w:p>
    <w:p>
      <w:pPr>
        <w:spacing w:after="0" w:line="31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1133" w:right="0"/>
        <w:jc w:val="left"/>
        <w:rPr>
          <w:b w:val="0"/>
          <w:bCs w:val="0"/>
        </w:rPr>
      </w:pPr>
      <w:bookmarkStart w:name="3、培训计划" w:id="122"/>
      <w:bookmarkEnd w:id="12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290"/>
        <w:jc w:val="both"/>
      </w:pPr>
      <w:r>
        <w:rPr>
          <w:spacing w:val="-2"/>
        </w:rPr>
        <w:t>公司培训主要分为三大部分如下：一</w:t>
      </w:r>
      <w:r>
        <w:rPr>
          <w:spacing w:val="-6"/>
        </w:rPr>
        <w:t> </w:t>
      </w:r>
      <w:r>
        <w:rPr>
          <w:spacing w:val="-2"/>
        </w:rPr>
        <w:t>新员工入职培训：让新员工的更好的了解公司，更好的融入企业文化；让新员工明</w:t>
      </w:r>
      <w:r>
        <w:rPr/>
        <w:t> 确自己的工作目标及工作内容，掌握工作要领和操作规程；让新员工掌握企业安全生产制度、职业卫生健康等内容。二</w:t>
      </w:r>
      <w:r>
        <w:rPr>
          <w:spacing w:val="8"/>
        </w:rPr>
        <w:t> </w:t>
      </w:r>
      <w:r>
        <w:rPr/>
        <w:t>转</w:t>
      </w:r>
      <w:r>
        <w:rPr/>
        <w:t> 岗位培训：培训目标：使转岗员工掌握新岗位所必须的技术业务知识和岗；三</w:t>
      </w:r>
      <w:r>
        <w:rPr>
          <w:spacing w:val="-18"/>
        </w:rPr>
        <w:t> </w:t>
      </w:r>
      <w:r>
        <w:rPr/>
        <w:t>在岗培训：使在岗员工通过培训提高业务能</w:t>
      </w:r>
      <w:r>
        <w:rPr/>
        <w:t> </w:t>
      </w:r>
      <w:r>
        <w:rPr>
          <w:spacing w:val="-2"/>
        </w:rPr>
        <w:t>力水平及技能操作水平。培训主要采用外培和内培相结合。公司每年在年初制定全年培训计划，之后根据培训计划进行实施</w:t>
      </w:r>
      <w:r>
        <w:rPr>
          <w:spacing w:val="-66"/>
        </w:rPr>
        <w:t> </w:t>
      </w:r>
      <w:r>
        <w:rPr>
          <w:spacing w:val="-66"/>
        </w:rPr>
      </w:r>
      <w:r>
        <w:rPr/>
        <w:t>培训，最后对培训的效果进行评估。</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4、劳务外包情况" w:id="123"/>
      <w:bookmarkEnd w:id="12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1,914,504</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55,982,303.00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九节 公司治理" w:id="124"/>
      <w:bookmarkEnd w:id="124"/>
      <w:r>
        <w:rPr>
          <w:b w:val="0"/>
          <w:bCs w:val="0"/>
        </w:rPr>
      </w:r>
      <w:bookmarkStart w:name="_bookmark7" w:id="125"/>
      <w:bookmarkEnd w:id="12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6"/>
      <w:bookmarkEnd w:id="12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报告期内，公司持续优化上市公司规范治理结构，严格按照《公司法》、《证券法》、《上市公司治理规则》、《深圳</w:t>
      </w:r>
      <w:r>
        <w:rPr/>
        <w:t> </w:t>
      </w:r>
      <w:r>
        <w:rPr>
          <w:spacing w:val="-2"/>
        </w:rPr>
        <w:t>证券交易所创业板上市规则》、《深圳证券交易所创业板上市公司规范运作指引》及其他相关法律、法规、规范性文件，进</w:t>
      </w:r>
      <w:r>
        <w:rPr>
          <w:spacing w:val="-70"/>
        </w:rPr>
        <w:t> </w:t>
      </w:r>
      <w:r>
        <w:rPr>
          <w:spacing w:val="-70"/>
        </w:rPr>
      </w:r>
      <w:r>
        <w:rPr>
          <w:spacing w:val="-2"/>
        </w:rPr>
        <w:t>一步完善公司内部控制制度，促进公司规范运作，不断加强信息披露工作，积极开展投资者关系管理工作，提高公司治理水</w:t>
      </w:r>
      <w:r>
        <w:rPr>
          <w:spacing w:val="-66"/>
        </w:rPr>
        <w:t> </w:t>
      </w:r>
      <w:r>
        <w:rPr>
          <w:spacing w:val="-66"/>
        </w:rPr>
      </w:r>
      <w:r>
        <w:rPr>
          <w:spacing w:val="-2"/>
        </w:rPr>
        <w:t>平。截至报告期末，公司整体运作比较规范，公司治理的实际状况符合《上市公司治理准则》和《深圳证券交易所创业板上</w:t>
      </w:r>
      <w:r>
        <w:rPr>
          <w:spacing w:val="-68"/>
        </w:rPr>
        <w:t> </w:t>
      </w:r>
      <w:r>
        <w:rPr>
          <w:spacing w:val="-68"/>
        </w:rPr>
      </w:r>
      <w:r>
        <w:rPr/>
        <w:t>市公司规范运作指引》的要求。</w:t>
      </w:r>
    </w:p>
    <w:p>
      <w:pPr>
        <w:pStyle w:val="BodyText"/>
        <w:spacing w:line="316" w:lineRule="auto" w:before="19"/>
        <w:ind w:left="1494" w:right="0" w:hanging="360"/>
        <w:jc w:val="left"/>
      </w:pPr>
      <w:r>
        <w:rPr/>
        <w:t>（一）关于股东与股东大会： </w:t>
      </w:r>
      <w:r>
        <w:rPr>
          <w:spacing w:val="-2"/>
        </w:rPr>
        <w:t>公司严格按照《上市公司股东大会规则》、《公司章程》、《股东大会议事规则》等规定和要求，规范地召集、召开股</w:t>
      </w:r>
    </w:p>
    <w:p>
      <w:pPr>
        <w:pStyle w:val="BodyText"/>
        <w:spacing w:line="316" w:lineRule="auto" w:before="19"/>
        <w:ind w:left="1134" w:right="1131"/>
        <w:jc w:val="both"/>
      </w:pPr>
      <w:r>
        <w:rPr>
          <w:spacing w:val="-2"/>
        </w:rPr>
        <w:t>东大会，平等对待所有股东，并尽可能为股东参加股东大会提供便利，使其充分行使股东权利，慎重考虑股东提出的各项意</w:t>
      </w:r>
      <w:r>
        <w:rPr>
          <w:spacing w:val="-66"/>
        </w:rPr>
        <w:t> </w:t>
      </w:r>
      <w:r>
        <w:rPr>
          <w:spacing w:val="-66"/>
        </w:rPr>
      </w:r>
      <w:r>
        <w:rPr/>
        <w:t>见与建议，从股东的根本利益出发作出决策。</w:t>
      </w:r>
    </w:p>
    <w:p>
      <w:pPr>
        <w:pStyle w:val="BodyText"/>
        <w:spacing w:line="316" w:lineRule="auto" w:before="19"/>
        <w:ind w:left="1494" w:right="0" w:hanging="360"/>
        <w:jc w:val="left"/>
      </w:pPr>
      <w:r>
        <w:rPr/>
        <w:t>（二）关于公司与控股股东： </w:t>
      </w:r>
      <w:r>
        <w:rPr>
          <w:spacing w:val="-4"/>
        </w:rPr>
        <w:t>公司具有独立的业务经营能力及完备的运营体系，在业务、人员、资产、机构、财务上独立于实际控制人，公司董事会、</w:t>
      </w:r>
    </w:p>
    <w:p>
      <w:pPr>
        <w:pStyle w:val="BodyText"/>
        <w:spacing w:line="316" w:lineRule="auto" w:before="19"/>
        <w:ind w:left="1134" w:right="1131"/>
        <w:jc w:val="both"/>
      </w:pPr>
      <w:r>
        <w:rPr>
          <w:spacing w:val="-2"/>
        </w:rPr>
        <w:t>监事会和业务部门均独立运作。公司实际控制人严格规范自己的行为，通过股东大会依法行使其权利并承担义务，没有超越</w:t>
      </w:r>
      <w:r>
        <w:rPr>
          <w:spacing w:val="-65"/>
        </w:rPr>
        <w:t> </w:t>
      </w:r>
      <w:r>
        <w:rPr>
          <w:spacing w:val="-65"/>
        </w:rPr>
      </w:r>
      <w:r>
        <w:rPr>
          <w:spacing w:val="-2"/>
        </w:rPr>
        <w:t>股东大会直接或间接干预公司的决策和经营活动。报告期内，公司没有为控股股东提供担保，亦不存在控股股东非经营性占</w:t>
      </w:r>
      <w:r>
        <w:rPr>
          <w:spacing w:val="-66"/>
        </w:rPr>
        <w:t> </w:t>
      </w:r>
      <w:r>
        <w:rPr>
          <w:spacing w:val="-66"/>
        </w:rPr>
      </w:r>
      <w:r>
        <w:rPr/>
        <w:t>用公司资金的行为。</w:t>
      </w:r>
    </w:p>
    <w:p>
      <w:pPr>
        <w:pStyle w:val="BodyText"/>
        <w:spacing w:line="316" w:lineRule="auto" w:before="19"/>
        <w:ind w:left="1494" w:right="0" w:hanging="360"/>
        <w:jc w:val="left"/>
      </w:pPr>
      <w:r>
        <w:rPr/>
        <w:t>（三）关于董事和董事会：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名，截止报告期末公司现有董事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名。公司选聘董事，董事会</w:t>
      </w:r>
    </w:p>
    <w:p>
      <w:pPr>
        <w:pStyle w:val="BodyText"/>
        <w:spacing w:line="316" w:lineRule="auto"/>
        <w:ind w:right="1133"/>
        <w:jc w:val="both"/>
      </w:pPr>
      <w:r>
        <w:rPr>
          <w:spacing w:val="-2"/>
        </w:rPr>
        <w:t>人数、构成及资格均符合法律、法规和《公司章程》的规定。报告期内，各位董事能够依据《深圳证券交易所创业板上市公</w:t>
      </w:r>
      <w:r>
        <w:rPr>
          <w:spacing w:val="-72"/>
        </w:rPr>
        <w:t> </w:t>
      </w:r>
      <w:r>
        <w:rPr>
          <w:spacing w:val="-72"/>
        </w:rPr>
      </w:r>
      <w:r>
        <w:rPr>
          <w:spacing w:val="-2"/>
        </w:rPr>
        <w:t>司规范运作指引》、《董事会议事规则》、《独立董事工作制度》等开展工作，出席董事会和股东大会，勤勉尽责地履行职</w:t>
      </w:r>
      <w:r>
        <w:rPr>
          <w:spacing w:val="-69"/>
        </w:rPr>
        <w:t> </w:t>
      </w:r>
      <w:r>
        <w:rPr>
          <w:spacing w:val="-69"/>
        </w:rPr>
      </w:r>
      <w:r>
        <w:rPr/>
        <w:t>责和义务，同时积极参加相关培训，熟悉相关法律法规。</w:t>
      </w:r>
    </w:p>
    <w:p>
      <w:pPr>
        <w:pStyle w:val="BodyText"/>
        <w:spacing w:line="316" w:lineRule="auto" w:before="19"/>
        <w:ind w:left="1134" w:right="1050" w:firstLine="360"/>
        <w:jc w:val="both"/>
      </w:pPr>
      <w:r>
        <w:rPr/>
        <w:t>公司董事会下设战略委员会、提名委员会、薪酬与考核委员会和审计委员会，各委员会独立董事占比均超过二分之一， 提高了董事会履职能力和专业化程度，保障了董事会决策的科学性和规范性。</w:t>
      </w:r>
    </w:p>
    <w:p>
      <w:pPr>
        <w:pStyle w:val="BodyText"/>
        <w:spacing w:line="240" w:lineRule="auto" w:before="19"/>
        <w:ind w:left="1493" w:right="0"/>
        <w:jc w:val="left"/>
      </w:pPr>
      <w:r>
        <w:rPr/>
        <w:t>公司独立董事独立履行职责，不受公司控股股东、实际控制人以及其他与公司有利害关系的单位或个人影响。</w:t>
      </w:r>
    </w:p>
    <w:p>
      <w:pPr>
        <w:pStyle w:val="BodyText"/>
        <w:spacing w:line="316" w:lineRule="auto" w:before="76"/>
        <w:ind w:left="1493" w:right="0" w:hanging="36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2</w:t>
      </w:r>
      <w:r>
        <w:rPr>
          <w:spacing w:val="-2"/>
        </w:rPr>
        <w:t>名，监事会的人数及人员构成符合法律、法规和《公司章程》的要求。各位监事</w:t>
      </w:r>
    </w:p>
    <w:p>
      <w:pPr>
        <w:pStyle w:val="BodyText"/>
        <w:spacing w:line="316" w:lineRule="auto"/>
        <w:ind w:right="1132"/>
        <w:jc w:val="both"/>
      </w:pPr>
      <w:r>
        <w:rPr>
          <w:spacing w:val="-2"/>
        </w:rPr>
        <w:t>能够按照《监事会议事规则》的要求，认真履行自己的职责，对公司重大事项、关联交易、财务状况以及董事、高级管理人</w:t>
      </w:r>
      <w:r>
        <w:rPr>
          <w:spacing w:val="-71"/>
        </w:rPr>
        <w:t> </w:t>
      </w:r>
      <w:r>
        <w:rPr>
          <w:spacing w:val="-71"/>
        </w:rPr>
      </w:r>
      <w:r>
        <w:rPr>
          <w:spacing w:val="-2"/>
        </w:rPr>
        <w:t>员履行职责的合法合规性进行监督，维护公司及股东的合法权益。公司也采取了有效过失保障监事的知情权，能够独立有效</w:t>
      </w:r>
      <w:r>
        <w:rPr>
          <w:spacing w:val="-66"/>
        </w:rPr>
        <w:t> </w:t>
      </w:r>
      <w:r>
        <w:rPr>
          <w:spacing w:val="-66"/>
        </w:rPr>
      </w:r>
      <w:r>
        <w:rPr/>
        <w:t>地行使对董事、经历和其他高级管理人员进行监督。</w:t>
      </w:r>
    </w:p>
    <w:p>
      <w:pPr>
        <w:pStyle w:val="BodyText"/>
        <w:spacing w:line="316" w:lineRule="auto" w:before="19"/>
        <w:ind w:left="1494" w:right="0" w:hanging="360"/>
        <w:jc w:val="left"/>
      </w:pPr>
      <w:r>
        <w:rPr/>
        <w:t>（五）关于绩效评价与激励约束机制： </w:t>
      </w:r>
      <w:r>
        <w:rPr>
          <w:spacing w:val="-2"/>
        </w:rPr>
        <w:t>公司董事会下设提名委员会、薪酬与考核委员，制定了薪酬管理制度和绩效考评管理办法，建立和完善公正、透明的董</w:t>
      </w:r>
    </w:p>
    <w:p>
      <w:pPr>
        <w:pStyle w:val="BodyText"/>
        <w:spacing w:line="316" w:lineRule="auto" w:before="19"/>
        <w:ind w:left="1134" w:right="1131"/>
        <w:jc w:val="both"/>
      </w:pPr>
      <w:r>
        <w:rPr>
          <w:spacing w:val="-2"/>
        </w:rPr>
        <w:t>事、监事和高管人员的绩效评价标准和激励约束机制，公司经理人员的聘任公开、透明，符合法律法规的规定。公司董事会</w:t>
      </w:r>
      <w:r>
        <w:rPr>
          <w:spacing w:val="-66"/>
        </w:rPr>
        <w:t> </w:t>
      </w:r>
      <w:r>
        <w:rPr>
          <w:spacing w:val="-66"/>
        </w:rPr>
      </w:r>
      <w:r>
        <w:rPr>
          <w:spacing w:val="-2"/>
        </w:rPr>
        <w:t>下设的薪酬和考核委员会负责对公司的董事、监事、高管进行绩效考核，公司现有考核机制符合相关法律法规，同时符合公</w:t>
      </w:r>
      <w:r>
        <w:rPr>
          <w:spacing w:val="-66"/>
        </w:rPr>
        <w:t> </w:t>
      </w:r>
      <w:r>
        <w:rPr>
          <w:spacing w:val="-66"/>
        </w:rPr>
      </w:r>
      <w:r>
        <w:rPr/>
        <w:t>司发展情况。</w:t>
      </w:r>
    </w:p>
    <w:p>
      <w:pPr>
        <w:pStyle w:val="BodyText"/>
        <w:spacing w:line="316" w:lineRule="auto" w:before="19"/>
        <w:ind w:left="1494" w:right="0" w:hanging="360"/>
        <w:jc w:val="left"/>
      </w:pPr>
      <w:r>
        <w:rPr/>
        <w:t>（六）关于信息披露与透明度： </w:t>
      </w:r>
      <w:r>
        <w:rPr>
          <w:spacing w:val="-2"/>
        </w:rPr>
        <w:t>公司严格按照有关法律法规以及《公司章程》、《公司信息披露管理办法》等的要求，真实、准确、及时、公平、完整</w:t>
      </w:r>
    </w:p>
    <w:p>
      <w:pPr>
        <w:pStyle w:val="BodyText"/>
        <w:spacing w:line="316" w:lineRule="auto" w:before="19"/>
        <w:ind w:left="1134" w:right="1133"/>
        <w:jc w:val="both"/>
      </w:pPr>
      <w:r>
        <w:rPr>
          <w:spacing w:val="-2"/>
        </w:rPr>
        <w:t>地披露有关信息，指定公司董事会秘书负责信息披露工作，协调公司与投资者的关系，接待股东来访，回答投资者咨询，向</w:t>
      </w:r>
      <w:r>
        <w:rPr>
          <w:spacing w:val="-66"/>
        </w:rPr>
        <w:t> </w:t>
      </w:r>
      <w:r>
        <w:rPr>
          <w:spacing w:val="-66"/>
        </w:rPr>
      </w:r>
      <w:r>
        <w:rPr/>
        <w:t>投资者提供公司已披露的资料；并指定《证券时报》、《上海证券报》、《中国证券报》、《证券日报》和巨潮资讯网网</w:t>
      </w:r>
    </w:p>
    <w:p>
      <w:pPr>
        <w:pStyle w:val="BodyText"/>
        <w:spacing w:line="300" w:lineRule="auto" w:before="19"/>
        <w:ind w:left="1134" w:right="1204"/>
        <w:jc w:val="both"/>
      </w:pPr>
      <w:r>
        <w:rPr/>
        <w:t>（</w:t>
      </w:r>
      <w:hyperlink r:id="rId12">
        <w:r>
          <w:rPr>
            <w:rFonts w:ascii="Times New Roman" w:hAnsi="Times New Roman" w:cs="Times New Roman" w:eastAsia="Times New Roman" w:hint="default"/>
          </w:rPr>
          <w:t>www.cninfo.com.cn</w:t>
        </w:r>
      </w:hyperlink>
      <w:r>
        <w:rPr/>
        <w:t>）为公司信息披露的指定报纸和网站，确保公司所有股东能够以平等的机会获得信息。同时，公司还</w:t>
      </w:r>
      <w:r>
        <w:rPr>
          <w:w w:val="99"/>
        </w:rPr>
        <w:t> </w:t>
      </w:r>
      <w:r>
        <w:rPr/>
        <w:t>根据《信息披露管理办法》的要求，加强与投资者的沟通，促进投资者对公司的了解和认同。</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（七）关于相关利益者：</w:t>
      </w:r>
    </w:p>
    <w:p>
      <w:pPr>
        <w:pStyle w:val="BodyText"/>
        <w:spacing w:line="300" w:lineRule="auto" w:before="76"/>
        <w:ind w:left="1134" w:right="1140" w:firstLine="360"/>
        <w:jc w:val="both"/>
      </w:pPr>
      <w:r>
        <w:rPr>
          <w:rFonts w:ascii="Times New Roman" w:hAnsi="Times New Roman" w:cs="Times New Roman" w:eastAsia="Times New Roman" w:hint="default"/>
        </w:rPr>
        <w:t>1</w:t>
      </w:r>
      <w:r>
        <w:rPr/>
        <w:t>、公司能够充分尊重和维护相关利益者的合法权益，实现股东、员工、社会等各方利益的协调平衡，共同推动公司持 续、健康的发展。</w:t>
      </w:r>
    </w:p>
    <w:p>
      <w:pPr>
        <w:pStyle w:val="BodyText"/>
        <w:spacing w:line="309" w:lineRule="auto" w:before="31"/>
        <w:ind w:left="1134" w:right="1133" w:firstLine="360"/>
        <w:jc w:val="both"/>
      </w:pPr>
      <w:r>
        <w:rPr>
          <w:rFonts w:ascii="Times New Roman" w:hAnsi="Times New Roman" w:cs="Times New Roman" w:eastAsia="Times New Roman" w:hint="default"/>
        </w:rPr>
        <w:t>2</w:t>
      </w:r>
      <w:r>
        <w:rPr/>
        <w:t>、投资者关系管理：报告期内，公司严格执行《投资者关系管理制度》等有关制度，认真做好投资者关系管理工作， </w:t>
      </w:r>
      <w:r>
        <w:rPr>
          <w:spacing w:val="-2"/>
        </w:rPr>
        <w:t>不断学习投资者关系管理经验，便于以更好的方式和途径使广大投资者能够平等地获取公司经营管理、未来发展等信息，构</w:t>
      </w:r>
      <w:r>
        <w:rPr>
          <w:spacing w:val="-66"/>
        </w:rPr>
        <w:t> </w:t>
      </w:r>
      <w:r>
        <w:rPr>
          <w:spacing w:val="-66"/>
        </w:rPr>
      </w:r>
      <w:r>
        <w:rPr/>
        <w:t>建与投资者的良好互动关系，树立公司在资本市场的规范形象。</w:t>
      </w:r>
    </w:p>
    <w:p>
      <w:pPr>
        <w:pStyle w:val="BodyText"/>
        <w:spacing w:line="309" w:lineRule="auto" w:before="24"/>
        <w:ind w:left="1134" w:right="1133" w:firstLine="360"/>
        <w:jc w:val="both"/>
      </w:pPr>
      <w:r>
        <w:rPr/>
        <w:t>（</w:t>
      </w:r>
      <w:r>
        <w:rPr>
          <w:rFonts w:ascii="Times New Roman" w:hAnsi="Times New Roman" w:cs="Times New Roman" w:eastAsia="Times New Roman" w:hint="default"/>
        </w:rPr>
        <w:t>1</w:t>
      </w:r>
      <w:r>
        <w:rPr/>
        <w:t>）公司制定董事会秘书作为投资者关系管理的负责人，负责投资者来访接待工作，合理、妥善地安排个人投资者、 </w:t>
      </w:r>
      <w:r>
        <w:rPr>
          <w:spacing w:val="-2"/>
        </w:rPr>
        <w:t>机构投资者、分析师等相关人员到公司进行调研，做好调研的会议记录和相关信息的保密工作，并对调研会议记录进行存档</w:t>
      </w:r>
      <w:r>
        <w:rPr>
          <w:spacing w:val="-66"/>
        </w:rPr>
        <w:t> </w:t>
      </w:r>
      <w:r>
        <w:rPr>
          <w:spacing w:val="-66"/>
        </w:rPr>
      </w:r>
      <w:r>
        <w:rPr/>
        <w:t>保管及向深圳证券交易所报备。</w:t>
      </w:r>
    </w:p>
    <w:p>
      <w:pPr>
        <w:pStyle w:val="BodyText"/>
        <w:spacing w:line="300" w:lineRule="auto" w:before="24"/>
        <w:ind w:left="1134" w:right="1141" w:firstLine="360"/>
        <w:jc w:val="both"/>
      </w:pPr>
      <w:r>
        <w:rPr/>
        <w:t>（</w:t>
      </w:r>
      <w:r>
        <w:rPr>
          <w:rFonts w:ascii="Times New Roman" w:hAnsi="Times New Roman" w:cs="Times New Roman" w:eastAsia="Times New Roman" w:hint="default"/>
        </w:rPr>
        <w:t>2</w:t>
      </w:r>
      <w:r>
        <w:rPr/>
        <w:t>）通过公司网站、投资者关系管理电话、电子信箱、互动平台等多种渠道与投资者加强沟通，尽可能地解答投资者 的疑问。</w:t>
      </w:r>
    </w:p>
    <w:p>
      <w:pPr>
        <w:pStyle w:val="BodyText"/>
        <w:spacing w:line="316" w:lineRule="auto" w:before="31"/>
        <w:ind w:left="1493" w:right="0" w:hanging="360"/>
        <w:jc w:val="left"/>
      </w:pPr>
      <w:r>
        <w:rPr/>
        <w:t>（八）内部审计制度的建立和执行情况 </w:t>
      </w:r>
      <w:r>
        <w:rPr>
          <w:spacing w:val="-2"/>
        </w:rPr>
        <w:t>为加强内部控制活动的监督和评价，有效控制风险，保证公司资产的安全与完整，董事会下设审计委员会，负责全面审</w:t>
      </w:r>
    </w:p>
    <w:p>
      <w:pPr>
        <w:pStyle w:val="BodyText"/>
        <w:spacing w:line="316" w:lineRule="auto" w:before="19"/>
        <w:ind w:right="1130"/>
        <w:jc w:val="both"/>
      </w:pPr>
      <w:r>
        <w:rPr>
          <w:spacing w:val="-2"/>
        </w:rPr>
        <w:t>查和监督公司的财务报告、内部审计方案及内部控制的有效性，审阅和审查财务、经营、合规、风险管理情况。公司设置内</w:t>
      </w:r>
      <w:r>
        <w:rPr>
          <w:spacing w:val="-67"/>
        </w:rPr>
        <w:t> </w:t>
      </w:r>
      <w:r>
        <w:rPr>
          <w:spacing w:val="-67"/>
        </w:rPr>
      </w:r>
      <w:r>
        <w:rPr>
          <w:spacing w:val="-2"/>
        </w:rPr>
        <w:t>部审计部门，建立了内部审计制度，配备专职审计人员，对审计委员会负责，向审计委员会报告工作。内部审计部对公司财</w:t>
      </w:r>
      <w:r>
        <w:rPr>
          <w:spacing w:val="-66"/>
        </w:rPr>
        <w:t> </w:t>
      </w:r>
      <w:r>
        <w:rPr>
          <w:spacing w:val="-66"/>
        </w:rPr>
      </w:r>
      <w:r>
        <w:rPr>
          <w:spacing w:val="-2"/>
        </w:rPr>
        <w:t>务信息及内部控制制度的建立和实施等进行检查和监督，对公司对外担保、关联交易等行为进行重点审计，及时向审计委员</w:t>
      </w:r>
      <w:r>
        <w:rPr>
          <w:spacing w:val="-66"/>
        </w:rPr>
        <w:t> </w:t>
      </w:r>
      <w:r>
        <w:rPr>
          <w:spacing w:val="-66"/>
        </w:rPr>
      </w:r>
      <w:r>
        <w:rPr/>
        <w:t>会提交工作计划并汇报审计工作报告，就审计过程中发现的问题进行督促整改。</w:t>
      </w:r>
    </w:p>
    <w:p>
      <w:pPr>
        <w:pStyle w:val="BodyText"/>
        <w:spacing w:line="316" w:lineRule="auto" w:before="19"/>
        <w:ind w:left="1493" w:right="0" w:hanging="360"/>
        <w:jc w:val="left"/>
      </w:pPr>
      <w:r>
        <w:rPr/>
        <w:t>（九）公司董事履职情况 </w:t>
      </w:r>
      <w:r>
        <w:rPr>
          <w:spacing w:val="-2"/>
        </w:rPr>
        <w:t>报告期内，公司全体董事严格按照《公司法》、《证券法》、《深圳证券交易所创业板上市公司规范运作指引》、《上</w:t>
      </w:r>
    </w:p>
    <w:p>
      <w:pPr>
        <w:pStyle w:val="BodyText"/>
        <w:spacing w:line="319" w:lineRule="auto" w:before="19"/>
        <w:ind w:right="1131"/>
        <w:jc w:val="both"/>
      </w:pPr>
      <w:r>
        <w:rPr>
          <w:spacing w:val="-2"/>
        </w:rPr>
        <w:t>市公司治理准则》及《公司章程》等法律、法规及规章制度的规定和要求，履行董事职责，遵守董事行为规范，积极参加相</w:t>
      </w:r>
      <w:r>
        <w:rPr>
          <w:spacing w:val="-72"/>
        </w:rPr>
        <w:t> </w:t>
      </w:r>
      <w:r>
        <w:rPr>
          <w:spacing w:val="-72"/>
        </w:rPr>
      </w:r>
      <w:r>
        <w:rPr>
          <w:spacing w:val="-2"/>
        </w:rPr>
        <w:t>关培训，提高自身经营决策水平，发挥各自的专业所长，积极履行职责，董事在董事会会议投票表决重大事项或其他对公司</w:t>
      </w:r>
      <w:r>
        <w:rPr>
          <w:spacing w:val="-66"/>
        </w:rPr>
        <w:t> </w:t>
      </w:r>
      <w:r>
        <w:rPr>
          <w:spacing w:val="-66"/>
        </w:rPr>
      </w:r>
      <w:r>
        <w:rPr>
          <w:spacing w:val="-2"/>
        </w:rPr>
        <w:t>有重大影响的事项时，严格遵循公司董事会议事规则的有关审议事项，审慎决策，切实保护公司和股东特别是社会公众股东</w:t>
      </w:r>
      <w:r>
        <w:rPr>
          <w:spacing w:val="-66"/>
        </w:rPr>
        <w:t> </w:t>
      </w:r>
      <w:r>
        <w:rPr>
          <w:spacing w:val="-66"/>
        </w:rPr>
      </w:r>
      <w:r>
        <w:rPr/>
        <w:t>的利益。</w:t>
      </w:r>
    </w:p>
    <w:p>
      <w:pPr>
        <w:pStyle w:val="BodyText"/>
        <w:spacing w:line="240" w:lineRule="auto" w:before="17"/>
        <w:ind w:right="0"/>
        <w:jc w:val="both"/>
      </w:pPr>
      <w:r>
        <w:rPr/>
        <w:t>（十）其他</w:t>
      </w:r>
    </w:p>
    <w:p>
      <w:pPr>
        <w:pStyle w:val="BodyText"/>
        <w:spacing w:line="300" w:lineRule="auto" w:before="76"/>
        <w:ind w:right="1051" w:firstLine="360"/>
        <w:jc w:val="both"/>
      </w:pPr>
      <w:r>
        <w:rPr>
          <w:rFonts w:ascii="Times New Roman" w:hAnsi="Times New Roman" w:cs="Times New Roman" w:eastAsia="Times New Roman" w:hint="default"/>
        </w:rPr>
        <w:t>2015</w:t>
      </w:r>
      <w:r>
        <w:rPr/>
        <w:t>年公司未受到中国证监会、深圳证券交易所就公司内控存在问题的处分，公司内部控制方面没有亟待整改的问题。 今后公司将进一步优化和完善公司的内控制度。</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公司治理的实际状况与中国证监会发布的有关上市公司治理的规范性文件是否存在重大差异</w:t>
      </w:r>
    </w:p>
    <w:p>
      <w:pPr>
        <w:pStyle w:val="BodyText"/>
        <w:spacing w:line="357" w:lineRule="auto" w:before="117"/>
        <w:ind w:right="3553"/>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2"/>
        <w:spacing w:line="240" w:lineRule="auto"/>
        <w:ind w:right="0"/>
        <w:jc w:val="both"/>
        <w:rPr>
          <w:b w:val="0"/>
          <w:bCs w:val="0"/>
        </w:rPr>
      </w:pPr>
      <w:bookmarkStart w:name="二、公司相对于控股股东在业务、人员、资产、机构、财务等方面的独立情况" w:id="127"/>
      <w:bookmarkEnd w:id="12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公司与控股股东在业务、人员、资产、机构、财务等方面均能保证独立性。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三、同业竞争情况" w:id="128"/>
      <w:bookmarkEnd w:id="12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29"/>
      <w:bookmarkEnd w:id="12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30"/>
      <w:bookmarkEnd w:id="13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5">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1"/>
      <w:bookmarkEnd w:id="13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134" w:right="0"/>
        <w:jc w:val="left"/>
        <w:rPr>
          <w:b w:val="0"/>
          <w:bCs w:val="0"/>
        </w:rPr>
      </w:pPr>
      <w:bookmarkStart w:name="五、报告期内独立董事履行职责的情况" w:id="132"/>
      <w:bookmarkEnd w:id="13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33"/>
      <w:bookmarkEnd w:id="13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吴伟明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易颜新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134"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34"/>
      <w:bookmarkEnd w:id="13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57" w:lineRule="auto" w:before="116"/>
        <w:ind w:right="6973"/>
        <w:jc w:val="left"/>
      </w:pPr>
      <w:r>
        <w:rPr/>
        <w:t>□ 是 √ 否 报告期内独立董事对公司有关事项未提出异议。</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独立董事履行职责的其他说明" w:id="135"/>
      <w:bookmarkEnd w:id="13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right="6793"/>
        <w:jc w:val="left"/>
      </w:pPr>
      <w:r>
        <w:rPr/>
        <w:t>√ 是 □ 否 独立董事对公司有关建议被采纳或未被采纳的说明</w:t>
      </w:r>
    </w:p>
    <w:p>
      <w:pPr>
        <w:pStyle w:val="BodyText"/>
        <w:spacing w:line="316" w:lineRule="auto" w:before="25"/>
        <w:ind w:right="1131" w:firstLine="360"/>
        <w:jc w:val="both"/>
      </w:pPr>
      <w:r>
        <w:rPr>
          <w:spacing w:val="-2"/>
        </w:rPr>
        <w:t>公司独立董事勤勉尽责，严格按照中国证监会的相关规定及公司制度开展工作，关注公司运作，独立履行职责，对公司</w:t>
      </w:r>
      <w:r>
        <w:rPr/>
        <w:t> </w:t>
      </w:r>
      <w:r>
        <w:rPr>
          <w:spacing w:val="-2"/>
        </w:rPr>
        <w:t>内部控制建设、管理体系建设、人才梯队建设和重大决策等方面提出了很多宝贵的专业性建议，对公司财务及生产经营活动</w:t>
      </w:r>
      <w:r>
        <w:rPr>
          <w:spacing w:val="-66"/>
        </w:rPr>
        <w:t> </w:t>
      </w:r>
      <w:r>
        <w:rPr>
          <w:spacing w:val="-66"/>
        </w:rPr>
      </w:r>
      <w:r>
        <w:rPr/>
        <w:t>进行了有效监督，提高了公司决策的科学性，为完善公司监督机制，维护公司和全体股东的合法权益发挥了应有的作用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36"/>
      <w:bookmarkEnd w:id="13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494" w:right="0"/>
        <w:jc w:val="left"/>
      </w:pPr>
      <w:r>
        <w:rPr>
          <w:spacing w:val="-4"/>
        </w:rPr>
        <w:t>公司董事会下设审计委员会、提名委员会、薪酬与考核委员会、战略委员会。各专门委员会在报告期内的履职情况如下：</w:t>
      </w:r>
      <w:r>
        <w:rPr>
          <w:spacing w:val="-54"/>
        </w:rPr>
        <w:t> </w:t>
      </w:r>
      <w:r>
        <w:rPr>
          <w:spacing w:val="-54"/>
        </w:rPr>
      </w:r>
      <w:r>
        <w:rPr>
          <w:rFonts w:ascii="Times New Roman" w:hAnsi="Times New Roman" w:cs="Times New Roman" w:eastAsia="Times New Roman" w:hint="default"/>
        </w:rPr>
        <w:t>1</w:t>
      </w:r>
      <w:r>
        <w:rPr/>
        <w:t>、审计委员会的履职情况： </w:t>
      </w:r>
      <w:r>
        <w:rPr>
          <w:spacing w:val="-2"/>
        </w:rPr>
        <w:t>根据公司相关细则，审计委员会充分发挥了审核与监督作用，主要负责公司财务监督和核查工作及与外部审计机构的沟</w:t>
      </w:r>
    </w:p>
    <w:p>
      <w:pPr>
        <w:pStyle w:val="BodyText"/>
        <w:spacing w:line="316" w:lineRule="auto" w:before="24"/>
        <w:ind w:left="1134" w:right="0"/>
        <w:jc w:val="left"/>
      </w:pPr>
      <w:r>
        <w:rPr>
          <w:spacing w:val="-2"/>
        </w:rPr>
        <w:t>通、协调工作。审计委员会就会计师事务所从事公司年度审计的工作进行了总结评价，并就审计过程中发现的问题与相关人</w:t>
      </w:r>
      <w:r>
        <w:rPr>
          <w:spacing w:val="-66"/>
        </w:rPr>
        <w:t> </w:t>
      </w:r>
      <w:r>
        <w:rPr>
          <w:spacing w:val="-66"/>
        </w:rPr>
      </w:r>
      <w:r>
        <w:rPr/>
        <w:t>员进行有效沟通。同时，审计委员会审议审计部提交的审计计划及总结，切实履行了审计委员会工作职责。</w:t>
      </w:r>
    </w:p>
    <w:p>
      <w:pPr>
        <w:pStyle w:val="BodyText"/>
        <w:spacing w:line="309" w:lineRule="auto" w:before="19"/>
        <w:ind w:left="1494" w:right="5532"/>
        <w:jc w:val="left"/>
      </w:pPr>
      <w:r>
        <w:rPr>
          <w:rFonts w:ascii="Times New Roman" w:hAnsi="Times New Roman" w:cs="Times New Roman" w:eastAsia="Times New Roman" w:hint="default"/>
        </w:rPr>
        <w:t>2</w:t>
      </w:r>
      <w:r>
        <w:rPr/>
        <w:t>、提名委员会履职情况： 报告期，董事会提名委员会依照相关法规，积极履行了职责。 </w:t>
      </w:r>
      <w:r>
        <w:rPr>
          <w:rFonts w:ascii="Times New Roman" w:hAnsi="Times New Roman" w:cs="Times New Roman" w:eastAsia="Times New Roman" w:hint="default"/>
        </w:rPr>
        <w:t>3</w:t>
      </w:r>
      <w:r>
        <w:rPr/>
        <w:t>、薪酬与考核委员会履职情况：</w:t>
      </w:r>
    </w:p>
    <w:p>
      <w:pPr>
        <w:pStyle w:val="BodyText"/>
        <w:spacing w:line="316" w:lineRule="auto" w:before="5"/>
        <w:ind w:right="1132" w:firstLine="360"/>
        <w:jc w:val="both"/>
      </w:pPr>
      <w:r>
        <w:rPr>
          <w:spacing w:val="-2"/>
        </w:rPr>
        <w:t>报告期，薪酬与考核委员会对公司上年度董事和高级管理人员薪酬等事项进行了讨论与审议，认为上年度绩效考核体现</w:t>
      </w:r>
      <w:r>
        <w:rPr/>
        <w:t> 了公平原则，公司董事及高级管理人员的薪酬发放符合公司薪酬管理制度的规定。</w:t>
      </w:r>
    </w:p>
    <w:p>
      <w:pPr>
        <w:pStyle w:val="BodyText"/>
        <w:spacing w:line="300" w:lineRule="auto" w:before="19"/>
        <w:ind w:left="1494" w:right="0"/>
        <w:jc w:val="left"/>
      </w:pPr>
      <w:r>
        <w:rPr>
          <w:rFonts w:ascii="Times New Roman" w:hAnsi="Times New Roman" w:cs="Times New Roman" w:eastAsia="Times New Roman" w:hint="default"/>
        </w:rPr>
        <w:t>4</w:t>
      </w:r>
      <w:r>
        <w:rPr/>
        <w:t>、战略委员会履职情况： </w:t>
      </w:r>
      <w:r>
        <w:rPr>
          <w:spacing w:val="-2"/>
        </w:rPr>
        <w:t>报告期，董事会战略委员会根据相关细则的规定，对公司战略执行情况进行回顾总结。同时，战略委员会结合公司所处</w:t>
      </w:r>
    </w:p>
    <w:p>
      <w:pPr>
        <w:pStyle w:val="BodyText"/>
        <w:spacing w:line="240" w:lineRule="auto" w:before="31"/>
        <w:ind w:left="1134" w:right="0"/>
        <w:jc w:val="left"/>
      </w:pPr>
      <w:r>
        <w:rPr/>
        <w:t>行业发展情况及公司自身发展状况，对公司长期发展战略和重大投资决策进行审议并提出建议。</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37"/>
      <w:bookmarkEnd w:id="13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57" w:lineRule="auto" w:before="117"/>
        <w:ind w:right="7333"/>
        <w:jc w:val="left"/>
      </w:pPr>
      <w:r>
        <w:rPr/>
        <w:t>□ 是 √ 否 公司监事会对报告期内的监督事项无异议。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38"/>
      <w:bookmarkEnd w:id="13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公司高级管理人员报酬由薪酬委员会提出，经董事会审议批准后决定。公司建立了高级管理人员的薪酬与公司业绩挂钩</w:t>
      </w:r>
      <w:r>
        <w:rPr/>
        <w:t> </w:t>
      </w:r>
      <w:r>
        <w:rPr>
          <w:spacing w:val="-2"/>
        </w:rPr>
        <w:t>的绩效考核与激励约束机制，公司高级管理人员实行基本薪酬和年终绩效考核相结合的薪酬制度，有利于有效调动管理层的</w:t>
      </w:r>
      <w:r>
        <w:rPr>
          <w:spacing w:val="-64"/>
        </w:rPr>
        <w:t> </w:t>
      </w:r>
      <w:r>
        <w:rPr>
          <w:spacing w:val="-64"/>
        </w:rPr>
      </w:r>
      <w:r>
        <w:rPr/>
        <w:t>积极性。</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39"/>
      <w:bookmarkEnd w:id="13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40"/>
      <w:bookmarkEnd w:id="14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内控自我评价报告" w:id="141"/>
      <w:bookmarkEnd w:id="14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2">
              <w:r>
                <w:rPr>
                  <w:rFonts w:ascii="Times New Roman" w:hAnsi="Times New Roman" w:cs="Times New Roman" w:eastAsia="Times New Roman" w:hint="default"/>
                  <w:sz w:val="18"/>
                  <w:szCs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tabs>
                <w:tab w:pos="2182" w:val="left" w:leader="none"/>
                <w:tab w:pos="2362" w:val="left" w:leader="none"/>
              </w:tabs>
              <w:spacing w:line="309" w:lineRule="auto" w:before="51"/>
              <w:ind w:left="22" w:right="-40" w:firstLine="270"/>
              <w:jc w:val="left"/>
              <w:rPr>
                <w:rFonts w:ascii="宋体" w:hAnsi="宋体" w:cs="宋体" w:eastAsia="宋体" w:hint="default"/>
                <w:sz w:val="18"/>
                <w:szCs w:val="18"/>
              </w:rPr>
            </w:pPr>
            <w:r>
              <w:rPr>
                <w:rFonts w:ascii="宋体" w:hAnsi="宋体" w:cs="宋体" w:eastAsia="宋体" w:hint="default"/>
                <w:spacing w:val="-5"/>
                <w:sz w:val="18"/>
                <w:szCs w:val="18"/>
              </w:rPr>
              <w:t>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w:t>
            </w:r>
            <w:r>
              <w:rPr>
                <w:rFonts w:ascii="宋体" w:hAnsi="宋体" w:cs="宋体" w:eastAsia="宋体" w:hint="default"/>
                <w:sz w:val="18"/>
                <w:szCs w:val="18"/>
              </w:rPr>
              <w:t> </w:t>
            </w:r>
            <w:r>
              <w:rPr>
                <w:rFonts w:ascii="宋体" w:hAnsi="宋体" w:cs="宋体" w:eastAsia="宋体" w:hint="default"/>
                <w:spacing w:val="-5"/>
                <w:sz w:val="18"/>
                <w:szCs w:val="18"/>
              </w:rPr>
              <w:t>监事和高级管理人员的舞弊行为；（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w:t>
            </w:r>
            <w:r>
              <w:rPr>
                <w:rFonts w:ascii="宋体" w:hAnsi="宋体" w:cs="宋体" w:eastAsia="宋体" w:hint="default"/>
                <w:spacing w:val="-85"/>
                <w:sz w:val="18"/>
                <w:szCs w:val="18"/>
              </w:rPr>
              <w:t> </w:t>
            </w:r>
            <w:r>
              <w:rPr>
                <w:rFonts w:ascii="宋体" w:hAnsi="宋体" w:cs="宋体" w:eastAsia="宋体" w:hint="default"/>
                <w:spacing w:val="-5"/>
                <w:sz w:val="18"/>
                <w:szCs w:val="18"/>
              </w:rPr>
              <w:t>司更正已公布的财务报告；（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w:t>
            </w:r>
            <w:r>
              <w:rPr>
                <w:rFonts w:ascii="宋体" w:hAnsi="宋体" w:cs="宋体" w:eastAsia="宋体" w:hint="default"/>
                <w:spacing w:val="-85"/>
                <w:sz w:val="18"/>
                <w:szCs w:val="18"/>
              </w:rPr>
              <w:t> </w:t>
            </w:r>
            <w:r>
              <w:rPr>
                <w:rFonts w:ascii="宋体" w:hAnsi="宋体" w:cs="宋体" w:eastAsia="宋体" w:hint="default"/>
                <w:sz w:val="18"/>
                <w:szCs w:val="18"/>
              </w:rPr>
              <w:t>师发现的却未被公司内部控制识别的当期 </w:t>
            </w:r>
            <w:r>
              <w:rPr>
                <w:rFonts w:ascii="宋体" w:hAnsi="宋体" w:cs="宋体" w:eastAsia="宋体" w:hint="default"/>
                <w:spacing w:val="-5"/>
                <w:sz w:val="18"/>
                <w:szCs w:val="18"/>
              </w:rPr>
              <w:t>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w:t>
            </w:r>
            <w:r>
              <w:rPr>
                <w:rFonts w:ascii="宋体" w:hAnsi="宋体" w:cs="宋体" w:eastAsia="宋体" w:hint="default"/>
                <w:spacing w:val="-85"/>
                <w:sz w:val="18"/>
                <w:szCs w:val="18"/>
              </w:rPr>
              <w:t> </w:t>
            </w:r>
            <w:r>
              <w:rPr>
                <w:rFonts w:ascii="宋体" w:hAnsi="宋体" w:cs="宋体" w:eastAsia="宋体" w:hint="default"/>
                <w:sz w:val="18"/>
                <w:szCs w:val="18"/>
              </w:rPr>
              <w:t>和审计部门对公司的对外财务报告和财务 报告内部控制监督无效。</w:t>
              <w:tab/>
              <w:tab/>
              <w:t>重要缺陷的 </w:t>
            </w:r>
            <w:r>
              <w:rPr>
                <w:rFonts w:ascii="宋体" w:hAnsi="宋体" w:cs="宋体" w:eastAsia="宋体" w:hint="default"/>
                <w:spacing w:val="-5"/>
                <w:sz w:val="18"/>
                <w:szCs w:val="18"/>
              </w:rPr>
              <w:t>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w:t>
            </w:r>
            <w:r>
              <w:rPr>
                <w:rFonts w:ascii="宋体" w:hAnsi="宋体" w:cs="宋体" w:eastAsia="宋体" w:hint="default"/>
                <w:spacing w:val="-85"/>
                <w:sz w:val="18"/>
                <w:szCs w:val="18"/>
              </w:rPr>
              <w:t> </w:t>
            </w:r>
            <w:r>
              <w:rPr>
                <w:rFonts w:ascii="宋体" w:hAnsi="宋体" w:cs="宋体" w:eastAsia="宋体" w:hint="default"/>
                <w:spacing w:val="-5"/>
                <w:sz w:val="18"/>
                <w:szCs w:val="18"/>
              </w:rPr>
              <w:t>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w:t>
            </w:r>
            <w:r>
              <w:rPr>
                <w:rFonts w:ascii="宋体" w:hAnsi="宋体" w:cs="宋体" w:eastAsia="宋体" w:hint="default"/>
                <w:spacing w:val="-85"/>
                <w:sz w:val="18"/>
                <w:szCs w:val="18"/>
              </w:rPr>
              <w:t> </w:t>
            </w:r>
            <w:r>
              <w:rPr>
                <w:rFonts w:ascii="宋体" w:hAnsi="宋体" w:cs="宋体" w:eastAsia="宋体" w:hint="default"/>
                <w:spacing w:val="-5"/>
                <w:sz w:val="18"/>
                <w:szCs w:val="18"/>
              </w:rPr>
              <w:t>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w:t>
            </w:r>
            <w:r>
              <w:rPr>
                <w:rFonts w:ascii="宋体" w:hAnsi="宋体" w:cs="宋体" w:eastAsia="宋体" w:hint="default"/>
                <w:spacing w:val="-85"/>
                <w:sz w:val="18"/>
                <w:szCs w:val="18"/>
              </w:rPr>
              <w:t> </w:t>
            </w:r>
            <w:r>
              <w:rPr>
                <w:rFonts w:ascii="宋体" w:hAnsi="宋体" w:cs="宋体" w:eastAsia="宋体" w:hint="default"/>
                <w:sz w:val="18"/>
                <w:szCs w:val="18"/>
              </w:rPr>
              <w:t>的账务处理没有建立相应的控制机制或没 </w:t>
            </w:r>
            <w:r>
              <w:rPr>
                <w:rFonts w:ascii="宋体" w:hAnsi="宋体" w:cs="宋体" w:eastAsia="宋体" w:hint="default"/>
                <w:spacing w:val="-5"/>
                <w:sz w:val="18"/>
                <w:szCs w:val="18"/>
              </w:rPr>
              <w:t>有实施且没有相应的补偿性控制；（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w:t>
            </w:r>
            <w:r>
              <w:rPr>
                <w:rFonts w:ascii="宋体" w:hAnsi="宋体" w:cs="宋体" w:eastAsia="宋体" w:hint="default"/>
                <w:spacing w:val="-85"/>
                <w:sz w:val="18"/>
                <w:szCs w:val="18"/>
              </w:rPr>
              <w:t> </w:t>
            </w:r>
            <w:r>
              <w:rPr>
                <w:rFonts w:ascii="宋体" w:hAnsi="宋体" w:cs="宋体" w:eastAsia="宋体" w:hint="default"/>
                <w:sz w:val="18"/>
                <w:szCs w:val="18"/>
              </w:rPr>
              <w:t>于期末财务报告过程的控制存在一项或多 项缺陷且不能合理保证编制的财务报表达 到真实、完整的目标。</w:t>
              <w:tab/>
              <w:t>一般缺陷是指 除上述重大缺陷、重要缺陷之外的其他控 制缺陷。</w:t>
            </w:r>
          </w:p>
        </w:tc>
        <w:tc>
          <w:tcPr>
            <w:tcW w:w="3051" w:type="dxa"/>
            <w:vMerge w:val="restart"/>
            <w:tcBorders>
              <w:top w:val="single" w:sz="4" w:space="0" w:color="000000"/>
              <w:left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152.1pt;height:39pt;mso-position-horizontal-relative:char;mso-position-vertical-relative:line" coordorigin="0,0" coordsize="3042,780">
                  <v:group style="position:absolute;left:0;top:0;width:3042;height:780" coordorigin="0,0" coordsize="3042,780">
                    <v:shape style="position:absolute;left:0;top:0;width:3042;height:780" coordorigin="0,0" coordsize="3042,780" path="m0,780l3041,780,3041,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09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tabs>
                <w:tab w:pos="742" w:val="left" w:leader="none"/>
                <w:tab w:pos="2556" w:val="left" w:leader="none"/>
              </w:tabs>
              <w:spacing w:line="309" w:lineRule="auto" w:before="51"/>
              <w:ind w:left="22" w:right="35" w:firstLine="360"/>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作为财务报 表整体重要性水平，当潜在错报大于或等 于财务报表整体重要性水平时为重大缺 陷。</w:t>
              <w:tab/>
              <w:t>当潜在错报小于财务报表整体重 要性水平大于或等于财务报表整体重要性 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时为重要缺陷。</w:t>
              <w:tab/>
              <w:t>当潜在错 报小于财务报表整体重要性水平的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 为一般缺陷。</w:t>
            </w:r>
          </w:p>
        </w:tc>
        <w:tc>
          <w:tcPr>
            <w:tcW w:w="3051" w:type="dxa"/>
            <w:vMerge w:val="restart"/>
            <w:tcBorders>
              <w:top w:val="single" w:sz="4" w:space="0" w:color="000000"/>
              <w:left w:val="single" w:sz="4" w:space="0" w:color="000000"/>
              <w:right w:val="single" w:sz="4" w:space="0" w:color="000000"/>
            </w:tcBorders>
          </w:tcPr>
          <w:p>
            <w:pPr>
              <w:pStyle w:val="TableParagraph"/>
              <w:tabs>
                <w:tab w:pos="678" w:val="left" w:leader="none"/>
                <w:tab w:pos="1218" w:val="left" w:leader="none"/>
              </w:tabs>
              <w:spacing w:line="312" w:lineRule="auto" w:before="51"/>
              <w:ind w:left="22" w:right="20" w:firstLine="360"/>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作为财务 </w:t>
            </w:r>
            <w:r>
              <w:rPr>
                <w:rFonts w:ascii="宋体" w:hAnsi="宋体" w:cs="宋体" w:eastAsia="宋体" w:hint="default"/>
                <w:spacing w:val="-4"/>
                <w:sz w:val="18"/>
                <w:szCs w:val="18"/>
              </w:rPr>
              <w:t>报表整体重要性水平，当潜在错报大于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或等于财务报表整体重要性水平时为 重大缺陷。</w:t>
              <w:tab/>
              <w:t>当潜在错报小于财务报 表整体重要性水平大于或等于财务报 表整体重要性水平的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时为重要缺 陷。</w:t>
              <w:tab/>
              <w:t>当潜在错报小于财务报表整体 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时为一般缺陷。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十、内部控制审计报告或鉴证报告" w:id="142"/>
      <w:bookmarkEnd w:id="14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140"/>
        <w:jc w:val="right"/>
      </w:pPr>
      <w:r>
        <w:rPr/>
        <w:pict>
          <v:shape style="position:absolute;margin-left:56.459999pt;margin-top:-206.518265pt;width:479.2pt;height:508.4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74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82" w:right="75" w:hanging="36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上海华峰超纤材料股份有限公司全体股东： 我们接受委托，审核了后附的上海华峰超纤材料股份有限公司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管理层按照《企业内部控制基本规</w:t>
                        </w:r>
                      </w:p>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范》及相关规定对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日与财务报表相关的内部控制有效性作出的认定。</w:t>
                        </w:r>
                      </w:p>
                      <w:p>
                        <w:pPr>
                          <w:pStyle w:val="TableParagraph"/>
                          <w:spacing w:line="357" w:lineRule="auto" w:before="103"/>
                          <w:ind w:left="382" w:right="23"/>
                          <w:jc w:val="left"/>
                          <w:rPr>
                            <w:rFonts w:ascii="宋体" w:hAnsi="宋体" w:cs="宋体" w:eastAsia="宋体" w:hint="default"/>
                            <w:sz w:val="18"/>
                            <w:szCs w:val="18"/>
                          </w:rPr>
                        </w:pPr>
                        <w:r>
                          <w:rPr>
                            <w:rFonts w:ascii="宋体" w:hAnsi="宋体" w:cs="宋体" w:eastAsia="宋体" w:hint="default"/>
                            <w:sz w:val="18"/>
                            <w:szCs w:val="18"/>
                          </w:rPr>
                          <w:t>一、重大固有限制的说明 </w:t>
                        </w:r>
                        <w:r>
                          <w:rPr>
                            <w:rFonts w:ascii="宋体" w:hAnsi="宋体" w:cs="宋体" w:eastAsia="宋体" w:hint="default"/>
                            <w:spacing w:val="-1"/>
                            <w:sz w:val="18"/>
                            <w:szCs w:val="18"/>
                          </w:rPr>
                          <w:t>内部控制具有固有限制，存在由于错误或舞弊而导致错报发生且未被发现的可能性。此外，由于情况的变化可能导致</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内部控制变得不恰当，或降低对控制政策、程序遵循的程度，根据内部控制评价结果推测未来内部控制有效性具有一定的</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风险。</w:t>
                        </w:r>
                      </w:p>
                      <w:p>
                        <w:pPr>
                          <w:pStyle w:val="TableParagraph"/>
                          <w:spacing w:line="357" w:lineRule="auto" w:before="116"/>
                          <w:ind w:left="382" w:right="23"/>
                          <w:jc w:val="left"/>
                          <w:rPr>
                            <w:rFonts w:ascii="宋体" w:hAnsi="宋体" w:cs="宋体" w:eastAsia="宋体" w:hint="default"/>
                            <w:sz w:val="18"/>
                            <w:szCs w:val="18"/>
                          </w:rPr>
                        </w:pPr>
                        <w:r>
                          <w:rPr>
                            <w:rFonts w:ascii="宋体" w:hAnsi="宋体" w:cs="宋体" w:eastAsia="宋体" w:hint="default"/>
                            <w:sz w:val="18"/>
                            <w:szCs w:val="18"/>
                          </w:rPr>
                          <w:t>二、对报告使用者和使用目的的限定 </w:t>
                        </w:r>
                        <w:r>
                          <w:rPr>
                            <w:rFonts w:ascii="宋体" w:hAnsi="宋体" w:cs="宋体" w:eastAsia="宋体" w:hint="default"/>
                            <w:spacing w:val="-1"/>
                            <w:sz w:val="18"/>
                            <w:szCs w:val="18"/>
                          </w:rPr>
                          <w:t>本鉴证报告仅供贵公司年度报告披露时使用，不得用作任何其他目的。我们同意将本鉴证报告作为贵公司年度报告的</w:t>
                        </w:r>
                      </w:p>
                      <w:p>
                        <w:pPr>
                          <w:pStyle w:val="TableParagraph"/>
                          <w:spacing w:line="357" w:lineRule="auto"/>
                          <w:ind w:left="382" w:right="5754" w:hanging="360"/>
                          <w:jc w:val="left"/>
                          <w:rPr>
                            <w:rFonts w:ascii="宋体" w:hAnsi="宋体" w:cs="宋体" w:eastAsia="宋体" w:hint="default"/>
                            <w:sz w:val="18"/>
                            <w:szCs w:val="18"/>
                          </w:rPr>
                        </w:pPr>
                        <w:r>
                          <w:rPr>
                            <w:rFonts w:ascii="宋体" w:hAnsi="宋体" w:cs="宋体" w:eastAsia="宋体" w:hint="default"/>
                            <w:sz w:val="18"/>
                            <w:szCs w:val="18"/>
                          </w:rPr>
                          <w:t>必备文件，随同其他文件一起报送并对外披露。 三、管理层的责任</w:t>
                        </w:r>
                      </w:p>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pacing w:val="-3"/>
                            <w:sz w:val="18"/>
                            <w:szCs w:val="18"/>
                          </w:rPr>
                          <w:t>贵公司管理层的责任是建立健全内部控制并保持其有效性，同时按照财政部等五部委颁布的《企业内部控制基本规范</w:t>
                        </w:r>
                      </w:p>
                      <w:p>
                        <w:pPr>
                          <w:pStyle w:val="TableParagraph"/>
                          <w:spacing w:line="302" w:lineRule="auto" w:before="76"/>
                          <w:ind w:left="22" w:right="112"/>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号）及相关规定对</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日与财务报表相关的内部控制有效性作出认定，并对上述认定负责 四、注册会计师的责任</w:t>
                        </w:r>
                      </w:p>
                      <w:p>
                        <w:pPr>
                          <w:pStyle w:val="TableParagraph"/>
                          <w:spacing w:line="357" w:lineRule="auto" w:before="70"/>
                          <w:ind w:left="382" w:right="3413"/>
                          <w:jc w:val="left"/>
                          <w:rPr>
                            <w:rFonts w:ascii="宋体" w:hAnsi="宋体" w:cs="宋体" w:eastAsia="宋体" w:hint="default"/>
                            <w:sz w:val="18"/>
                            <w:szCs w:val="18"/>
                          </w:rPr>
                        </w:pPr>
                        <w:r>
                          <w:rPr>
                            <w:rFonts w:ascii="宋体" w:hAnsi="宋体" w:cs="宋体" w:eastAsia="宋体" w:hint="default"/>
                            <w:sz w:val="18"/>
                            <w:szCs w:val="18"/>
                          </w:rPr>
                          <w:t>我们的责任是在实施鉴证工作的基础上对内部控制有效性发表鉴证意见。 五、工作概述</w:t>
                        </w:r>
                      </w:p>
                      <w:p>
                        <w:pPr>
                          <w:pStyle w:val="TableParagraph"/>
                          <w:spacing w:line="312" w:lineRule="auto" w:before="27"/>
                          <w:ind w:left="22" w:right="22" w:firstLine="360"/>
                          <w:jc w:val="left"/>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 </w:t>
                        </w:r>
                        <w:r>
                          <w:rPr>
                            <w:rFonts w:ascii="宋体" w:hAnsi="宋体" w:cs="宋体" w:eastAsia="宋体" w:hint="default"/>
                            <w:spacing w:val="-1"/>
                            <w:sz w:val="18"/>
                            <w:szCs w:val="18"/>
                          </w:rPr>
                          <w:t>了鉴证业务。上述规定要求我们计划和实施鉴证工作，以对鉴证对象信息是否不存在重大错报获取合理保证。在鉴证过程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中，我们实施了包括了解、测试和评价内部控制设计的合理性和执行的有效性，以及我们认为必要的其他程序。我们相信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我们的鉴证工作为发表意见提供了合理的基础。</w:t>
                        </w:r>
                      </w:p>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六、鉴证结论</w:t>
                        </w:r>
                      </w:p>
                      <w:p>
                        <w:pPr>
                          <w:pStyle w:val="TableParagraph"/>
                          <w:spacing w:line="302" w:lineRule="auto" w:before="115"/>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 大方面保持了与财务报表相关的有效的内部控制。本结论是在受到鉴证报告中指出的固有限制的条件下形成的。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pStyle w:val="BodyText"/>
        <w:spacing w:line="240" w:lineRule="auto" w:before="76"/>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113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节 财务报告" w:id="143"/>
      <w:bookmarkEnd w:id="143"/>
      <w:r>
        <w:rPr>
          <w:b w:val="0"/>
          <w:bCs w:val="0"/>
        </w:rPr>
      </w:r>
      <w:bookmarkStart w:name="_bookmark8" w:id="144"/>
      <w:bookmarkEnd w:id="144"/>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5"/>
      <w:bookmarkEnd w:id="14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610465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沈建林、陈科举、唐伟</w:t>
            </w:r>
          </w:p>
        </w:tc>
      </w:tr>
    </w:tbl>
    <w:p>
      <w:pPr>
        <w:spacing w:line="240" w:lineRule="auto" w:before="5"/>
        <w:rPr>
          <w:rFonts w:ascii="宋体" w:hAnsi="宋体" w:cs="宋体" w:eastAsia="宋体" w:hint="default"/>
          <w:b/>
          <w:bCs/>
          <w:sz w:val="27"/>
          <w:szCs w:val="27"/>
        </w:rPr>
      </w:pPr>
    </w:p>
    <w:p>
      <w:pPr>
        <w:pStyle w:val="BodyText"/>
        <w:spacing w:line="240" w:lineRule="auto" w:before="44"/>
        <w:ind w:left="3403" w:right="3402"/>
        <w:jc w:val="center"/>
      </w:pPr>
      <w:r>
        <w:rPr/>
        <w:t>审计报告正文</w:t>
      </w:r>
    </w:p>
    <w:p>
      <w:pPr>
        <w:pStyle w:val="BodyText"/>
        <w:spacing w:line="240" w:lineRule="auto" w:before="116"/>
        <w:ind w:right="0"/>
        <w:jc w:val="left"/>
      </w:pPr>
      <w:r>
        <w:rPr/>
        <w:t>上海华峰超纤材料股份有限公司全体股东：</w:t>
      </w:r>
    </w:p>
    <w:p>
      <w:pPr>
        <w:pStyle w:val="BodyText"/>
        <w:spacing w:line="300" w:lineRule="auto" w:before="76"/>
        <w:ind w:right="0" w:firstLine="360"/>
        <w:jc w:val="left"/>
      </w:pPr>
      <w:r>
        <w:rPr>
          <w:spacing w:val="-2"/>
        </w:rPr>
        <w:t>我们审计了后附的上海华峰超纤材料股份有限公司（以下简称贵公司）财务报表，包括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w:t>
      </w:r>
      <w:r>
        <w:rPr/>
        <w:t> </w:t>
      </w:r>
      <w:r>
        <w:rPr>
          <w:spacing w:val="-2"/>
        </w:rPr>
        <w:t>产负债表、、</w:t>
      </w:r>
      <w:r>
        <w:rPr>
          <w:rFonts w:ascii="Times New Roman" w:hAnsi="Times New Roman" w:cs="Times New Roman" w:eastAsia="Times New Roman" w:hint="default"/>
          <w:spacing w:val="-2"/>
        </w:rPr>
        <w:t>2015</w:t>
      </w:r>
      <w:r>
        <w:rPr>
          <w:spacing w:val="-2"/>
        </w:rPr>
        <w:t>年度的合并及公司利润表、合并及公司现金流量表、合并及公司所有者权益变动表以及财务报表附注。</w:t>
      </w:r>
    </w:p>
    <w:p>
      <w:pPr>
        <w:pStyle w:val="BodyText"/>
        <w:spacing w:line="316" w:lineRule="auto" w:before="13"/>
        <w:ind w:left="1493" w:right="0"/>
        <w:jc w:val="left"/>
      </w:pPr>
      <w:r>
        <w:rPr/>
        <w:t>一、管理层对财务报表的责任 </w:t>
      </w:r>
      <w:r>
        <w:rPr>
          <w:spacing w:val="-4"/>
        </w:rPr>
        <w:t>编制和公允列报财务报表是贵公司管理层的责任。这种责任包括：（</w:t>
      </w:r>
      <w:r>
        <w:rPr>
          <w:rFonts w:ascii="Times New Roman" w:hAnsi="Times New Roman" w:cs="Times New Roman" w:eastAsia="Times New Roman" w:hint="default"/>
          <w:spacing w:val="-4"/>
        </w:rPr>
        <w:t>1</w:t>
      </w:r>
      <w:r>
        <w:rPr>
          <w:spacing w:val="-4"/>
        </w:rPr>
        <w:t>）按照企业会计准则的规定编制财务报表，并使其</w:t>
      </w:r>
    </w:p>
    <w:p>
      <w:pPr>
        <w:pStyle w:val="BodyText"/>
        <w:spacing w:line="309" w:lineRule="auto"/>
        <w:ind w:left="1493" w:right="1118" w:hanging="360"/>
        <w:jc w:val="left"/>
      </w:pPr>
      <w:r>
        <w:rPr>
          <w:spacing w:val="-2"/>
        </w:rPr>
        <w:t>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r>
        <w:rPr>
          <w:spacing w:val="-80"/>
        </w:rPr>
        <w:t> </w:t>
      </w: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1493" w:right="4093"/>
        <w:jc w:val="left"/>
      </w:pPr>
      <w:r>
        <w:rPr/>
        <w:t>我们相信，我们获取的审计证据是充分、适当的，为发表审计意见提供了基础。 三、审计意见</w:t>
      </w:r>
    </w:p>
    <w:p>
      <w:pPr>
        <w:pStyle w:val="BodyText"/>
        <w:spacing w:line="300" w:lineRule="auto" w:before="19"/>
        <w:ind w:right="0"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公司财务状况以及</w:t>
      </w:r>
      <w:r>
        <w:rPr>
          <w:rFonts w:ascii="Times New Roman" w:hAnsi="Times New Roman" w:cs="Times New Roman" w:eastAsia="Times New Roman" w:hint="default"/>
        </w:rPr>
        <w:t>2015</w:t>
      </w:r>
      <w:r>
        <w:rPr/>
        <w:t>年度的合并及公司经营成果和现金流量。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left="1134" w:right="0"/>
        <w:jc w:val="left"/>
        <w:rPr>
          <w:b w:val="0"/>
          <w:bCs w:val="0"/>
        </w:rPr>
      </w:pPr>
      <w:bookmarkStart w:name="二、财务报表" w:id="146"/>
      <w:bookmarkEnd w:id="146"/>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财务附注中报表的单位为：人民币元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编制单位：上海华峰超纤材料股份有限公司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109,672,750.16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139,025,529.95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157,464,403.01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102,117,539.99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96,951,195.79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18,076,416.85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9,861,964.93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6,570,918.72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4,589,630.05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189,725,005.45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201,787,680.16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42,475,883.52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607,664,044.64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661,964,276.31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738,740,465.87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685,783,537.53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811,817,240.83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17,989,197.69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8,375,317.96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467,270.18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983,939.96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316,925,851.00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324,783,273.85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155,696.45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571,792.00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62,360,598.75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52,996,031.26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96,826,247.12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23,554,799.51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2,036,185,357.94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1,106,145,902.02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2,643,849,402.58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1,768,110,178.33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97,849,034.91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334,555,342.83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68,849,352.62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14,893,660.58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7,003,834.15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26,923,176.41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11,929,162.97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48,413,833.58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214,444.44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77,296,220.36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733,661,042.50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142,898,315.78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218,956,312.00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384,766,312.00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1,118,427,354.50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348,984,627.78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542,077,441.94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779,077,441.94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67,517,393.84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54,313,415.24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520,827,212.30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427,734,693.37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1,525,422,048.08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1,419,125,550.55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1,525,422,048.08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1,419,125,550.55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2,643,849,402.58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1,768,110,178.33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法定代表人：尤小平</w:t>
        <w:tab/>
        <w:t>主管会计工作负责人：蔡开成</w:t>
        <w:tab/>
        <w:t>会计机构负责人：李德光</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88,407,315.41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122,685,277.93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114,787,708.95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157,464,403.01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102,117,539.99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96,951,195.79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16,505,133.98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9,488,509.83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274,355,723.98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4,404,625.55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189,725,005.45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201,787,680.16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4,234,567.44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790,132,995.20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592,781,692.27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736,594,558.73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685,001,608.40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5,669,646.88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16,317,999.47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556,737.35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467,270.18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983,939.96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61,645,513.70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62,975,255.45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155,696.45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571,792.00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5,146,047.26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3,815,151.77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19,472,363.00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23,309,843.45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1,180,224,503.33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942,458,920.72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1,970,357,498.53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1,535,240,612.99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97,849,034.91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97,375,986.05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68,849,352.62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14,893,660.58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7,003,834.15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25,033,494.63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18,202,712.54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7,303,260.27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1,159,706.80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214,444.44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647,037.32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413,316,918.20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95,469,818.65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427,771,918.20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112,054,818.65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540,351,641.94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777,351,641.94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67,517,393.84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54,313,415.24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539,716,544.55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433,520,737.16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1,542,585,580.33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1,423,185,794.34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1,970,357,498.53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1,535,240,612.99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1,136,957,949.60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970,313,107.92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1,136,957,949.60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970,313,107.92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999,196,775.39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844,557,806.95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832,180,530.87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706,808,422.23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340.399994pt;width:157.7pt;height:19.650pt;mso-position-horizontal-relative:page;mso-position-vertical-relative:page;z-index:-649600" coordorigin="4242,6808" coordsize="3154,393">
            <v:shape style="position:absolute;left:4242;top:6808;width:3154;height:393" coordorigin="4242,6808" coordsize="3154,393" path="m4242,7200l7396,7200,7396,6808,4242,6808,4242,7200xe" filled="true" fillcolor="#ffffff" stroked="false">
              <v:path arrowok="t"/>
              <v:fill type="solid"/>
            </v:shape>
            <w10:wrap type="none"/>
          </v:group>
        </w:pict>
      </w:r>
      <w:r>
        <w:rPr/>
        <w:pict>
          <v:group style="position:absolute;margin-left:212.119995pt;margin-top:461.019989pt;width:157.7pt;height:19.650pt;mso-position-horizontal-relative:page;mso-position-vertical-relative:page;z-index:-649576" coordorigin="4242,9220" coordsize="3154,393">
            <v:shape style="position:absolute;left:4242;top:9220;width:3154;height:393" coordorigin="4242,9220" coordsize="3154,393" path="m4242,9613l7396,9613,7396,9220,4242,9220,4242,96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1,789,032.17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803,432.63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29,156,875.77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25,777,310.56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133,226,748.26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110,370,213.91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-756,777.13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-3,237,699.13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3,600,365.45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4,036,126.75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137,761,174.21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125,755,300.97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12,042,366.13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5,946,221.41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151,677.81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129,182.03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14,430,627.11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203,622.00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14,060,627.11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135,372,913.23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131,497,900.38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16,436,415.70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16,004,236.31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118,936,497.53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115,493,664.07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118,936,497.53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115,493,664.07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118,936,497.53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115,493,664.07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118,936,497.53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115,493,664.07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bl>
    <w:p>
      <w:pPr>
        <w:pStyle w:val="BodyText"/>
        <w:tabs>
          <w:tab w:pos="455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法定代表人：尤小平</w:t>
        <w:tab/>
        <w:t>主管会计工作负责人：蔡开成</w:t>
        <w:tab/>
        <w:t>会计机构负责人：李德光 </w:t>
      </w:r>
      <w:bookmarkStart w:name="4、母公司利润表" w:id="150"/>
      <w:bookmarkEnd w:id="1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1,136,957,949.60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970,313,107.92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832,180,530.87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706,808,422.23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1,789,032.17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803,432.63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29,156,875.77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25,777,310.56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110,779,275.06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107,373,564.51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-32,903.10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-3,238,019.10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3,376,704.16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4,026,548.03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159,708,434.67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128,761,849.06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7,482,066.13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5,946,221.41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151,677.81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129,182.03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14,430,627.11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203,622.00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14,060,627.11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152,759,873.69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134,504,448.47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20,720,087.70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17,809,787.80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132,039,785.99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116,694,660.67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132,039,785.99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116,694,660.67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916,893,619.51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860,370,244.49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4,927,470.36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15,518,399.85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14,931,353.51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11,429,900.01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936,752,443.38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887,318,544.35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521,715,144.54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548,120,272.74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144,677,652.72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114,673,292.97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99,133,604.78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35,270,601.87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63,825,929.74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67,423,030.34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829,352,331.78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765,487,197.92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107,400,111.60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121,831,346.43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3,295,807.37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1,273,619.91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240,239,310.70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46,345,807.37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266,512,930.61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583,674,412.77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371,696,453.62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58,129,430.95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4,016,700.62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28,194,352.16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587,691,113.39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458,020,236.73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-541,345,306.02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-191,507,306.12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373,497,279.91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403,497,279.91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37,687,279.91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15,113,116.37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15,818,666.67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82,800,396.28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45,818,666.67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320,696,883.63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-15,818,666.67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-113,248,310.79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-85,494,626.36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191,309,402.37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276,804,028.73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78,061,091.58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916,893,619.51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860,370,244.49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4,927,470.36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15,518,399.85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9,434,478.44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11,399,826.01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931,255,568.31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887,288,470.35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521,715,144.54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548,120,272.74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140,955,366.04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114,229,108.37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48,573,562.39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34,988,103.61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58,968,944.18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66,672,413.91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770,213,017.15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764,009,898.63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161,042,551.16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123,278,571.72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3,295,807.37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1,273,619.91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138,295,807.37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1,273,619.91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121,143,758.10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112,630,890.11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186,593,912.38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507,737,670.48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262,630,890.11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-369,441,863.11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-261,357,270.20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207,687,279.91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207,687,279.91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37,687,279.91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14,465,309.15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15,818,666.67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52,152,589.06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45,818,666.67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155,534,690.85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-15,818,666.67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-52,864,621.10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-153,897,365.15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122,685,277.93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276,582,643.08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69,820,656.83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122,685,277.93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779,077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,441.94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54,313,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415.24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427,734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,693.37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779,077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54,313,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415.24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427,734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978.60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93,092,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518.93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106,296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,497.53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118,936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,497.53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118,936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,497.53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978.60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-25,843,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978.60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978.60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-13,203,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978.60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-12,640,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395,00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542,077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393.84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520,827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,212.30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777,351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,641.94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42,643,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949.17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,542.56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-4,585,0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47.19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55,414,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952.81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837,351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,641.94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42,643,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949.17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339,710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,495.37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06,086.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-58,274,</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88,024,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198.00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41,419,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464.07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115,493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,664.07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115,493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,664.07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-27,469,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466.07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466.07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-58,274,</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-58,274,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779,077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54,313,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427,734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,693.37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54,313,41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433,520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,737.16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1,423,185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,794.34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54,313,41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433,520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,737.16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1,423,185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,794.34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237,000,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-237,000,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13,203,97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106,195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,807.39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119,399,7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85.99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132,039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,785.99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132,039,7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85.99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13,203,97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-25,843,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978.60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-12,640,0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13,203,97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-13,203,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978.60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-12,640,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-12,640,0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237,000,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-237,000,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237,000,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-237,000,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395,000,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540,351,6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67,517,39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539,716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1,542,585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,580.33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42,643,94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,542.56</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1,322,291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,133.67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42,643,94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,542.56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1,322,291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,133.67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89,225,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100,894,6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60.67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116,694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,660.67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60.67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-27,469,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466.07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466.07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54,313,41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433,520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,737.16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1,423,185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,794.34</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55"/>
      <w:bookmarkEnd w:id="15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firstLine="360"/>
        <w:jc w:val="both"/>
      </w:pPr>
      <w:r>
        <w:rPr>
          <w:spacing w:val="-1"/>
        </w:rPr>
        <w:t>上海华峰超纤材料股份有限公司（以下简称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）是在原华峰集团上海有限公司基础上整体变更设立的股</w:t>
      </w:r>
      <w:r>
        <w:rPr/>
        <w:t> </w:t>
      </w:r>
      <w:r>
        <w:rPr>
          <w:spacing w:val="-3"/>
        </w:rPr>
        <w:t>份有限公司，由华峰集团有限公司和尤金焕等</w:t>
      </w:r>
      <w:r>
        <w:rPr>
          <w:rFonts w:ascii="Times New Roman" w:hAnsi="Times New Roman" w:cs="Times New Roman" w:eastAsia="Times New Roman" w:hint="default"/>
          <w:spacing w:val="-3"/>
        </w:rPr>
        <w:t>38</w:t>
      </w:r>
      <w:r>
        <w:rPr>
          <w:spacing w:val="-3"/>
        </w:rPr>
        <w:t>位自然人作为发起人，注册资本为</w:t>
      </w:r>
      <w:r>
        <w:rPr>
          <w:rFonts w:ascii="Times New Roman" w:hAnsi="Times New Roman" w:cs="Times New Roman" w:eastAsia="Times New Roman" w:hint="default"/>
          <w:spacing w:val="-3"/>
        </w:rPr>
        <w:t>11,800</w:t>
      </w:r>
      <w:r>
        <w:rPr>
          <w:spacing w:val="-3"/>
        </w:rPr>
        <w:t>万元（每股面值人民币</w:t>
      </w:r>
      <w:r>
        <w:rPr>
          <w:rFonts w:ascii="Times New Roman" w:hAnsi="Times New Roman" w:cs="Times New Roman" w:eastAsia="Times New Roman" w:hint="default"/>
          <w:spacing w:val="-3"/>
        </w:rPr>
        <w:t>1</w:t>
      </w:r>
      <w:r>
        <w:rPr>
          <w:spacing w:val="-3"/>
        </w:rPr>
        <w:t>元）。公司</w:t>
      </w:r>
      <w:r>
        <w:rPr>
          <w:spacing w:val="-45"/>
        </w:rPr>
        <w:t> </w:t>
      </w:r>
      <w:r>
        <w:rPr>
          <w:spacing w:val="-45"/>
        </w:rPr>
      </w:r>
      <w:r>
        <w:rPr/>
        <w:t>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日取得上海市工商行政管理局金山分局颁发的第</w:t>
      </w:r>
      <w:r>
        <w:rPr>
          <w:rFonts w:ascii="Times New Roman" w:hAnsi="Times New Roman" w:cs="Times New Roman" w:eastAsia="Times New Roman" w:hint="default"/>
        </w:rPr>
        <w:t>310228000524099</w:t>
      </w:r>
      <w:r>
        <w:rPr/>
        <w:t>号企业法人营业执照。</w:t>
      </w:r>
    </w:p>
    <w:p>
      <w:pPr>
        <w:pStyle w:val="BodyText"/>
        <w:spacing w:line="300" w:lineRule="auto" w:before="13"/>
        <w:ind w:right="0" w:firstLine="360"/>
        <w:jc w:val="left"/>
      </w:pPr>
      <w:r>
        <w:rPr>
          <w:spacing w:val="-4"/>
        </w:rPr>
        <w:t>根据本公司</w:t>
      </w:r>
      <w:r>
        <w:rPr>
          <w:rFonts w:ascii="Times New Roman" w:hAnsi="Times New Roman" w:cs="Times New Roman" w:eastAsia="Times New Roman" w:hint="default"/>
          <w:spacing w:val="-4"/>
        </w:rPr>
        <w:t>2010</w:t>
      </w:r>
      <w:r>
        <w:rPr>
          <w:spacing w:val="-4"/>
        </w:rPr>
        <w:t>年第二次临时股东大会、第一届董事会第八次会议决议，并经中国证券监督管理委员会证监许可【</w:t>
      </w:r>
      <w:r>
        <w:rPr>
          <w:rFonts w:ascii="Times New Roman" w:hAnsi="Times New Roman" w:cs="Times New Roman" w:eastAsia="Times New Roman" w:hint="default"/>
          <w:spacing w:val="-4"/>
        </w:rPr>
        <w:t>2011</w:t>
      </w:r>
      <w:r>
        <w:rPr>
          <w:spacing w:val="-4"/>
        </w:rPr>
        <w:t>】</w:t>
      </w:r>
      <w:r>
        <w:rPr/>
        <w:t> </w:t>
      </w:r>
      <w:r>
        <w:rPr>
          <w:rFonts w:ascii="Times New Roman" w:hAnsi="Times New Roman" w:cs="Times New Roman" w:eastAsia="Times New Roman" w:hint="default"/>
        </w:rPr>
        <w:t>132</w:t>
      </w:r>
      <w:r>
        <w:rPr/>
        <w:t>号文</w:t>
      </w:r>
      <w:r>
        <w:rPr>
          <w:rFonts w:ascii="Times New Roman" w:hAnsi="Times New Roman" w:cs="Times New Roman" w:eastAsia="Times New Roman" w:hint="default"/>
        </w:rPr>
        <w:t>“</w:t>
      </w:r>
      <w:r>
        <w:rPr/>
        <w:t>关于核准上海华峰超纤材料股份有限公司首次公开发行股票并在创业板上市的批复</w:t>
      </w:r>
      <w:r>
        <w:rPr>
          <w:rFonts w:ascii="Times New Roman" w:hAnsi="Times New Roman" w:cs="Times New Roman" w:eastAsia="Times New Roman" w:hint="default"/>
        </w:rPr>
        <w:t>”</w:t>
      </w:r>
      <w:r>
        <w:rPr/>
        <w:t>核准，本公司于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日公开发行</w:t>
      </w:r>
      <w:r>
        <w:rPr>
          <w:rFonts w:ascii="Times New Roman" w:hAnsi="Times New Roman" w:cs="Times New Roman" w:eastAsia="Times New Roman" w:hint="default"/>
        </w:rPr>
        <w:t>4,000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日在深圳证券交易所上市。</w:t>
      </w:r>
    </w:p>
    <w:p>
      <w:pPr>
        <w:pStyle w:val="BodyText"/>
        <w:spacing w:line="300" w:lineRule="auto" w:before="13"/>
        <w:ind w:left="1134" w:right="0" w:firstLine="360"/>
        <w:jc w:val="left"/>
      </w:pPr>
      <w:r>
        <w:rPr/>
        <w:t>根据本公司</w:t>
      </w:r>
      <w:r>
        <w:rPr>
          <w:rFonts w:ascii="Times New Roman" w:hAnsi="Times New Roman" w:cs="Times New Roman" w:eastAsia="Times New Roman" w:hint="default"/>
        </w:rPr>
        <w:t>2014</w:t>
      </w:r>
      <w:r>
        <w:rPr/>
        <w:t>年度股东大会、第二届董事会第二十二次会议决议，本公司以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日公司股份总数</w:t>
      </w:r>
      <w:r>
        <w:rPr>
          <w:rFonts w:ascii="Times New Roman" w:hAnsi="Times New Roman" w:cs="Times New Roman" w:eastAsia="Times New Roman" w:hint="default"/>
        </w:rPr>
        <w:t>15,800.00 </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股，合计转增股本</w:t>
      </w:r>
      <w:r>
        <w:rPr>
          <w:rFonts w:ascii="Times New Roman" w:hAnsi="Times New Roman" w:cs="Times New Roman" w:eastAsia="Times New Roman" w:hint="default"/>
        </w:rPr>
        <w:t>23,700.00</w:t>
      </w:r>
      <w:r>
        <w:rPr/>
        <w:t>万元，变更后股本为人民币</w:t>
      </w:r>
      <w:r>
        <w:rPr>
          <w:rFonts w:ascii="Times New Roman" w:hAnsi="Times New Roman" w:cs="Times New Roman" w:eastAsia="Times New Roman" w:hint="default"/>
        </w:rPr>
        <w:t>39,500.00</w:t>
      </w:r>
      <w:r>
        <w:rPr/>
        <w:t>万元。</w:t>
      </w:r>
    </w:p>
    <w:p>
      <w:pPr>
        <w:pStyle w:val="BodyText"/>
        <w:spacing w:line="300" w:lineRule="auto" w:before="13"/>
        <w:ind w:left="1494"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39,500</w:t>
      </w:r>
      <w:r>
        <w:rPr/>
        <w:t>万股，公司注册资本为</w:t>
      </w:r>
      <w:r>
        <w:rPr>
          <w:rFonts w:ascii="Times New Roman" w:hAnsi="Times New Roman" w:cs="Times New Roman" w:eastAsia="Times New Roman" w:hint="default"/>
        </w:rPr>
        <w:t>39,500.00</w:t>
      </w:r>
      <w:r>
        <w:rPr/>
        <w:t>万元。 </w:t>
      </w:r>
      <w:r>
        <w:rPr>
          <w:spacing w:val="-6"/>
        </w:rPr>
        <w:t>公司经营范围：超细纤维聚氨酯合成革（不含危险化学品）、聚氨酯革用树脂的研发、生产，化工产品（除危险品）、塑</w:t>
      </w:r>
    </w:p>
    <w:p>
      <w:pPr>
        <w:pStyle w:val="BodyText"/>
        <w:spacing w:line="316" w:lineRule="auto" w:before="32"/>
        <w:ind w:left="1494" w:right="2480" w:hanging="360"/>
        <w:jc w:val="left"/>
      </w:pPr>
      <w:r>
        <w:rPr>
          <w:spacing w:val="-4"/>
        </w:rPr>
        <w:t>料制品、皮革制品的销售，从事货物与技术进出口业务。（企业经营涉及行政许可的，凭许可证件经营）。</w:t>
      </w:r>
      <w:r>
        <w:rPr>
          <w:spacing w:val="-82"/>
        </w:rPr>
        <w:t> </w:t>
      </w:r>
      <w:r>
        <w:rPr>
          <w:spacing w:val="-82"/>
        </w:rPr>
      </w:r>
      <w:r>
        <w:rPr/>
        <w:t>公司注册地：上海市金山区，总部地址：上海市金山区。 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3"/>
        <w:rPr>
          <w:rFonts w:ascii="宋体" w:hAnsi="宋体" w:cs="宋体" w:eastAsia="宋体" w:hint="default"/>
          <w:sz w:val="3"/>
          <w:szCs w:val="3"/>
        </w:rPr>
      </w:pPr>
    </w:p>
    <w:tbl>
      <w:tblPr>
        <w:tblW w:w="0" w:type="auto"/>
        <w:jc w:val="left"/>
        <w:tblInd w:w="1134" w:type="dxa"/>
        <w:tblLayout w:type="fixed"/>
        <w:tblCellMar>
          <w:top w:w="0" w:type="dxa"/>
          <w:left w:w="0" w:type="dxa"/>
          <w:bottom w:w="0" w:type="dxa"/>
          <w:right w:w="0" w:type="dxa"/>
        </w:tblCellMar>
        <w:tblLook w:val="01E0"/>
      </w:tblPr>
      <w:tblGrid>
        <w:gridCol w:w="8524"/>
      </w:tblGrid>
      <w:tr>
        <w:trPr>
          <w:trHeight w:val="355" w:hRule="exact"/>
        </w:trPr>
        <w:tc>
          <w:tcPr>
            <w:tcW w:w="8524"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江苏超纤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z w:val="18"/>
                <w:szCs w:val="18"/>
              </w:rPr>
              <w:t>江苏华峰化学有限公司（以下简称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江苏化学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72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w:t>
      </w:r>
      <w:r>
        <w:rPr/>
        <w:t> </w:t>
      </w:r>
      <w:r>
        <w:rPr>
          <w:spacing w:val="-2"/>
          <w:w w:val="100"/>
        </w:rPr>
        <w:t>体会计准则、企业会计准则应用指南、企业会计准则解释及其他相关规定（以下合称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w:t>
      </w:r>
      <w:r>
        <w:rPr>
          <w:spacing w:val="-47"/>
          <w:w w:val="100"/>
        </w:rPr>
        <w:t> </w:t>
      </w:r>
      <w:r>
        <w:rPr>
          <w:spacing w:val="-47"/>
          <w:w w:val="100"/>
        </w:rPr>
      </w:r>
      <w:r>
        <w:rPr/>
        <w:t>管理委员会《公开发行证券的公司信息披露编报规则第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854" w:right="0"/>
        <w:jc w:val="left"/>
      </w:pPr>
      <w:r>
        <w:rPr/>
        <w:t>公司自报告期末起至少</w:t>
      </w:r>
      <w:r>
        <w:rPr>
          <w:rFonts w:ascii="Times New Roman" w:hAnsi="Times New Roman" w:cs="Times New Roman" w:eastAsia="Times New Roman" w:hint="default"/>
        </w:rPr>
        <w:t>12</w:t>
      </w:r>
      <w:r>
        <w:rPr/>
        <w:t>个月以内具备持续经营能力，不存在影响持续经营能力的重大事项。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854" w:right="3192" w:hanging="721"/>
        <w:jc w:val="left"/>
      </w:pPr>
      <w:r>
        <w:rPr/>
        <w:t>具体会计政策和会计估计提示： 以下披露内容已涵盖了本公司根据实际生产经营特点制定的具体会计政策和会计估计。</w:t>
      </w:r>
    </w:p>
    <w:p>
      <w:pPr>
        <w:spacing w:line="240" w:lineRule="auto" w:before="3"/>
        <w:rPr>
          <w:rFonts w:ascii="宋体" w:hAnsi="宋体" w:cs="宋体" w:eastAsia="宋体" w:hint="default"/>
          <w:sz w:val="20"/>
          <w:szCs w:val="20"/>
        </w:rPr>
      </w:pPr>
    </w:p>
    <w:p>
      <w:pPr>
        <w:pStyle w:val="Heading3"/>
        <w:spacing w:line="240" w:lineRule="auto"/>
        <w:ind w:left="1133" w:right="0"/>
        <w:jc w:val="left"/>
        <w:rPr>
          <w:b w:val="0"/>
          <w:bCs w:val="0"/>
        </w:rPr>
      </w:pPr>
      <w:bookmarkStart w:name="1、遵循企业会计准则的声明" w:id="160"/>
      <w:bookmarkEnd w:id="16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852" w:right="0"/>
        <w:jc w:val="left"/>
      </w:pPr>
      <w:r>
        <w:rPr>
          <w:spacing w:val="-2"/>
        </w:rPr>
        <w:t>公司所编制的财务报表符合企业会计准则的要求，真实、完整地反映了报告期公司的财务状况、经营成果、现金流</w:t>
      </w:r>
      <w:r>
        <w:rPr>
          <w:spacing w:val="-73"/>
        </w:rPr>
        <w:t> </w:t>
      </w:r>
      <w:r>
        <w:rPr>
          <w:spacing w:val="-73"/>
        </w:rPr>
      </w:r>
      <w:r>
        <w:rPr/>
        <w:t>量等有关信息。</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会计期间" w:id="161"/>
      <w:bookmarkEnd w:id="16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85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62"/>
      <w:bookmarkEnd w:id="16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852" w:right="0"/>
        <w:jc w:val="left"/>
      </w:pPr>
      <w:r>
        <w:rPr/>
        <w:t>本公司营业周期为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851" w:right="0"/>
        <w:jc w:val="left"/>
        <w:rPr>
          <w:sz w:val="21"/>
          <w:szCs w:val="21"/>
        </w:rPr>
      </w:pPr>
      <w:r>
        <w:rPr/>
        <w:t>本公司采用人民币为记账本位币</w:t>
      </w:r>
      <w:r>
        <w:rPr>
          <w:sz w:val="21"/>
          <w:szCs w:val="21"/>
        </w:rPr>
        <w:t>。</w:t>
      </w:r>
    </w:p>
    <w:p>
      <w:pPr>
        <w:spacing w:line="240" w:lineRule="auto" w:before="12"/>
        <w:rPr>
          <w:rFonts w:ascii="宋体" w:hAnsi="宋体" w:cs="宋体" w:eastAsia="宋体" w:hint="default"/>
          <w:sz w:val="25"/>
          <w:szCs w:val="25"/>
        </w:rPr>
      </w:pPr>
    </w:p>
    <w:p>
      <w:pPr>
        <w:pStyle w:val="Heading3"/>
        <w:spacing w:line="240" w:lineRule="auto"/>
        <w:ind w:left="1133" w:right="0"/>
        <w:jc w:val="left"/>
        <w:rPr>
          <w:b w:val="0"/>
          <w:bCs w:val="0"/>
        </w:rPr>
      </w:pPr>
      <w:bookmarkStart w:name="5、同一控制下和非同一控制下企业合并的会计处理方法" w:id="164"/>
      <w:bookmarkEnd w:id="16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851" w:right="0"/>
        <w:jc w:val="left"/>
      </w:pPr>
      <w:r>
        <w:rPr>
          <w:spacing w:val="-2"/>
        </w:rPr>
        <w:t>同一控制下企业合并：本公司在企业合并中取得的资产和负债，按照合并日在被合并方资产、负债（包括最终控制</w:t>
      </w:r>
      <w:r>
        <w:rPr>
          <w:spacing w:val="-73"/>
        </w:rPr>
        <w:t> </w:t>
      </w:r>
      <w:r>
        <w:rPr>
          <w:spacing w:val="-73"/>
        </w:rPr>
      </w:r>
      <w:r>
        <w:rPr>
          <w:spacing w:val="-2"/>
        </w:rPr>
        <w:t>方收购被合并方而形成的商誉）在最终控制方合并财务报表中的账面价值计量。在合并中取得的净资产账面价值与</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851" w:right="0"/>
        <w:jc w:val="left"/>
      </w:pPr>
      <w:r>
        <w:rPr>
          <w:spacing w:val="-2"/>
        </w:rPr>
        <w:t>支付的合并对价账面价值（或发行股份面值总额）的差额，调整资本公积中的股本溢价，资本公积中的股本溢价不</w:t>
      </w:r>
      <w:r>
        <w:rPr>
          <w:spacing w:val="-73"/>
        </w:rPr>
        <w:t> </w:t>
      </w:r>
      <w:r>
        <w:rPr>
          <w:spacing w:val="-73"/>
        </w:rPr>
      </w:r>
      <w:r>
        <w:rPr/>
        <w:t>足冲减的，调整留存收益。 </w:t>
      </w:r>
      <w:r>
        <w:rPr>
          <w:spacing w:val="-2"/>
        </w:rPr>
        <w:t>为企业合并发生的审计、法律服务、评估咨询等中介费用以及其他直接相关费用，于发生时计入当期损益；为企业</w:t>
      </w:r>
      <w:r>
        <w:rPr>
          <w:spacing w:val="-73"/>
        </w:rPr>
        <w:t> </w:t>
      </w:r>
      <w:r>
        <w:rPr>
          <w:spacing w:val="-73"/>
        </w:rPr>
      </w:r>
      <w:r>
        <w:rPr/>
        <w:t>合并而发行权益性证券的交易费用，冲减权益。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2394" w:right="1126" w:hanging="4"/>
        <w:jc w:val="left"/>
      </w:pPr>
      <w:r>
        <w:rPr>
          <w:rFonts w:ascii="Times New Roman" w:hAnsi="Times New Roman" w:cs="Times New Roman" w:eastAsia="Times New Roman" w:hint="default"/>
        </w:rPr>
        <w:t>1</w:t>
      </w:r>
      <w:r>
        <w:rPr/>
        <w:t>、</w:t>
      </w:r>
      <w:r>
        <w:rPr>
          <w:spacing w:val="63"/>
        </w:rPr>
        <w:t> </w:t>
      </w:r>
      <w:r>
        <w:rPr/>
        <w:t>合并范围</w:t>
      </w:r>
      <w:r>
        <w:rPr/>
        <w:t> </w:t>
      </w:r>
      <w:r>
        <w:rPr>
          <w:spacing w:val="-2"/>
        </w:rPr>
        <w:t>本公司合并财务报表的合并范围以控制为基础确定，所有子公司（包括本公司所控制的被投资方可分割的部</w:t>
      </w:r>
      <w:r>
        <w:rPr>
          <w:spacing w:val="-82"/>
        </w:rPr>
        <w:t> </w:t>
      </w:r>
      <w:r>
        <w:rPr>
          <w:spacing w:val="-82"/>
        </w:rPr>
      </w:r>
      <w:r>
        <w:rPr/>
        <w:t>分）均纳入合并财务报表。</w:t>
      </w:r>
    </w:p>
    <w:p>
      <w:pPr>
        <w:pStyle w:val="BodyText"/>
        <w:spacing w:line="314" w:lineRule="auto" w:before="24"/>
        <w:ind w:left="2394" w:right="1126" w:hanging="4"/>
        <w:jc w:val="left"/>
      </w:pPr>
      <w:r>
        <w:rPr>
          <w:rFonts w:ascii="Times New Roman" w:hAnsi="Times New Roman" w:cs="Times New Roman" w:eastAsia="Times New Roman" w:hint="default"/>
        </w:rPr>
        <w:t>2</w:t>
      </w:r>
      <w:r>
        <w:rPr/>
        <w:t>、</w:t>
      </w:r>
      <w:r>
        <w:rPr>
          <w:spacing w:val="63"/>
        </w:rPr>
        <w:t> </w:t>
      </w:r>
      <w:r>
        <w:rPr/>
        <w:t>合并程序</w:t>
      </w:r>
      <w:r>
        <w:rPr/>
        <w:t> </w:t>
      </w:r>
      <w:r>
        <w:rPr>
          <w:spacing w:val="-2"/>
        </w:rPr>
        <w:t>本公司以自身和各子公司的财务报表为基础，根据其他有关资料，编制合并财务报表。本公司编制合并财务</w:t>
      </w:r>
      <w:r>
        <w:rPr>
          <w:spacing w:val="-84"/>
        </w:rPr>
        <w:t> </w:t>
      </w:r>
      <w:r>
        <w:rPr>
          <w:spacing w:val="-84"/>
        </w:rPr>
      </w:r>
      <w:r>
        <w:rPr>
          <w:spacing w:val="-2"/>
        </w:rPr>
        <w:t>报表，将整个企业集团视为一个会计主体，依据相关企业会计准则的确认、计量和列报要求，按照统一的会</w:t>
      </w:r>
      <w:r>
        <w:rPr>
          <w:spacing w:val="-84"/>
        </w:rPr>
        <w:t> </w:t>
      </w:r>
      <w:r>
        <w:rPr>
          <w:spacing w:val="-84"/>
        </w:rPr>
      </w:r>
      <w:r>
        <w:rPr/>
        <w:t>计政策，反映本企业集团整体财务状况、经营成果和现金流量。 </w:t>
      </w:r>
      <w:r>
        <w:rPr>
          <w:spacing w:val="-2"/>
        </w:rPr>
        <w:t>所有纳入合并财务报表合并范围的子公司所采用的会计政策、会计期间与本公司一致，如子公司采用的会计</w:t>
      </w:r>
      <w:r>
        <w:rPr>
          <w:spacing w:val="-82"/>
        </w:rPr>
        <w:t> </w:t>
      </w:r>
      <w:r>
        <w:rPr>
          <w:spacing w:val="-82"/>
        </w:rPr>
      </w:r>
      <w:r>
        <w:rPr>
          <w:spacing w:val="-2"/>
        </w:rPr>
        <w:t>政策、会计期间与本公司不一致的，在编制合并财务报表时，按本公司的会计政策、会计期间进行必要的调</w:t>
      </w:r>
      <w:r>
        <w:rPr>
          <w:spacing w:val="-84"/>
        </w:rPr>
        <w:t> </w:t>
      </w:r>
      <w:r>
        <w:rPr>
          <w:spacing w:val="-84"/>
        </w:rPr>
      </w:r>
      <w:r>
        <w:rPr/>
        <w:t>整。</w:t>
      </w:r>
    </w:p>
    <w:p>
      <w:pPr>
        <w:pStyle w:val="BodyText"/>
        <w:spacing w:line="316" w:lineRule="auto" w:before="20"/>
        <w:ind w:left="2394" w:right="1032"/>
        <w:jc w:val="left"/>
      </w:pPr>
      <w:r>
        <w:rPr/>
        <w:t>增加子公司或业务 </w:t>
      </w:r>
      <w:r>
        <w:rPr>
          <w:spacing w:val="-2"/>
        </w:rPr>
        <w:t>在报告期内，若因同一控制下企业合并增加子公司或业务的，则调整合并资产负债表的期初数；将子公司或</w:t>
      </w:r>
      <w:r>
        <w:rPr>
          <w:spacing w:val="-80"/>
        </w:rPr>
        <w:t> </w:t>
      </w:r>
      <w:r>
        <w:rPr>
          <w:spacing w:val="-80"/>
        </w:rPr>
      </w:r>
      <w:r>
        <w:rPr>
          <w:spacing w:val="-2"/>
        </w:rPr>
        <w:t>业务合并当期期初至报告期末的收入、费用、利润纳入合并利润表；将子公司或业务合并当期期初至报告期</w:t>
      </w:r>
      <w:r>
        <w:rPr>
          <w:spacing w:val="-80"/>
        </w:rPr>
        <w:t> </w:t>
      </w:r>
      <w:r>
        <w:rPr>
          <w:spacing w:val="-80"/>
        </w:rPr>
      </w:r>
      <w:r>
        <w:rPr>
          <w:spacing w:val="-2"/>
        </w:rPr>
        <w:t>末的现金流量纳入合并现金流量表，同时对比较报表的相关项目进行调整，视同合并后的报告主体自最终控</w:t>
      </w:r>
      <w:r>
        <w:rPr>
          <w:spacing w:val="-78"/>
        </w:rPr>
        <w:t> </w:t>
      </w:r>
      <w:r>
        <w:rPr>
          <w:spacing w:val="-78"/>
        </w:rPr>
      </w:r>
      <w:r>
        <w:rPr/>
        <w:t>制方开始控制时点起一直存在。 </w:t>
      </w:r>
      <w:r>
        <w:rPr>
          <w:spacing w:val="-2"/>
        </w:rPr>
        <w:t>因追加投资等原因能够对同一控制下的被投资方实施控制的，视同参与合并的各方在最终控制方开始控制时</w:t>
      </w:r>
      <w:r>
        <w:rPr>
          <w:spacing w:val="-78"/>
        </w:rPr>
        <w:t> </w:t>
      </w:r>
      <w:r>
        <w:rPr>
          <w:spacing w:val="-78"/>
        </w:rPr>
      </w:r>
      <w:r>
        <w:rPr>
          <w:spacing w:val="-2"/>
        </w:rPr>
        <w:t>即以目前的状态存在进行调整。在取得被合并方控制权之前持有的股权投资，在取得原股权之日与合并方和</w:t>
      </w:r>
      <w:r>
        <w:rPr>
          <w:spacing w:val="-78"/>
        </w:rPr>
        <w:t> </w:t>
      </w:r>
      <w:r>
        <w:rPr>
          <w:spacing w:val="-78"/>
        </w:rPr>
      </w:r>
      <w:r>
        <w:rPr/>
        <w:t>被合并方同处于同一控制之日孰晚日起至合并日之间已确认有关损益、其他综合收益以及其他净资产变动， 分别冲减比较报表期间的期初留存收益或当期损益。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7、现金及现金等价物的确定标准" w:id="166"/>
      <w:bookmarkEnd w:id="166"/>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852" w:right="0"/>
        <w:jc w:val="left"/>
      </w:pPr>
      <w:r>
        <w:rPr>
          <w:spacing w:val="-2"/>
        </w:rPr>
        <w:t>在编制现金流量表时，将本公司库存现金以及可以随时用于支付的存款确认为现金。将同时具备期限短（从购买日</w:t>
      </w:r>
      <w:r>
        <w:rPr>
          <w:spacing w:val="-71"/>
        </w:rPr>
        <w:t> </w:t>
      </w:r>
      <w:r>
        <w:rPr>
          <w:spacing w:val="-71"/>
        </w:rPr>
      </w:r>
      <w:r>
        <w:rPr>
          <w:spacing w:val="-2"/>
        </w:rPr>
        <w:t>起三个月内到期）、流动性强、易于转换为已知现金、价值变动风险很小四个条件的投资，确定为现金等价物。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8、外币业务和外币报表折算" w:id="167"/>
      <w:bookmarkEnd w:id="167"/>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870" w:right="0" w:hanging="28"/>
        <w:jc w:val="left"/>
      </w:pPr>
      <w:r>
        <w:rPr/>
        <w:t>外币业务采用交易发生日的即期汇率作为折算汇率折合成人民币记账。 资产负债表日外币货币性项目余额按资产负债表日即期汇率折算，由此产生的汇兑差额，除属于与购建符合资本</w:t>
      </w:r>
      <w:r>
        <w:rPr>
          <w:spacing w:val="-49"/>
        </w:rPr>
        <w:t> </w:t>
      </w:r>
      <w:r>
        <w:rPr>
          <w:spacing w:val="-49"/>
        </w:rPr>
      </w:r>
      <w:r>
        <w:rPr/>
        <w:t>化条件的资产相关的外币专门借款产生的汇兑差额按照借款费用资本化的原则处理外，均计入当期损益。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应收款项" w:id="168"/>
      <w:bookmarkEnd w:id="168"/>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9"/>
      <w:bookmarkEnd w:id="16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b/>
          <w:bCs/>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值的差额计提坏账准备，计入当期损益。</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bookmarkStart w:name="（2）按信用风险特征组合计提坏账准备的应收款项" w:id="170"/>
      <w:bookmarkEnd w:id="17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71"/>
      <w:bookmarkEnd w:id="17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账龄时间较长且存在客观证据表明发生了减值。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根据预计未来现金流量现值低于其账面价值的差额，确认减 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0、存货" w:id="172"/>
      <w:bookmarkEnd w:id="172"/>
      <w:r>
        <w:rPr>
          <w:b w:val="0"/>
          <w:bCs w:val="0"/>
        </w:rPr>
      </w:r>
      <w:r>
        <w:rPr>
          <w:rFonts w:ascii="Times New Roman" w:hAnsi="Times New Roman" w:cs="Times New Roman" w:eastAsia="Times New Roman" w:hint="default"/>
        </w:rPr>
        <w:t>10</w:t>
      </w:r>
      <w:r>
        <w:rPr/>
        <w:t>、存货</w:t>
      </w:r>
      <w:r>
        <w:rPr>
          <w:b w:val="0"/>
          <w:bCs w:val="0"/>
        </w:rPr>
      </w:r>
    </w:p>
    <w:p>
      <w:pPr>
        <w:spacing w:line="240" w:lineRule="auto" w:before="1"/>
        <w:rPr>
          <w:rFonts w:ascii="宋体" w:hAnsi="宋体" w:cs="宋体" w:eastAsia="宋体" w:hint="default"/>
          <w:b/>
          <w:bCs/>
          <w:sz w:val="23"/>
          <w:szCs w:val="23"/>
        </w:rPr>
      </w:pPr>
    </w:p>
    <w:p>
      <w:pPr>
        <w:pStyle w:val="BodyText"/>
        <w:spacing w:line="309" w:lineRule="auto" w:before="44"/>
        <w:ind w:left="2390" w:right="3736"/>
        <w:jc w:val="left"/>
      </w:pPr>
      <w:r>
        <w:rPr>
          <w:rFonts w:ascii="Times New Roman" w:hAnsi="Times New Roman" w:cs="Times New Roman" w:eastAsia="Times New Roman" w:hint="default"/>
        </w:rPr>
        <w:t>1</w:t>
      </w:r>
      <w:r>
        <w:rPr/>
        <w:t>、</w:t>
      </w:r>
      <w:r>
        <w:rPr>
          <w:spacing w:val="63"/>
        </w:rPr>
        <w:t> </w:t>
      </w:r>
      <w:r>
        <w:rPr/>
        <w:t>存货的分类</w:t>
      </w:r>
      <w:r>
        <w:rPr/>
        <w:t> 存货分类为：原材料、周转材料、库存商品、在产品、委托加工物资等。 </w:t>
      </w:r>
      <w:r>
        <w:rPr>
          <w:rFonts w:ascii="Times New Roman" w:hAnsi="Times New Roman" w:cs="Times New Roman" w:eastAsia="Times New Roman" w:hint="default"/>
        </w:rPr>
        <w:t>2</w:t>
      </w:r>
      <w:r>
        <w:rPr/>
        <w:t>、</w:t>
      </w:r>
      <w:r>
        <w:rPr>
          <w:spacing w:val="63"/>
        </w:rPr>
        <w:t> </w:t>
      </w:r>
      <w:r>
        <w:rPr/>
        <w:t>发出存货的计价方法</w:t>
      </w:r>
    </w:p>
    <w:p>
      <w:pPr>
        <w:pStyle w:val="BodyText"/>
        <w:spacing w:line="240" w:lineRule="auto" w:before="5"/>
        <w:ind w:left="2394" w:right="0"/>
        <w:jc w:val="left"/>
      </w:pPr>
      <w:r>
        <w:rPr/>
        <w:t>存货发出时按加权平均法计价。</w:t>
      </w:r>
    </w:p>
    <w:p>
      <w:pPr>
        <w:pStyle w:val="BodyText"/>
        <w:spacing w:line="314" w:lineRule="auto" w:before="76"/>
        <w:ind w:left="2394" w:right="1126" w:hanging="4"/>
        <w:jc w:val="left"/>
      </w:pPr>
      <w:r>
        <w:rPr>
          <w:rFonts w:ascii="Times New Roman" w:hAnsi="Times New Roman" w:cs="Times New Roman" w:eastAsia="Times New Roman" w:hint="default"/>
        </w:rPr>
        <w:t>3</w:t>
      </w:r>
      <w:r>
        <w:rPr/>
        <w:t>、</w:t>
      </w:r>
      <w:r>
        <w:rPr>
          <w:spacing w:val="63"/>
        </w:rPr>
        <w:t> </w:t>
      </w:r>
      <w:r>
        <w:rPr/>
        <w:t>不同类别存货可变现净值的确定依据</w:t>
      </w:r>
      <w:r>
        <w:rPr/>
        <w:t> </w:t>
      </w:r>
      <w:r>
        <w:rPr>
          <w:spacing w:val="-2"/>
        </w:rPr>
        <w:t>产成品、库存商品和用于出售的材料等直接用于出售的商品存货，在正常生产经营过程中，以该存货的估计</w:t>
      </w:r>
      <w:r>
        <w:rPr>
          <w:spacing w:val="-84"/>
        </w:rPr>
        <w:t> </w:t>
      </w:r>
      <w:r>
        <w:rPr>
          <w:spacing w:val="-84"/>
        </w:rPr>
      </w:r>
      <w:r>
        <w:rPr>
          <w:spacing w:val="-2"/>
        </w:rPr>
        <w:t>售价减去估计的销售费用和相关税费后的金额，确定其可变现净值；需要经过加工的材料存货，在正常生产</w:t>
      </w:r>
      <w:r>
        <w:rPr>
          <w:spacing w:val="-84"/>
        </w:rPr>
        <w:t> </w:t>
      </w:r>
      <w:r>
        <w:rPr>
          <w:spacing w:val="-84"/>
        </w:rPr>
      </w:r>
      <w:r>
        <w:rPr>
          <w:spacing w:val="-2"/>
        </w:rPr>
        <w:t>经营过程中，以所生产的产成品的估计售价减去至完工时估计将要发生的成本、估计的销售费用和相关税费</w:t>
      </w:r>
      <w:r>
        <w:rPr>
          <w:spacing w:val="-82"/>
        </w:rPr>
        <w:t> </w:t>
      </w:r>
      <w:r>
        <w:rPr>
          <w:spacing w:val="-82"/>
        </w:rPr>
      </w:r>
      <w:r>
        <w:rPr>
          <w:spacing w:val="-2"/>
        </w:rPr>
        <w:t>后的金额，确定其可变现净值；为执行销售合同或者劳务合同而持有的存货，其可变现净值以合同价格为基</w:t>
      </w:r>
      <w:r>
        <w:rPr>
          <w:spacing w:val="-84"/>
        </w:rPr>
        <w:t> </w:t>
      </w:r>
      <w:r>
        <w:rPr>
          <w:spacing w:val="-84"/>
        </w:rPr>
      </w:r>
      <w:r>
        <w:rPr>
          <w:spacing w:val="-2"/>
        </w:rPr>
        <w:t>础计算，若持有存货的数量多于销售合同订购数量的，超出部分的存货的可变现净值以一般销售价格为基础</w:t>
      </w:r>
      <w:r>
        <w:rPr>
          <w:spacing w:val="-82"/>
        </w:rPr>
        <w:t> </w:t>
      </w:r>
      <w:r>
        <w:rPr>
          <w:spacing w:val="-82"/>
        </w:rPr>
      </w:r>
      <w:r>
        <w:rPr/>
        <w:t>计算。</w:t>
      </w:r>
    </w:p>
    <w:p>
      <w:pPr>
        <w:spacing w:after="0" w:line="31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left="2394" w:right="1126"/>
        <w:jc w:val="left"/>
      </w:pPr>
      <w:r>
        <w:rPr>
          <w:spacing w:val="-2"/>
        </w:rPr>
        <w:t>期末按照单个存货项目计提存货跌价准备；但对于数量繁多、单价较低的存货，按照存货类别计提存货跌价</w:t>
      </w:r>
      <w:r>
        <w:rPr>
          <w:spacing w:val="-80"/>
        </w:rPr>
        <w:t> </w:t>
      </w:r>
      <w:r>
        <w:rPr>
          <w:spacing w:val="-80"/>
        </w:rPr>
      </w:r>
      <w:r>
        <w:rPr>
          <w:spacing w:val="-2"/>
        </w:rPr>
        <w:t>准备；与在同一地区生产和销售的产品系列相关、具有相同或类似最终用途或目的，且难以与其他项目分开</w:t>
      </w:r>
      <w:r>
        <w:rPr>
          <w:spacing w:val="-80"/>
        </w:rPr>
        <w:t> </w:t>
      </w:r>
      <w:r>
        <w:rPr>
          <w:spacing w:val="-80"/>
        </w:rPr>
      </w:r>
      <w:r>
        <w:rPr/>
        <w:t>计量的存货，则合并计提存货跌价准备。 </w:t>
      </w:r>
      <w:r>
        <w:rPr>
          <w:spacing w:val="-2"/>
        </w:rPr>
        <w:t>除有明确证据表明资产负债表日市场价格异常外，存货项目的可变现净值以资产负债表日市场价格为基础确</w:t>
      </w:r>
      <w:r>
        <w:rPr>
          <w:spacing w:val="-78"/>
        </w:rPr>
        <w:t> </w:t>
      </w:r>
      <w:r>
        <w:rPr>
          <w:spacing w:val="-78"/>
        </w:rPr>
      </w:r>
      <w:r>
        <w:rPr/>
        <w:t>定。</w:t>
      </w:r>
    </w:p>
    <w:p>
      <w:pPr>
        <w:pStyle w:val="BodyText"/>
        <w:spacing w:line="240" w:lineRule="auto" w:before="17"/>
        <w:ind w:left="2394" w:right="0"/>
        <w:jc w:val="left"/>
      </w:pPr>
      <w:r>
        <w:rPr/>
        <w:t>本期期末存货项目的可变现净值以资产负债表日市场价格为基础确定。</w:t>
      </w:r>
    </w:p>
    <w:p>
      <w:pPr>
        <w:pStyle w:val="BodyText"/>
        <w:spacing w:line="300" w:lineRule="auto" w:before="76"/>
        <w:ind w:left="2394" w:right="7813" w:hanging="4"/>
        <w:jc w:val="left"/>
      </w:pPr>
      <w:r>
        <w:rPr>
          <w:rFonts w:ascii="Times New Roman" w:hAnsi="Times New Roman" w:cs="Times New Roman" w:eastAsia="Times New Roman" w:hint="default"/>
        </w:rPr>
        <w:t>4</w:t>
      </w:r>
      <w:r>
        <w:rPr/>
        <w:t>、</w:t>
      </w:r>
      <w:r>
        <w:rPr>
          <w:spacing w:val="63"/>
        </w:rPr>
        <w:t> </w:t>
      </w:r>
      <w:r>
        <w:rPr/>
        <w:t>存货的盘存制度</w:t>
      </w:r>
      <w:r>
        <w:rPr/>
        <w:t> 采用永续盘存制。</w:t>
      </w:r>
    </w:p>
    <w:p>
      <w:pPr>
        <w:pStyle w:val="BodyText"/>
        <w:spacing w:line="240" w:lineRule="auto" w:before="31"/>
        <w:ind w:left="2390" w:right="0"/>
        <w:jc w:val="left"/>
      </w:pPr>
      <w:r>
        <w:rPr>
          <w:rFonts w:ascii="Times New Roman" w:hAnsi="Times New Roman" w:cs="Times New Roman" w:eastAsia="Times New Roman" w:hint="default"/>
        </w:rPr>
        <w:t>5</w:t>
      </w:r>
      <w:r>
        <w:rPr/>
        <w:t>、</w:t>
      </w:r>
      <w:r>
        <w:rPr>
          <w:spacing w:val="63"/>
        </w:rPr>
        <w:t> </w:t>
      </w:r>
      <w:r>
        <w:rPr/>
        <w:t>低值易耗品和包装物的摊销方法</w:t>
      </w:r>
    </w:p>
    <w:p>
      <w:pPr>
        <w:pStyle w:val="BodyText"/>
        <w:spacing w:line="240" w:lineRule="auto" w:before="63"/>
        <w:ind w:left="239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2394" w:right="0"/>
        <w:jc w:val="left"/>
      </w:pPr>
      <w:r>
        <w:rPr/>
        <w:t>（</w:t>
      </w: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11、长期股权投资" w:id="173"/>
      <w:bookmarkEnd w:id="173"/>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2394" w:right="1126" w:hanging="4"/>
        <w:jc w:val="left"/>
      </w:pPr>
      <w:r>
        <w:rPr>
          <w:rFonts w:ascii="Times New Roman" w:hAnsi="Times New Roman" w:cs="Times New Roman" w:eastAsia="Times New Roman" w:hint="default"/>
        </w:rPr>
        <w:t>1</w:t>
      </w:r>
      <w:r>
        <w:rPr/>
        <w:t>、</w:t>
      </w:r>
      <w:r>
        <w:rPr>
          <w:spacing w:val="63"/>
        </w:rPr>
        <w:t> </w:t>
      </w:r>
      <w:r>
        <w:rPr/>
        <w:t>共同控制、重大影响的判断标准</w:t>
      </w:r>
      <w:r>
        <w:rPr/>
        <w:t> </w:t>
      </w:r>
      <w:r>
        <w:rPr>
          <w:spacing w:val="-2"/>
        </w:rPr>
        <w:t>共同控制，是指按照相关约定对某项安排所共有的控制，并且该安排的相关活动必须经过分享控制权的参与</w:t>
      </w:r>
      <w:r>
        <w:rPr>
          <w:spacing w:val="-82"/>
        </w:rPr>
        <w:t> </w:t>
      </w:r>
      <w:r>
        <w:rPr>
          <w:spacing w:val="-82"/>
        </w:rPr>
      </w:r>
      <w:r>
        <w:rPr>
          <w:spacing w:val="-2"/>
        </w:rPr>
        <w:t>方一致同意后才能决策。本公司与其他合营方一同对被投资单位实施共同控制且对被投资单位净资产享有权</w:t>
      </w:r>
      <w:r>
        <w:rPr>
          <w:spacing w:val="-82"/>
        </w:rPr>
        <w:t> </w:t>
      </w:r>
      <w:r>
        <w:rPr>
          <w:spacing w:val="-82"/>
        </w:rPr>
      </w:r>
      <w:r>
        <w:rPr/>
        <w:t>利的，被投资单位为本公司的合营企业。 </w:t>
      </w:r>
      <w:r>
        <w:rPr>
          <w:spacing w:val="-2"/>
        </w:rPr>
        <w:t>重大影响，是指对一个企业的财务和经营决策有参与决策的权力，但并不能够控制或者与其他方一起共同控</w:t>
      </w:r>
      <w:r>
        <w:rPr>
          <w:spacing w:val="-82"/>
        </w:rPr>
        <w:t> </w:t>
      </w:r>
      <w:r>
        <w:rPr>
          <w:spacing w:val="-82"/>
        </w:rPr>
      </w:r>
      <w:r>
        <w:rPr/>
        <w:t>制这些政策的制定。本能够对被投资单位施加重大影响的，被投资单位为本公司联营企业。</w:t>
      </w:r>
    </w:p>
    <w:p>
      <w:pPr>
        <w:pStyle w:val="BodyText"/>
        <w:spacing w:line="240" w:lineRule="auto" w:before="20"/>
        <w:ind w:left="2390" w:right="0"/>
        <w:jc w:val="left"/>
      </w:pPr>
      <w:r>
        <w:rPr>
          <w:rFonts w:ascii="Times New Roman" w:hAnsi="Times New Roman" w:cs="Times New Roman" w:eastAsia="Times New Roman" w:hint="default"/>
        </w:rPr>
        <w:t>2</w:t>
      </w:r>
      <w:r>
        <w:rPr/>
        <w:t>、</w:t>
      </w:r>
      <w:r>
        <w:rPr>
          <w:spacing w:val="63"/>
        </w:rPr>
        <w:t> </w:t>
      </w:r>
      <w:r>
        <w:rPr/>
        <w:t>初始投资成本的确定</w:t>
      </w:r>
    </w:p>
    <w:p>
      <w:pPr>
        <w:pStyle w:val="BodyText"/>
        <w:spacing w:line="312" w:lineRule="auto" w:before="63"/>
        <w:ind w:left="2394" w:right="1126"/>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w:t>
      </w:r>
      <w:r>
        <w:rPr>
          <w:spacing w:val="-78"/>
        </w:rPr>
        <w:t> </w:t>
      </w:r>
      <w:r>
        <w:rPr>
          <w:spacing w:val="-78"/>
        </w:rPr>
      </w:r>
      <w:r>
        <w:rPr>
          <w:spacing w:val="-2"/>
        </w:rPr>
        <w:t>对价的，在合并日按照取得被合并方所有者权益在最终控制方合并财务报表中的账面价值的份额作为长期股</w:t>
      </w:r>
      <w:r>
        <w:rPr>
          <w:spacing w:val="-78"/>
        </w:rPr>
        <w:t> </w:t>
      </w:r>
      <w:r>
        <w:rPr>
          <w:spacing w:val="-78"/>
        </w:rPr>
      </w:r>
      <w:r>
        <w:rPr/>
        <w:t>权投资的初始投资成本。</w:t>
      </w:r>
    </w:p>
    <w:p>
      <w:pPr>
        <w:pStyle w:val="BodyText"/>
        <w:spacing w:line="309" w:lineRule="auto" w:before="22"/>
        <w:ind w:left="2390" w:right="2836" w:firstLine="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rFonts w:ascii="Times New Roman" w:hAnsi="Times New Roman" w:cs="Times New Roman" w:eastAsia="Times New Roman" w:hint="default"/>
        </w:rPr>
        <w:t>3</w:t>
      </w:r>
      <w:r>
        <w:rPr/>
        <w:t>、</w:t>
      </w:r>
      <w:r>
        <w:rPr>
          <w:spacing w:val="63"/>
        </w:rPr>
        <w:t> </w:t>
      </w:r>
      <w:r>
        <w:rPr/>
        <w:t>后续计量及损益确认方法</w:t>
      </w:r>
    </w:p>
    <w:p>
      <w:pPr>
        <w:pStyle w:val="BodyText"/>
        <w:spacing w:line="316" w:lineRule="auto" w:before="5"/>
        <w:ind w:left="2394" w:right="1126"/>
        <w:jc w:val="left"/>
      </w:pPr>
      <w:r>
        <w:rPr>
          <w:spacing w:val="-2"/>
        </w:rPr>
        <w:t>公司对子公司的长期股权投资，采用成本法核算。除取得投资时实际支付的价款或对价中包含的已宣告但尚</w:t>
      </w:r>
      <w:r>
        <w:rPr>
          <w:spacing w:val="-78"/>
        </w:rPr>
        <w:t> </w:t>
      </w:r>
      <w:r>
        <w:rPr>
          <w:spacing w:val="-78"/>
        </w:rPr>
      </w:r>
      <w:r>
        <w:rPr/>
        <w:t>未发放的现金股利或利润外，公司按照享有被投资单位宣告发放的现金股利或利润确认当期投资收益。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2、固定资产" w:id="174"/>
      <w:bookmarkEnd w:id="174"/>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5"/>
      <w:bookmarkEnd w:id="17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2）折旧方法" w:id="176"/>
      <w:bookmarkEnd w:id="17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19-9.5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3、在建工程" w:id="177"/>
      <w:bookmarkEnd w:id="177"/>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852" w:right="1131"/>
        <w:jc w:val="both"/>
      </w:pPr>
      <w:r>
        <w:rPr>
          <w:spacing w:val="-2"/>
        </w:rPr>
        <w:t>在建工程项目按建造该项资产达到预定可使用状态前所发生的必要支出，作为固定资产的入账价值。所建造的固定</w:t>
      </w:r>
      <w:r>
        <w:rPr>
          <w:spacing w:val="-70"/>
        </w:rPr>
        <w:t> </w:t>
      </w:r>
      <w:r>
        <w:rPr>
          <w:spacing w:val="-70"/>
        </w:rPr>
      </w:r>
      <w:r>
        <w:rPr>
          <w:spacing w:val="-2"/>
        </w:rPr>
        <w:t>资产在工程已达到预定可使用状态，但尚未办理竣工决算的，自达到预定可使用状态之日起，根据工程预算、造价</w:t>
      </w:r>
      <w:r>
        <w:rPr>
          <w:spacing w:val="-73"/>
        </w:rPr>
        <w:t> </w:t>
      </w:r>
      <w:r>
        <w:rPr>
          <w:spacing w:val="-73"/>
        </w:rPr>
      </w:r>
      <w:r>
        <w:rPr>
          <w:spacing w:val="-2"/>
        </w:rPr>
        <w:t>或者工程实际成本等，按估计的价值转入固定资产，并按本公司固定资产折旧政策计提固定资产的折旧，待办理竣</w:t>
      </w:r>
      <w:r>
        <w:rPr>
          <w:spacing w:val="-71"/>
        </w:rPr>
        <w:t> </w:t>
      </w:r>
      <w:r>
        <w:rPr>
          <w:spacing w:val="-71"/>
        </w:rPr>
      </w:r>
      <w:r>
        <w:rPr/>
        <w:t>工决算后，再按实际成本调整原来的暂估价值，但不调整原已计提的折旧额。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4、借款费用" w:id="178"/>
      <w:bookmarkEnd w:id="178"/>
      <w:r>
        <w:rPr>
          <w:b w:val="0"/>
          <w:bCs w:val="0"/>
        </w:rPr>
      </w:r>
      <w:r>
        <w:rPr>
          <w:rFonts w:ascii="Times New Roman" w:hAnsi="Times New Roman" w:cs="Times New Roman" w:eastAsia="Times New Roman" w:hint="default"/>
        </w:rPr>
        <w:t>14</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2394" w:right="1126" w:hanging="4"/>
        <w:jc w:val="left"/>
      </w:pPr>
      <w:r>
        <w:rPr>
          <w:rFonts w:ascii="Times New Roman" w:hAnsi="Times New Roman" w:cs="Times New Roman" w:eastAsia="Times New Roman" w:hint="default"/>
        </w:rPr>
        <w:t>1</w:t>
      </w:r>
      <w:r>
        <w:rPr/>
        <w:t>、</w:t>
      </w:r>
      <w:r>
        <w:rPr>
          <w:spacing w:val="63"/>
        </w:rPr>
        <w:t> </w:t>
      </w:r>
      <w:r>
        <w:rPr/>
        <w:t>借款费用资本化的确认原则</w:t>
      </w:r>
      <w:r>
        <w:rPr/>
        <w:t>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w:t>
      </w:r>
      <w:r>
        <w:rPr>
          <w:spacing w:val="-84"/>
        </w:rPr>
        <w:t> </w:t>
      </w:r>
      <w:r>
        <w:rPr>
          <w:spacing w:val="-84"/>
        </w:rPr>
      </w:r>
      <w:r>
        <w:rPr/>
        <w:t>成本；其他借款费用，在发生时根据其发生额确认为费用，计入当期损益。 </w:t>
      </w:r>
      <w:r>
        <w:rPr>
          <w:spacing w:val="-2"/>
        </w:rPr>
        <w:t>符合资本化条件的资产，是指需要经过相当长时间的购建或者生产活动才能达到预定可使用或者可销售状态</w:t>
      </w:r>
      <w:r>
        <w:rPr>
          <w:spacing w:val="-82"/>
        </w:rPr>
        <w:t> </w:t>
      </w:r>
      <w:r>
        <w:rPr>
          <w:spacing w:val="-82"/>
        </w:rPr>
      </w:r>
      <w:r>
        <w:rPr/>
        <w:t>的固定资产、投资性房地产和存货等资产。</w:t>
      </w:r>
    </w:p>
    <w:p>
      <w:pPr>
        <w:pStyle w:val="BodyText"/>
        <w:spacing w:line="240" w:lineRule="auto" w:before="20"/>
        <w:ind w:left="2394" w:right="0"/>
        <w:jc w:val="left"/>
      </w:pPr>
      <w:r>
        <w:rPr/>
        <w:t>借款费用同时满足下列条件时开始资本化：</w:t>
      </w:r>
    </w:p>
    <w:p>
      <w:pPr>
        <w:pStyle w:val="BodyText"/>
        <w:spacing w:line="300" w:lineRule="auto" w:before="76"/>
        <w:ind w:left="2394"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w:t>
      </w:r>
      <w:r>
        <w:rPr>
          <w:spacing w:val="-84"/>
        </w:rPr>
        <w:t> </w:t>
      </w:r>
      <w:r>
        <w:rPr>
          <w:spacing w:val="-84"/>
        </w:rPr>
      </w:r>
      <w:r>
        <w:rPr/>
        <w:t>资产或者承担带息债务形式发生的支出；</w:t>
      </w:r>
    </w:p>
    <w:p>
      <w:pPr>
        <w:pStyle w:val="BodyText"/>
        <w:spacing w:line="240" w:lineRule="auto" w:before="31"/>
        <w:ind w:left="239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239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09" w:lineRule="auto" w:before="63"/>
        <w:ind w:left="2394" w:right="1126" w:hanging="4"/>
        <w:jc w:val="left"/>
      </w:pPr>
      <w:r>
        <w:rPr>
          <w:rFonts w:ascii="Times New Roman" w:hAnsi="Times New Roman" w:cs="Times New Roman" w:eastAsia="Times New Roman" w:hint="default"/>
        </w:rPr>
        <w:t>2</w:t>
      </w:r>
      <w:r>
        <w:rPr/>
        <w:t>、</w:t>
      </w:r>
      <w:r>
        <w:rPr>
          <w:spacing w:val="63"/>
        </w:rPr>
        <w:t> </w:t>
      </w:r>
      <w:r>
        <w:rPr/>
        <w:t>借款费用资本化期间</w:t>
      </w:r>
      <w:r>
        <w:rPr/>
        <w:t> </w:t>
      </w:r>
      <w:r>
        <w:rPr>
          <w:spacing w:val="-2"/>
        </w:rPr>
        <w:t>资本化期间，指从借款费用开始资本化时点到停止资本化时点的期间，借款费用暂停资本化的期间不包括在</w:t>
      </w:r>
      <w:r>
        <w:rPr>
          <w:spacing w:val="-82"/>
        </w:rPr>
        <w:t> </w:t>
      </w:r>
      <w:r>
        <w:rPr>
          <w:spacing w:val="-82"/>
        </w:rPr>
      </w:r>
      <w:r>
        <w:rPr/>
        <w:t>内。</w:t>
      </w:r>
    </w:p>
    <w:p>
      <w:pPr>
        <w:pStyle w:val="BodyText"/>
        <w:spacing w:line="316" w:lineRule="auto" w:before="24"/>
        <w:ind w:left="2394" w:right="1126"/>
        <w:jc w:val="left"/>
      </w:pPr>
      <w:r>
        <w:rPr/>
        <w:t>当购建或者生产符合资本化条件的资产达到预定可使用或者可销售状态时，借款费用停止资本化。 </w:t>
      </w:r>
      <w:r>
        <w:rPr>
          <w:spacing w:val="-2"/>
        </w:rPr>
        <w:t>当购建或者生产符合资本化条件的资产中部分项目分别完工且可单独使用时，该部分资产借款费用停止资本</w:t>
      </w:r>
      <w:r>
        <w:rPr>
          <w:spacing w:val="-78"/>
        </w:rPr>
        <w:t> </w:t>
      </w:r>
      <w:r>
        <w:rPr>
          <w:spacing w:val="-78"/>
        </w:rPr>
      </w:r>
      <w:r>
        <w:rPr/>
        <w:t>化。 </w:t>
      </w:r>
      <w:r>
        <w:rPr>
          <w:spacing w:val="-2"/>
        </w:rPr>
        <w:t>购建或者生产的资产的各部分分别完工，但必须等到整体完工后才可使用或可对外销售的，在该资产整体完</w:t>
      </w:r>
      <w:r>
        <w:rPr>
          <w:spacing w:val="-78"/>
        </w:rPr>
        <w:t> </w:t>
      </w:r>
      <w:r>
        <w:rPr>
          <w:spacing w:val="-78"/>
        </w:rPr>
      </w:r>
      <w:r>
        <w:rPr/>
        <w:t>工时停止借款费用资本化。</w:t>
      </w:r>
    </w:p>
    <w:p>
      <w:pPr>
        <w:pStyle w:val="BodyText"/>
        <w:spacing w:line="309" w:lineRule="auto" w:before="19"/>
        <w:ind w:left="2394" w:right="1122" w:hanging="4"/>
        <w:jc w:val="left"/>
      </w:pPr>
      <w:r>
        <w:rPr>
          <w:rFonts w:ascii="Times New Roman" w:hAnsi="Times New Roman" w:cs="Times New Roman" w:eastAsia="Times New Roman" w:hint="default"/>
        </w:rPr>
        <w:t>3</w:t>
      </w:r>
      <w:r>
        <w:rPr/>
        <w:t>、</w:t>
      </w:r>
      <w:r>
        <w:rPr>
          <w:spacing w:val="63"/>
        </w:rPr>
        <w:t> </w:t>
      </w:r>
      <w:r>
        <w:rPr/>
        <w:t>暂停资本化期间</w:t>
      </w:r>
      <w:r>
        <w:rPr/>
        <w:t>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w:t>
      </w:r>
      <w:r>
        <w:rPr>
          <w:spacing w:val="-87"/>
        </w:rPr>
        <w:t> </w:t>
      </w:r>
      <w:r>
        <w:rPr>
          <w:spacing w:val="-87"/>
        </w:rPr>
      </w:r>
      <w:r>
        <w:rPr>
          <w:spacing w:val="-2"/>
        </w:rPr>
        <w:t>暂停资本化；该项中断如是所购建或生产的符合资本化条件的资产达到预定可使用状态或者可销售状态必要</w:t>
      </w:r>
      <w:r>
        <w:rPr>
          <w:spacing w:val="-82"/>
        </w:rPr>
        <w:t> </w:t>
      </w:r>
      <w:r>
        <w:rPr>
          <w:spacing w:val="-82"/>
        </w:rPr>
      </w:r>
      <w:r>
        <w:rPr>
          <w:spacing w:val="-2"/>
        </w:rPr>
        <w:t>的程序，则借款费用继续资本化。在中断期间发生的借款费用确认为当期损益，直至资产的购建或者生产活</w:t>
      </w:r>
      <w:r>
        <w:rPr>
          <w:spacing w:val="-84"/>
        </w:rPr>
        <w:t> </w:t>
      </w:r>
      <w:r>
        <w:rPr>
          <w:spacing w:val="-84"/>
        </w:rPr>
      </w:r>
      <w:r>
        <w:rPr/>
        <w:t>动重新开始后借款费用继续资本化。</w:t>
      </w:r>
    </w:p>
    <w:p>
      <w:pPr>
        <w:pStyle w:val="BodyText"/>
        <w:spacing w:line="314" w:lineRule="auto" w:before="24"/>
        <w:ind w:left="2394" w:right="1126" w:hanging="4"/>
        <w:jc w:val="left"/>
      </w:pPr>
      <w:r>
        <w:rPr>
          <w:rFonts w:ascii="Times New Roman" w:hAnsi="Times New Roman" w:cs="Times New Roman" w:eastAsia="Times New Roman" w:hint="default"/>
        </w:rPr>
        <w:t>4</w:t>
      </w:r>
      <w:r>
        <w:rPr/>
        <w:t>、</w:t>
      </w:r>
      <w:r>
        <w:rPr>
          <w:spacing w:val="63"/>
        </w:rPr>
        <w:t> </w:t>
      </w:r>
      <w:r>
        <w:rPr/>
        <w:t>借款费用资本化率、资本化金额的计算方法</w:t>
      </w:r>
      <w:r>
        <w:rPr/>
        <w:t> </w:t>
      </w:r>
      <w:r>
        <w:rPr>
          <w:spacing w:val="-2"/>
        </w:rPr>
        <w:t>对于为购建或者生产符合资本化条件的资产而借入的专门借款，以专门借款当期实际发生的借款费用，减去</w:t>
      </w:r>
      <w:r>
        <w:rPr>
          <w:spacing w:val="-82"/>
        </w:rPr>
        <w:t> </w:t>
      </w:r>
      <w:r>
        <w:rPr>
          <w:spacing w:val="-82"/>
        </w:rPr>
      </w:r>
      <w:r>
        <w:rPr>
          <w:spacing w:val="-2"/>
        </w:rPr>
        <w:t>尚未动用的借款资金存入银行取得的利息收入或进行暂时性投资取得的投资收益后的金额，来确定借款费用</w:t>
      </w:r>
      <w:r>
        <w:rPr>
          <w:spacing w:val="-82"/>
        </w:rPr>
        <w:t> </w:t>
      </w:r>
      <w:r>
        <w:rPr>
          <w:spacing w:val="-82"/>
        </w:rPr>
      </w:r>
      <w:r>
        <w:rPr/>
        <w:t>的资本化金额。 </w:t>
      </w:r>
      <w:r>
        <w:rPr>
          <w:spacing w:val="-2"/>
        </w:rPr>
        <w:t>对于为购建或者生产符合资本化条件的资产而占用的一般借款，根据累计资产支出超过专门借款部分的资产</w:t>
      </w:r>
      <w:r>
        <w:rPr>
          <w:spacing w:val="-82"/>
        </w:rPr>
        <w:t> </w:t>
      </w:r>
      <w:r>
        <w:rPr>
          <w:spacing w:val="-82"/>
        </w:rPr>
      </w:r>
      <w:r>
        <w:rPr>
          <w:spacing w:val="-2"/>
        </w:rPr>
        <w:t>支出加权平均数乘以所占用一般借款的资本化率，计算确定一般借款应予资本化的借款费用金额。资本化率</w:t>
      </w:r>
      <w:r>
        <w:rPr>
          <w:spacing w:val="-82"/>
        </w:rPr>
        <w:t> </w:t>
      </w:r>
      <w:r>
        <w:rPr>
          <w:spacing w:val="-82"/>
        </w:rPr>
      </w:r>
      <w:r>
        <w:rPr/>
        <w:t>根据一般借款加权平均利率计算确定。</w:t>
      </w:r>
    </w:p>
    <w:p>
      <w:pPr>
        <w:spacing w:after="0" w:line="314"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5、无形资产" w:id="179"/>
      <w:bookmarkEnd w:id="179"/>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80"/>
      <w:bookmarkEnd w:id="18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90" w:right="0"/>
        <w:jc w:val="left"/>
      </w:pPr>
      <w:r>
        <w:rPr>
          <w:rFonts w:ascii="Times New Roman" w:hAnsi="Times New Roman" w:cs="Times New Roman" w:eastAsia="Times New Roman" w:hint="default"/>
        </w:rPr>
        <w:t>1</w:t>
      </w:r>
      <w:r>
        <w:rPr/>
        <w:t>、</w:t>
      </w:r>
      <w:r>
        <w:rPr>
          <w:spacing w:val="63"/>
        </w:rPr>
        <w:t> </w:t>
      </w:r>
      <w:r>
        <w:rPr/>
        <w:t>无形资产的计价方法</w:t>
      </w:r>
    </w:p>
    <w:p>
      <w:pPr>
        <w:pStyle w:val="BodyText"/>
        <w:spacing w:line="316" w:lineRule="auto" w:before="63"/>
        <w:ind w:left="2394" w:right="0"/>
        <w:jc w:val="left"/>
      </w:pPr>
      <w:r>
        <w:rPr/>
        <w:t>（</w:t>
      </w:r>
      <w:r>
        <w:rPr>
          <w:rFonts w:ascii="Times New Roman" w:hAnsi="Times New Roman" w:cs="Times New Roman" w:eastAsia="Times New Roman" w:hint="default"/>
        </w:rPr>
        <w:t>1</w:t>
      </w:r>
      <w:r>
        <w:rPr/>
        <w:t>）公司取得无形资产时按成本进行初始计量 </w:t>
      </w:r>
      <w:r>
        <w:rPr>
          <w:spacing w:val="-4"/>
        </w:rPr>
        <w:t>外购无形资产的成本，包括购买价款、相关税费以及直接归属于使该项资产达到预定用途所发生的其他支出。</w:t>
      </w:r>
      <w:r>
        <w:rPr>
          <w:spacing w:val="-72"/>
        </w:rPr>
        <w:t> </w:t>
      </w:r>
      <w:r>
        <w:rPr>
          <w:spacing w:val="-72"/>
        </w:rPr>
      </w:r>
      <w:r>
        <w:rPr>
          <w:spacing w:val="-2"/>
        </w:rPr>
        <w:t>购买无形资产的价款超过正常信用条件延期支付，实质上具有融资性质的，无形资产的成本以购买价款的现</w:t>
      </w:r>
      <w:r>
        <w:rPr>
          <w:spacing w:val="-78"/>
        </w:rPr>
        <w:t> </w:t>
      </w:r>
      <w:r>
        <w:rPr>
          <w:spacing w:val="-78"/>
        </w:rPr>
      </w:r>
      <w:r>
        <w:rPr/>
        <w:t>值为基础确定。 </w:t>
      </w:r>
      <w:r>
        <w:rPr>
          <w:spacing w:val="-2"/>
        </w:rPr>
        <w:t>以同一控制下的企业吸收合并方式取得的无形资产按被合并方的账面价值确定其入账价值；以非同一控制下</w:t>
      </w:r>
      <w:r>
        <w:rPr>
          <w:spacing w:val="-78"/>
        </w:rPr>
        <w:t> </w:t>
      </w:r>
      <w:r>
        <w:rPr>
          <w:spacing w:val="-78"/>
        </w:rPr>
      </w:r>
      <w:r>
        <w:rPr/>
        <w:t>的企业吸收合并方式取得的无形资产按公允价值确定其入账价值。 </w:t>
      </w:r>
      <w:r>
        <w:rPr>
          <w:spacing w:val="-2"/>
        </w:rPr>
        <w:t>内部自行开发的无形资产，其成本包括：开发该无形资产时耗用的材料、劳务成本、注册费、在开发过程中</w:t>
      </w:r>
      <w:r>
        <w:rPr>
          <w:spacing w:val="-80"/>
        </w:rPr>
        <w:t> </w:t>
      </w:r>
      <w:r>
        <w:rPr>
          <w:spacing w:val="-80"/>
        </w:rPr>
      </w:r>
      <w:r>
        <w:rPr>
          <w:spacing w:val="-2"/>
        </w:rPr>
        <w:t>使用的其他专利权和特许权的摊销以及满足资本化条件的利息费用，以及为使该无形资产达到预定用途前所</w:t>
      </w:r>
      <w:r>
        <w:rPr>
          <w:spacing w:val="-78"/>
        </w:rPr>
        <w:t> </w:t>
      </w:r>
      <w:r>
        <w:rPr>
          <w:spacing w:val="-78"/>
        </w:rPr>
      </w:r>
      <w:r>
        <w:rPr/>
        <w:t>发生的其他直接费用。</w:t>
      </w:r>
    </w:p>
    <w:p>
      <w:pPr>
        <w:pStyle w:val="BodyText"/>
        <w:spacing w:line="300" w:lineRule="auto" w:before="19"/>
        <w:ind w:left="2394" w:right="625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2394" w:right="1126"/>
        <w:jc w:val="left"/>
      </w:pPr>
      <w:r>
        <w:rPr>
          <w:spacing w:val="-2"/>
        </w:rPr>
        <w:t>对于使用寿命有限的无形资产，在为企业带来经济利益的期限内按直线法摊销；无法预见无形资产为企业带</w:t>
      </w:r>
      <w:r>
        <w:rPr>
          <w:spacing w:val="-78"/>
        </w:rPr>
        <w:t> </w:t>
      </w:r>
      <w:r>
        <w:rPr>
          <w:spacing w:val="-78"/>
        </w:rPr>
      </w:r>
      <w:r>
        <w:rPr/>
        <w:t>来经济利益期限的，视为使用寿命不确定的无形资产，不予摊销。</w:t>
      </w:r>
    </w:p>
    <w:p>
      <w:pPr>
        <w:pStyle w:val="BodyText"/>
        <w:spacing w:line="240" w:lineRule="auto" w:before="19"/>
        <w:ind w:left="2390" w:right="0"/>
        <w:jc w:val="left"/>
      </w:pPr>
      <w:r>
        <w:rPr>
          <w:rFonts w:ascii="Times New Roman" w:hAnsi="Times New Roman" w:cs="Times New Roman" w:eastAsia="Times New Roman" w:hint="default"/>
        </w:rPr>
        <w:t>2</w:t>
      </w:r>
      <w:r>
        <w:rPr/>
        <w:t>、</w:t>
      </w:r>
      <w:r>
        <w:rPr>
          <w:spacing w:val="63"/>
        </w:rPr>
        <w:t> </w:t>
      </w:r>
      <w:r>
        <w:rPr/>
        <w:t>使用寿命有限的无形资产的使用寿命估计情况：</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2789"/>
        <w:gridCol w:w="2741"/>
        <w:gridCol w:w="2885"/>
      </w:tblGrid>
      <w:tr>
        <w:trPr>
          <w:trHeight w:val="355" w:hRule="exact"/>
        </w:trPr>
        <w:tc>
          <w:tcPr>
            <w:tcW w:w="27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7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352"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2"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353" w:hRule="exact"/>
        </w:trPr>
        <w:tc>
          <w:tcPr>
            <w:tcW w:w="27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预计受益期限</w:t>
            </w:r>
          </w:p>
        </w:tc>
      </w:tr>
    </w:tbl>
    <w:p>
      <w:pPr>
        <w:pStyle w:val="BodyText"/>
        <w:spacing w:line="312" w:lineRule="auto" w:before="10"/>
        <w:ind w:left="2390" w:right="3736" w:firstLine="3"/>
        <w:jc w:val="left"/>
      </w:pPr>
      <w:r>
        <w:rPr/>
        <w:t>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w:t>
      </w:r>
      <w:r>
        <w:rPr>
          <w:spacing w:val="63"/>
        </w:rPr>
        <w:t> </w:t>
      </w:r>
      <w:r>
        <w:rPr/>
        <w:t>使用寿命不确定的无形资产的判断依据：</w:t>
      </w:r>
      <w:r>
        <w:rPr/>
        <w:t>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日，本公司无使用寿命不确定的无形资产。</w:t>
      </w:r>
    </w:p>
    <w:p>
      <w:pPr>
        <w:spacing w:line="240" w:lineRule="auto" w:before="4"/>
        <w:rPr>
          <w:rFonts w:ascii="宋体" w:hAnsi="宋体" w:cs="宋体" w:eastAsia="宋体" w:hint="default"/>
          <w:sz w:val="21"/>
          <w:szCs w:val="21"/>
        </w:rPr>
      </w:pPr>
    </w:p>
    <w:p>
      <w:pPr>
        <w:pStyle w:val="Heading3"/>
        <w:spacing w:line="240" w:lineRule="auto"/>
        <w:ind w:left="1133" w:right="0"/>
        <w:jc w:val="left"/>
        <w:rPr>
          <w:b w:val="0"/>
          <w:bCs w:val="0"/>
        </w:rPr>
      </w:pPr>
      <w:bookmarkStart w:name="（2）内部研究开发支出会计政策" w:id="181"/>
      <w:bookmarkEnd w:id="18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2394" w:right="1126" w:hanging="4"/>
        <w:jc w:val="left"/>
      </w:pPr>
      <w:r>
        <w:rPr>
          <w:rFonts w:ascii="Times New Roman" w:hAnsi="Times New Roman" w:cs="Times New Roman" w:eastAsia="Times New Roman" w:hint="default"/>
        </w:rPr>
        <w:t>4</w:t>
      </w:r>
      <w:r>
        <w:rPr/>
        <w:t>、</w:t>
      </w:r>
      <w:r>
        <w:rPr>
          <w:spacing w:val="63"/>
        </w:rPr>
        <w:t> </w:t>
      </w:r>
      <w:r>
        <w:rPr/>
        <w:t>划分公司内部研究开发项目的研究阶段和开发阶段具体标准</w:t>
      </w:r>
      <w:r>
        <w:rPr/>
        <w:t> 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w:t>
      </w:r>
      <w:r>
        <w:rPr>
          <w:spacing w:val="-84"/>
        </w:rPr>
        <w:t> </w:t>
      </w:r>
      <w:r>
        <w:rPr>
          <w:spacing w:val="-84"/>
        </w:rPr>
      </w:r>
      <w:r>
        <w:rPr/>
        <w:t>有实质性改进的材料、装置、产品等活动的阶段。</w:t>
      </w:r>
    </w:p>
    <w:p>
      <w:pPr>
        <w:pStyle w:val="BodyText"/>
        <w:spacing w:line="300" w:lineRule="auto" w:before="20"/>
        <w:ind w:left="2394" w:right="3552" w:hanging="4"/>
        <w:jc w:val="left"/>
      </w:pPr>
      <w:r>
        <w:rPr>
          <w:rFonts w:ascii="Times New Roman" w:hAnsi="Times New Roman" w:cs="Times New Roman" w:eastAsia="Times New Roman" w:hint="default"/>
        </w:rPr>
        <w:t>5</w:t>
      </w:r>
      <w:r>
        <w:rPr/>
        <w:t>、</w:t>
      </w:r>
      <w:r>
        <w:rPr>
          <w:spacing w:val="63"/>
        </w:rPr>
        <w:t> </w:t>
      </w:r>
      <w:r>
        <w:rPr/>
        <w:t>开发阶段支出符合资本化的具体标准</w:t>
      </w:r>
      <w:r>
        <w:rPr/>
        <w:t> 内部研究开发项目开发阶段的支出，同时满足下列条件时确认为无形资产：</w:t>
      </w:r>
    </w:p>
    <w:p>
      <w:pPr>
        <w:pStyle w:val="BodyText"/>
        <w:spacing w:line="240" w:lineRule="auto" w:before="31"/>
        <w:ind w:left="239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239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2394" w:right="112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w:t>
      </w:r>
      <w:r>
        <w:rPr>
          <w:spacing w:val="-84"/>
        </w:rPr>
        <w:t> </w:t>
      </w:r>
      <w:r>
        <w:rPr>
          <w:spacing w:val="-84"/>
        </w:rPr>
      </w:r>
      <w:r>
        <w:rPr/>
        <w:t>在市场，无形资产将在内部使用的，能够证明其有用性；</w:t>
      </w:r>
    </w:p>
    <w:p>
      <w:pPr>
        <w:pStyle w:val="BodyText"/>
        <w:spacing w:line="300" w:lineRule="auto" w:before="31"/>
        <w:ind w:left="2394" w:right="1122"/>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w:t>
      </w:r>
      <w:r>
        <w:rPr>
          <w:spacing w:val="-84"/>
        </w:rPr>
        <w:t> </w:t>
      </w:r>
      <w:r>
        <w:rPr>
          <w:spacing w:val="-84"/>
        </w:rPr>
      </w:r>
      <w:r>
        <w:rPr/>
        <w:t>产；</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2394" w:right="0"/>
        <w:jc w:val="left"/>
      </w:pPr>
      <w:r>
        <w:rPr/>
        <w:t>（</w:t>
      </w:r>
      <w:r>
        <w:rPr>
          <w:rFonts w:ascii="Times New Roman" w:hAnsi="Times New Roman" w:cs="Times New Roman" w:eastAsia="Times New Roman" w:hint="default"/>
        </w:rPr>
        <w:t>5</w:t>
      </w:r>
      <w:r>
        <w:rPr/>
        <w:t>）归属于该无形资产开发阶段的支出能够可靠地计量。 </w:t>
      </w:r>
      <w:r>
        <w:rPr>
          <w:spacing w:val="-4"/>
        </w:rPr>
        <w:t>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16、长期资产减值" w:id="182"/>
      <w:bookmarkEnd w:id="182"/>
      <w:r>
        <w:rPr>
          <w:b w:val="0"/>
          <w:bCs w:val="0"/>
        </w:rPr>
      </w:r>
      <w:r>
        <w:rPr>
          <w:rFonts w:ascii="Times New Roman" w:hAnsi="Times New Roman" w:cs="Times New Roman" w:eastAsia="Times New Roman" w:hint="default"/>
        </w:rPr>
        <w:t>16</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852" w:right="0"/>
        <w:jc w:val="left"/>
      </w:pPr>
      <w:r>
        <w:rPr>
          <w:spacing w:val="-2"/>
        </w:rPr>
        <w:t>长期股权投资、采用成本模式计量的固定资产、在建工程、使用寿命有限的无形资产等长期资产，于资产负债表日</w:t>
      </w:r>
      <w:r>
        <w:rPr>
          <w:spacing w:val="-73"/>
        </w:rPr>
        <w:t> </w:t>
      </w:r>
      <w:r>
        <w:rPr>
          <w:spacing w:val="-73"/>
        </w:rPr>
      </w:r>
      <w:r>
        <w:rPr>
          <w:spacing w:val="-2"/>
        </w:rPr>
        <w:t>存在减值迹象的，进行减值测试。减值测试结果表明资产的可收回金额低于其账面价值的，按其差额计提减值准备</w:t>
      </w:r>
      <w:r>
        <w:rPr>
          <w:spacing w:val="-71"/>
        </w:rPr>
        <w:t> </w:t>
      </w:r>
      <w:r>
        <w:rPr>
          <w:spacing w:val="-71"/>
        </w:rPr>
      </w:r>
      <w:r>
        <w:rPr>
          <w:spacing w:val="-2"/>
        </w:rPr>
        <w:t>并计入减值损失。可收回金额为资产的公允价值减去处置费用后的净额与资产预计未来现金流量的现值两者之间的</w:t>
      </w:r>
      <w:r>
        <w:rPr>
          <w:spacing w:val="-71"/>
        </w:rPr>
        <w:t> </w:t>
      </w:r>
      <w:r>
        <w:rPr>
          <w:spacing w:val="-71"/>
        </w:rPr>
      </w:r>
      <w:r>
        <w:rPr>
          <w:spacing w:val="-2"/>
        </w:rPr>
        <w:t>较高者。资产减值准备按单项资产为基础计算并确认，如果难以对单项资产的可收回金额进行估计的，以该资产所</w:t>
      </w:r>
      <w:r>
        <w:rPr>
          <w:spacing w:val="-71"/>
        </w:rPr>
        <w:t> </w:t>
      </w:r>
      <w:r>
        <w:rPr>
          <w:spacing w:val="-71"/>
        </w:rPr>
      </w:r>
      <w:r>
        <w:rPr/>
        <w:t>属的资产组确定资产组的可收回金额。资产组是能够独立产生现金流入的最小资产组合。 上述资产减值损失一经确认，在以后会计期间不予转回。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7、长期待摊费用" w:id="183"/>
      <w:bookmarkEnd w:id="183"/>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852" w:right="0"/>
        <w:jc w:val="left"/>
      </w:pPr>
      <w:r>
        <w:rPr/>
        <w:t>长期待摊费用为已经发生但应由本期和以后各期负担的分摊期限在一年以上的各项费用。</w:t>
      </w:r>
    </w:p>
    <w:p>
      <w:pPr>
        <w:pStyle w:val="BodyText"/>
        <w:spacing w:line="309" w:lineRule="auto" w:before="76"/>
        <w:ind w:left="2390" w:right="6616"/>
        <w:jc w:val="left"/>
      </w:pPr>
      <w:r>
        <w:rPr>
          <w:rFonts w:ascii="Times New Roman" w:hAnsi="Times New Roman" w:cs="Times New Roman" w:eastAsia="Times New Roman" w:hint="default"/>
        </w:rPr>
        <w:t>1</w:t>
      </w:r>
      <w:r>
        <w:rPr/>
        <w:t>、</w:t>
      </w:r>
      <w:r>
        <w:rPr>
          <w:spacing w:val="63"/>
        </w:rPr>
        <w:t> </w:t>
      </w:r>
      <w:r>
        <w:rPr/>
        <w:t>摊销方法</w:t>
      </w:r>
      <w:r>
        <w:rPr/>
        <w:t> 长期待摊费用在受益期内平均摊销。 </w:t>
      </w:r>
      <w:r>
        <w:rPr>
          <w:rFonts w:ascii="Times New Roman" w:hAnsi="Times New Roman" w:cs="Times New Roman" w:eastAsia="Times New Roman" w:hint="default"/>
        </w:rPr>
        <w:t>2</w:t>
      </w:r>
      <w:r>
        <w:rPr/>
        <w:t>、</w:t>
      </w:r>
      <w:r>
        <w:rPr>
          <w:spacing w:val="63"/>
        </w:rPr>
        <w:t> </w:t>
      </w:r>
      <w:r>
        <w:rPr/>
        <w:t>摊销年限</w:t>
      </w:r>
    </w:p>
    <w:tbl>
      <w:tblPr>
        <w:tblW w:w="0" w:type="auto"/>
        <w:jc w:val="left"/>
        <w:tblInd w:w="1126" w:type="dxa"/>
        <w:tblLayout w:type="fixed"/>
        <w:tblCellMar>
          <w:top w:w="0" w:type="dxa"/>
          <w:left w:w="0" w:type="dxa"/>
          <w:bottom w:w="0" w:type="dxa"/>
          <w:right w:w="0" w:type="dxa"/>
        </w:tblCellMar>
        <w:tblLook w:val="01E0"/>
      </w:tblPr>
      <w:tblGrid>
        <w:gridCol w:w="4551"/>
        <w:gridCol w:w="3864"/>
      </w:tblGrid>
      <w:tr>
        <w:trPr>
          <w:trHeight w:val="355" w:hRule="exact"/>
        </w:trPr>
        <w:tc>
          <w:tcPr>
            <w:tcW w:w="4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8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9"/>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3" w:hRule="exact"/>
        </w:trPr>
        <w:tc>
          <w:tcPr>
            <w:tcW w:w="4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38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bl>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bookmarkStart w:name="18、职工薪酬" w:id="184"/>
      <w:bookmarkEnd w:id="184"/>
      <w:r>
        <w:rPr>
          <w:b w:val="0"/>
          <w:bCs w:val="0"/>
        </w:rPr>
      </w:r>
      <w:r>
        <w:rPr>
          <w:rFonts w:ascii="Times New Roman" w:hAnsi="Times New Roman" w:cs="Times New Roman" w:eastAsia="Times New Roman" w:hint="default"/>
        </w:rPr>
        <w:t>18</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85"/>
      <w:bookmarkEnd w:id="18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94" w:right="1126"/>
        <w:jc w:val="left"/>
      </w:pPr>
      <w:r>
        <w:rPr>
          <w:spacing w:val="-2"/>
        </w:rPr>
        <w:t>本公司在职工为本公司提供服务的会计期间，将实际发生的短期薪酬确认为负债，并计入当期损益或相关资</w:t>
      </w:r>
      <w:r>
        <w:rPr>
          <w:spacing w:val="-78"/>
        </w:rPr>
        <w:t> </w:t>
      </w:r>
      <w:r>
        <w:rPr>
          <w:spacing w:val="-78"/>
        </w:rPr>
      </w:r>
      <w:r>
        <w:rPr/>
        <w:t>产成本。 </w:t>
      </w:r>
      <w:r>
        <w:rPr>
          <w:spacing w:val="-2"/>
        </w:rPr>
        <w:t>本公司为职工缴纳的社会保险费和住房公积金，以及按规定提取的工会经费和职工教育经费，在职工为本公</w:t>
      </w:r>
      <w:r>
        <w:rPr>
          <w:spacing w:val="-78"/>
        </w:rPr>
        <w:t> </w:t>
      </w:r>
      <w:r>
        <w:rPr>
          <w:spacing w:val="-78"/>
        </w:rPr>
      </w:r>
      <w:r>
        <w:rPr/>
        <w:t>司提供服务的会计期间，根据规定的计提基础和计提比例计算确定相应的职工薪酬金额。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离职后福利的会计处理方法" w:id="186"/>
      <w:bookmarkEnd w:id="18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2394" w:right="1032"/>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本公司按当地政府的相关规定为职工缴纳基本养老保险和失业保险，在职工为本公司提供服务的会计期间， 按以当地规定的缴纳基数和比例计算应缴纳金额，确认为负债，并计入当期损益或相关资产成本。</w:t>
      </w:r>
    </w:p>
    <w:p>
      <w:pPr>
        <w:pStyle w:val="BodyText"/>
        <w:spacing w:line="314" w:lineRule="auto" w:before="24"/>
        <w:ind w:left="2394" w:right="1126"/>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w:t>
      </w:r>
      <w:r>
        <w:rPr>
          <w:spacing w:val="-78"/>
        </w:rPr>
        <w:t> </w:t>
      </w:r>
      <w:r>
        <w:rPr>
          <w:spacing w:val="-78"/>
        </w:rPr>
      </w:r>
      <w:r>
        <w:rPr/>
        <w:t>计入当期损益或相关资产成本。 设定受益计划义务现值减去设定受益计划资产公允价值所形成的赤字或盈余确认为一项设定受益计划净负</w:t>
      </w:r>
      <w:r>
        <w:rPr>
          <w:spacing w:val="-8"/>
        </w:rPr>
        <w:t> </w:t>
      </w:r>
      <w:r>
        <w:rPr>
          <w:spacing w:val="-8"/>
        </w:rPr>
      </w:r>
      <w:r>
        <w:rPr>
          <w:spacing w:val="-2"/>
        </w:rPr>
        <w:t>债或净资产。设定受益计划存在盈余的，本公司以设定受益计划的盈余和资产上限两项的孰低者计量设定受</w:t>
      </w:r>
      <w:r>
        <w:rPr>
          <w:spacing w:val="-78"/>
        </w:rPr>
        <w:t> </w:t>
      </w:r>
      <w:r>
        <w:rPr>
          <w:spacing w:val="-78"/>
        </w:rPr>
      </w:r>
      <w:r>
        <w:rPr/>
        <w:t>益计划净资产。 </w:t>
      </w:r>
      <w:r>
        <w:rPr>
          <w:spacing w:val="-2"/>
        </w:rPr>
        <w:t>所有设定受益计划义务，包括预期在职工提供服务的年度报告期间结束后的十二个月内支付的义务，根据资</w:t>
      </w:r>
      <w:r>
        <w:rPr>
          <w:spacing w:val="-78"/>
        </w:rPr>
        <w:t> </w:t>
      </w:r>
      <w:r>
        <w:rPr>
          <w:spacing w:val="-78"/>
        </w:rPr>
      </w:r>
      <w:r>
        <w:rPr/>
        <w:t>产负债表日与设定受益计划义务期限和币种相匹配的国债或活跃市场上的高质量公司债券的市场收益率予</w:t>
      </w:r>
    </w:p>
    <w:p>
      <w:pPr>
        <w:spacing w:after="0" w:line="314"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left="2394" w:right="1032"/>
        <w:jc w:val="left"/>
      </w:pPr>
      <w:r>
        <w:rPr/>
        <w:t>以折现。 </w:t>
      </w:r>
      <w:r>
        <w:rPr>
          <w:spacing w:val="-2"/>
        </w:rPr>
        <w:t>设定受益计划产生的服务成本和设定受益计划净负债或净资产的利息净额计入当期损益或相关资产成本；重</w:t>
      </w:r>
      <w:r>
        <w:rPr>
          <w:spacing w:val="-78"/>
        </w:rPr>
        <w:t> </w:t>
      </w:r>
      <w:r>
        <w:rPr>
          <w:spacing w:val="-78"/>
        </w:rPr>
      </w:r>
      <w:r>
        <w:rPr/>
        <w:t>新计量设定受益计划净负债或净资产所产生的变动计入其他综合收益，并且在后续会计期间不转回至损益。 </w:t>
      </w:r>
      <w:r>
        <w:rPr>
          <w:spacing w:val="-2"/>
        </w:rPr>
        <w:t>在设定受益计划结算时，按在结算日确定的设定受益计划义务现值和结算价格两者的差额，确认结算利得或</w:t>
      </w:r>
      <w:r>
        <w:rPr>
          <w:spacing w:val="-78"/>
        </w:rPr>
        <w:t> </w:t>
      </w:r>
      <w:r>
        <w:rPr>
          <w:spacing w:val="-78"/>
        </w:rPr>
      </w:r>
      <w:r>
        <w:rPr/>
        <w:t>损失。</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87"/>
      <w:bookmarkEnd w:id="18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94" w:right="1114"/>
        <w:jc w:val="left"/>
      </w:pPr>
      <w:r>
        <w:rPr/>
        <w:t>本公司在不能单方面撤回因解除劳动关系计划或裁减建议所提供的辞退福利时</w:t>
      </w:r>
      <w:r>
        <w:rPr>
          <w:spacing w:val="-82"/>
        </w:rPr>
        <w:t>，</w:t>
      </w:r>
      <w:r>
        <w:rPr/>
        <w:t>或确认与涉及支付辞退福利</w:t>
      </w:r>
      <w:r>
        <w:rPr/>
        <w:t> 的重组相关的成本或费用时（两者孰早</w:t>
      </w:r>
      <w:r>
        <w:rPr>
          <w:spacing w:val="-90"/>
        </w:rPr>
        <w:t>）</w:t>
      </w:r>
      <w:r>
        <w:rPr/>
        <w:t>，确认辞退福利产生的职工薪酬负债，并计入当期损益。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9、收入" w:id="188"/>
      <w:bookmarkEnd w:id="188"/>
      <w:r>
        <w:rPr>
          <w:b w:val="0"/>
          <w:bCs w:val="0"/>
        </w:rPr>
      </w:r>
      <w:r>
        <w:rPr>
          <w:rFonts w:ascii="Times New Roman" w:hAnsi="Times New Roman" w:cs="Times New Roman" w:eastAsia="Times New Roman" w:hint="default"/>
        </w:rPr>
        <w:t>19</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90" w:right="0"/>
        <w:jc w:val="left"/>
      </w:pPr>
      <w:r>
        <w:rPr>
          <w:rFonts w:ascii="Times New Roman" w:hAnsi="Times New Roman" w:cs="Times New Roman" w:eastAsia="Times New Roman" w:hint="default"/>
        </w:rPr>
        <w:t>1</w:t>
      </w:r>
      <w:r>
        <w:rPr/>
        <w:t>、</w:t>
      </w:r>
      <w:r>
        <w:rPr>
          <w:spacing w:val="63"/>
        </w:rPr>
        <w:t> </w:t>
      </w:r>
      <w:r>
        <w:rPr/>
        <w:t>销售商品收入确认和计量原则</w:t>
      </w:r>
    </w:p>
    <w:p>
      <w:pPr>
        <w:pStyle w:val="BodyText"/>
        <w:spacing w:line="312" w:lineRule="auto" w:before="63"/>
        <w:ind w:left="2268" w:right="0" w:firstLine="21"/>
        <w:jc w:val="left"/>
      </w:pPr>
      <w:r>
        <w:rPr/>
        <w:t>（</w:t>
      </w:r>
      <w:r>
        <w:rPr>
          <w:rFonts w:ascii="Times New Roman" w:hAnsi="Times New Roman" w:cs="Times New Roman" w:eastAsia="Times New Roman" w:hint="default"/>
        </w:rPr>
        <w:t>1</w:t>
      </w:r>
      <w:r>
        <w:rPr/>
        <w:t>）销售商品收入确认和计量的一般原则 公司已将商品所有权上的主要风险和报酬转移给购买方；公司既没有保留与所有权相联系的继续管理权，也</w:t>
      </w:r>
      <w:r>
        <w:rPr>
          <w:spacing w:val="-74"/>
        </w:rPr>
        <w:t> </w:t>
      </w:r>
      <w:r>
        <w:rPr>
          <w:spacing w:val="-74"/>
        </w:rPr>
      </w:r>
      <w:r>
        <w:rPr/>
        <w:t>没有对已售出的商品实施有效控制；收入的金额能够可靠地计量；相关的经济利益很可能流入企业；相关的</w:t>
      </w:r>
      <w:r>
        <w:rPr>
          <w:spacing w:val="-52"/>
        </w:rPr>
        <w:t> </w:t>
      </w:r>
      <w:r>
        <w:rPr>
          <w:spacing w:val="-52"/>
        </w:rPr>
      </w:r>
      <w:r>
        <w:rPr/>
        <w:t>已发生或将发生的成本能够可靠地计量时，确认商品销售收入实现。</w:t>
      </w:r>
    </w:p>
    <w:p>
      <w:pPr>
        <w:pStyle w:val="BodyText"/>
        <w:spacing w:line="240" w:lineRule="auto" w:before="22"/>
        <w:ind w:left="2289" w:right="0"/>
        <w:jc w:val="left"/>
      </w:pPr>
      <w:r>
        <w:rPr/>
        <w:t>（</w:t>
      </w:r>
      <w:r>
        <w:rPr>
          <w:rFonts w:ascii="Times New Roman" w:hAnsi="Times New Roman" w:cs="Times New Roman" w:eastAsia="Times New Roman" w:hint="default"/>
        </w:rPr>
        <w:t>2</w:t>
      </w:r>
      <w:r>
        <w:rPr/>
        <w:t>）本公司销售商品收入确认的具体判断标准</w:t>
      </w:r>
    </w:p>
    <w:p>
      <w:pPr>
        <w:pStyle w:val="BodyText"/>
        <w:spacing w:line="300" w:lineRule="auto" w:before="63"/>
        <w:ind w:left="2268" w:right="1115" w:firstLine="21"/>
        <w:jc w:val="left"/>
      </w:pPr>
      <w:r>
        <w:rPr/>
        <w:t>公司主要业务为超细纤维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17"/>
        </w:rPr>
        <w:t> </w:t>
      </w:r>
      <w:r>
        <w:rPr/>
        <w:t>合成革的研制开发、生产、销售与服务，报告期内不同业务类别的收入具体确 认原则如下：</w:t>
      </w:r>
    </w:p>
    <w:p>
      <w:pPr>
        <w:pStyle w:val="BodyText"/>
        <w:spacing w:line="312" w:lineRule="auto" w:before="31"/>
        <w:ind w:left="2268" w:right="1122" w:firstLine="21"/>
        <w:jc w:val="left"/>
      </w:pPr>
      <w:r>
        <w:rPr>
          <w:rFonts w:ascii="Times New Roman" w:hAnsi="Times New Roman" w:cs="Times New Roman" w:eastAsia="Times New Roman" w:hint="default"/>
        </w:rPr>
        <w:t>1</w:t>
      </w:r>
      <w:r>
        <w:rPr/>
        <w:t>）在同时具备下列条件后确认内销收入： 根据与客户签订的销售协议的规定，完成相关产品生产，经检验合格交与客户，根据合同规定的金额开具发</w:t>
      </w:r>
      <w:r>
        <w:rPr>
          <w:spacing w:val="-74"/>
        </w:rPr>
        <w:t> </w:t>
      </w:r>
      <w:r>
        <w:rPr>
          <w:spacing w:val="-74"/>
        </w:rPr>
      </w:r>
      <w:r>
        <w:rPr/>
        <w:t>票；产品销售收入货款金额已确定，款项已收讫或预计可以收回；销售产品的单位成本能够合理计算。 </w:t>
      </w:r>
      <w:r>
        <w:rPr>
          <w:rFonts w:ascii="Times New Roman" w:hAnsi="Times New Roman" w:cs="Times New Roman" w:eastAsia="Times New Roman" w:hint="default"/>
        </w:rPr>
        <w:t>2</w:t>
      </w:r>
      <w:r>
        <w:rPr/>
        <w:t>）在同时具备下列条件后确认外销收入： 根据与客户签订的出口销售协议的规定，完成相关产品生产，经检验合格后向海关报关出口，取得报关单，</w:t>
      </w:r>
      <w:r>
        <w:rPr>
          <w:spacing w:val="-74"/>
        </w:rPr>
        <w:t> </w:t>
      </w:r>
      <w:r>
        <w:rPr>
          <w:spacing w:val="-74"/>
        </w:rPr>
      </w:r>
      <w:r>
        <w:rPr>
          <w:spacing w:val="-3"/>
        </w:rPr>
        <w:t>并取得提单（运单）；产品出口收入货款金额已确定，款项已收讫或预计可以收回，并开具出口销售发票；出</w:t>
      </w:r>
      <w:r>
        <w:rPr>
          <w:spacing w:val="-85"/>
        </w:rPr>
        <w:t> </w:t>
      </w:r>
      <w:r>
        <w:rPr>
          <w:spacing w:val="-85"/>
        </w:rPr>
      </w:r>
      <w:r>
        <w:rPr/>
        <w:t>口产品的单位成本能够合理计算。</w:t>
      </w:r>
    </w:p>
    <w:p>
      <w:pPr>
        <w:pStyle w:val="BodyText"/>
        <w:spacing w:line="300" w:lineRule="auto" w:before="22"/>
        <w:ind w:left="2289" w:right="3608"/>
        <w:jc w:val="left"/>
      </w:pPr>
      <w:r>
        <w:rPr/>
        <w:t>（</w:t>
      </w:r>
      <w:r>
        <w:rPr>
          <w:rFonts w:ascii="Times New Roman" w:hAnsi="Times New Roman" w:cs="Times New Roman" w:eastAsia="Times New Roman" w:hint="default"/>
        </w:rPr>
        <w:t>3</w:t>
      </w:r>
      <w:r>
        <w:rPr/>
        <w:t>）关于本公司销售商品收入相应的业务特点分析和介绍 公司主要产品为超细纤维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44"/>
        </w:rPr>
        <w:t> </w:t>
      </w:r>
      <w:r>
        <w:rPr/>
        <w:t>合成革系列产品，主要包括超细纤维基布、超</w:t>
      </w:r>
    </w:p>
    <w:p>
      <w:pPr>
        <w:pStyle w:val="BodyText"/>
        <w:spacing w:line="316" w:lineRule="auto" w:before="13"/>
        <w:ind w:left="2268" w:right="0" w:firstLine="21"/>
        <w:jc w:val="left"/>
      </w:pPr>
      <w:r>
        <w:rPr/>
        <w:t>细纤维绒面革和超细纤维贴面革。产品销售分为国内销售与出口销售，其中主要为国内销售；公司销售模式 分为直销模式和经销模式两种，其中，以直销模式作为公司的主要销售模式。</w:t>
      </w:r>
    </w:p>
    <w:p>
      <w:pPr>
        <w:pStyle w:val="BodyText"/>
        <w:spacing w:line="240" w:lineRule="auto" w:before="19"/>
        <w:ind w:left="2290" w:right="0"/>
        <w:jc w:val="left"/>
      </w:pPr>
      <w:r>
        <w:rPr/>
        <w:t>（</w:t>
      </w:r>
      <w:r>
        <w:rPr>
          <w:rFonts w:ascii="Times New Roman" w:hAnsi="Times New Roman" w:cs="Times New Roman" w:eastAsia="Times New Roman" w:hint="default"/>
        </w:rPr>
        <w:t>4</w:t>
      </w:r>
      <w:r>
        <w:rPr/>
        <w:t>）本公司销售商品收入所采用的会计政策与同行业其他上市公司不存在显著差别。</w:t>
      </w:r>
    </w:p>
    <w:p>
      <w:pPr>
        <w:pStyle w:val="BodyText"/>
        <w:spacing w:line="240" w:lineRule="auto" w:before="63"/>
        <w:ind w:left="2390" w:right="0"/>
        <w:jc w:val="left"/>
      </w:pPr>
      <w:r>
        <w:rPr>
          <w:rFonts w:ascii="Times New Roman" w:hAnsi="Times New Roman" w:cs="Times New Roman" w:eastAsia="Times New Roman" w:hint="default"/>
        </w:rPr>
        <w:t>2</w:t>
      </w:r>
      <w:r>
        <w:rPr/>
        <w:t>、</w:t>
      </w:r>
      <w:r>
        <w:rPr>
          <w:spacing w:val="63"/>
        </w:rPr>
        <w:t> </w:t>
      </w:r>
      <w:r>
        <w:rPr/>
        <w:t>让渡资产使用权收入的确认和计量原则</w:t>
      </w:r>
    </w:p>
    <w:p>
      <w:pPr>
        <w:pStyle w:val="BodyText"/>
        <w:spacing w:line="309" w:lineRule="auto" w:before="63"/>
        <w:ind w:left="2409" w:right="1118"/>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w:t>
      </w:r>
      <w:r>
        <w:rPr>
          <w:spacing w:val="-22"/>
        </w:rPr>
        <w:t> </w:t>
      </w:r>
      <w:r>
        <w:rPr>
          <w:spacing w:val="-22"/>
        </w:rPr>
      </w:r>
      <w:r>
        <w:rPr/>
        <w:t>权收入金额：</w:t>
      </w:r>
    </w:p>
    <w:p>
      <w:pPr>
        <w:pStyle w:val="BodyText"/>
        <w:spacing w:line="240" w:lineRule="auto" w:before="24"/>
        <w:ind w:left="2410" w:right="0"/>
        <w:jc w:val="left"/>
      </w:pPr>
      <w:r>
        <w:rPr/>
        <w:t>①利息收入金额，按照他人使用本企业货币资金的时间和实际利率计算确定。</w:t>
      </w:r>
    </w:p>
    <w:p>
      <w:pPr>
        <w:pStyle w:val="BodyText"/>
        <w:spacing w:line="240" w:lineRule="auto" w:before="76"/>
        <w:ind w:left="2410" w:right="0"/>
        <w:jc w:val="left"/>
      </w:pPr>
      <w:r>
        <w:rPr/>
        <w:t>②使用费收入金额，按照有关合同或协议约定的收费时间和方法计算确定。</w:t>
      </w:r>
    </w:p>
    <w:p>
      <w:pPr>
        <w:pStyle w:val="BodyText"/>
        <w:spacing w:line="300" w:lineRule="auto" w:before="76"/>
        <w:ind w:left="2409" w:right="5967"/>
        <w:jc w:val="left"/>
      </w:pPr>
      <w:r>
        <w:rPr/>
        <w:t>（</w:t>
      </w:r>
      <w:r>
        <w:rPr>
          <w:rFonts w:ascii="Times New Roman" w:hAnsi="Times New Roman" w:cs="Times New Roman" w:eastAsia="Times New Roman" w:hint="default"/>
        </w:rPr>
        <w:t>2</w:t>
      </w:r>
      <w:r>
        <w:rPr/>
        <w:t>）本公司确认让渡资产使用权收入的依据 本公司本期无让渡资产使用权收入。</w:t>
      </w:r>
    </w:p>
    <w:p>
      <w:pPr>
        <w:spacing w:after="0" w:line="30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0、政府补助" w:id="189"/>
      <w:bookmarkEnd w:id="189"/>
      <w:r>
        <w:rPr>
          <w:b w:val="0"/>
          <w:bCs w:val="0"/>
        </w:rPr>
      </w:r>
      <w:r>
        <w:rPr>
          <w:rFonts w:ascii="Times New Roman" w:hAnsi="Times New Roman" w:cs="Times New Roman" w:eastAsia="Times New Roman" w:hint="default"/>
        </w:rPr>
        <w:t>20</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0"/>
      <w:bookmarkEnd w:id="19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94" w:right="1126"/>
        <w:jc w:val="left"/>
      </w:pPr>
      <w:r>
        <w:rPr/>
        <w:t>本公司将政府补助划分为与资产相关的具体标准为： 本公司将所取得的用于购建或以其他方式形成长期资产的政府补助界定为与资产相关的政府补助； </w:t>
      </w:r>
      <w:r>
        <w:rPr>
          <w:spacing w:val="-2"/>
        </w:rPr>
        <w:t>与购建固定资产、无形资产等长期资产相关的政府补助，确认为递延收益，按照所建造或购买的资产使用年</w:t>
      </w:r>
      <w:r>
        <w:rPr>
          <w:spacing w:val="-80"/>
        </w:rPr>
        <w:t> </w:t>
      </w:r>
      <w:r>
        <w:rPr>
          <w:spacing w:val="-80"/>
        </w:rPr>
      </w:r>
      <w:r>
        <w:rPr/>
        <w:t>限分期计入营业外收入；</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与收益相关的政府补助判断依据及会计处理方法" w:id="191"/>
      <w:bookmarkEnd w:id="19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94" w:right="1126"/>
        <w:jc w:val="left"/>
      </w:pPr>
      <w:r>
        <w:rPr/>
        <w:t>本公司将政府补助划分为与收益相关的具体标准为： 资产相关的政府补助之外的政府补助界定为与收益相关的政府补助； </w:t>
      </w:r>
      <w:r>
        <w:rPr>
          <w:spacing w:val="-2"/>
        </w:rPr>
        <w:t>与收益相关的政府补助，用于补偿企业以后期间的相关费用或损失的，取得时确认为递延收益，在确认相关</w:t>
      </w:r>
      <w:r>
        <w:rPr>
          <w:spacing w:val="-80"/>
        </w:rPr>
        <w:t> </w:t>
      </w:r>
      <w:r>
        <w:rPr>
          <w:spacing w:val="-80"/>
        </w:rPr>
      </w:r>
      <w:r>
        <w:rPr>
          <w:spacing w:val="-2"/>
        </w:rPr>
        <w:t>费用的期间计入当期营业外收入；用于补偿企业已发生的相关费用或损失的，取得时直接计入当期营业外收</w:t>
      </w:r>
      <w:r>
        <w:rPr>
          <w:spacing w:val="-78"/>
        </w:rPr>
        <w:t> </w:t>
      </w:r>
      <w:r>
        <w:rPr>
          <w:spacing w:val="-78"/>
        </w:rPr>
      </w:r>
      <w:r>
        <w:rPr/>
        <w:t>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递延所得税资产/递延所得税负债" w:id="192"/>
      <w:bookmarkEnd w:id="192"/>
      <w:r>
        <w:rPr>
          <w:b w:val="0"/>
          <w:bCs w:val="0"/>
        </w:rPr>
      </w: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983" w:right="1118"/>
        <w:jc w:val="left"/>
      </w:pPr>
      <w:r>
        <w:rPr>
          <w:spacing w:val="-1"/>
        </w:rPr>
        <w:t>对于可抵扣暂时性差异确认递延所得税资产，以未来期间很可能取得的用来抵扣可抵扣暂时性差异的应纳税所得</w:t>
      </w:r>
      <w:r>
        <w:rPr>
          <w:spacing w:val="-74"/>
        </w:rPr>
        <w:t> </w:t>
      </w:r>
      <w:r>
        <w:rPr>
          <w:spacing w:val="-74"/>
        </w:rPr>
      </w:r>
      <w:r>
        <w:rPr>
          <w:spacing w:val="-1"/>
        </w:rPr>
        <w:t>额为限。对于能够结转以后年度的可抵扣亏损和税款抵减，以很可能获得用来抵扣可抵扣亏损和税款抵减的未来</w:t>
      </w:r>
      <w:r>
        <w:rPr>
          <w:spacing w:val="-73"/>
        </w:rPr>
        <w:t> </w:t>
      </w:r>
      <w:r>
        <w:rPr>
          <w:spacing w:val="-73"/>
        </w:rPr>
      </w:r>
      <w:r>
        <w:rPr/>
        <w:t>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不确认递延所得税资产或递延所得税负债的特殊情况包括：商誉的初始确认；除企业合并以外的发生时既不影响</w:t>
      </w:r>
      <w:r>
        <w:rPr>
          <w:spacing w:val="-73"/>
        </w:rPr>
        <w:t> </w:t>
      </w:r>
      <w:r>
        <w:rPr>
          <w:spacing w:val="-73"/>
        </w:rPr>
      </w:r>
      <w:r>
        <w:rPr/>
        <w:t>会计利润也不影响应纳税所得额（或可抵扣亏损）的其他交易或事项。 </w:t>
      </w:r>
      <w:r>
        <w:rPr>
          <w:spacing w:val="-1"/>
        </w:rPr>
        <w:t>当拥有以净额结算的法定权利，且意图以净额结算或取得资产、清偿负债同时进行时，当期所得税资产及当期所</w:t>
      </w:r>
      <w:r>
        <w:rPr>
          <w:spacing w:val="-74"/>
        </w:rPr>
        <w:t> </w:t>
      </w:r>
      <w:r>
        <w:rPr>
          <w:spacing w:val="-74"/>
        </w:rPr>
      </w:r>
      <w:r>
        <w:rPr/>
        <w:t>得税负债以抵销后的净额列报。 </w:t>
      </w:r>
      <w:r>
        <w:rPr>
          <w:spacing w:val="-1"/>
        </w:rPr>
        <w:t>当拥有以净额结算当期所得税资产及当期所得税负债的法定权利，且递延所得税资产及递延所得税负债是与同一</w:t>
      </w:r>
      <w:r>
        <w:rPr>
          <w:spacing w:val="-74"/>
        </w:rPr>
        <w:t> </w:t>
      </w:r>
      <w:r>
        <w:rPr>
          <w:spacing w:val="-74"/>
        </w:rPr>
      </w:r>
      <w:r>
        <w:rPr>
          <w:spacing w:val="-1"/>
        </w:rPr>
        <w:t>税收征管部门对同一纳税主体征收的所得税相关或者是对不同的纳税主体相关，但在未来每一具有重要性的递延</w:t>
      </w:r>
      <w:r>
        <w:rPr>
          <w:spacing w:val="-74"/>
        </w:rPr>
        <w:t> </w:t>
      </w:r>
      <w:r>
        <w:rPr>
          <w:spacing w:val="-74"/>
        </w:rPr>
      </w:r>
      <w:r>
        <w:rPr>
          <w:spacing w:val="-1"/>
        </w:rPr>
        <w:t>所得税资产及负债转回的期间内，涉及的纳税主体意图以净额结算当期所得税资产和负债或是同时取得资产、清</w:t>
      </w:r>
      <w:r>
        <w:rPr>
          <w:spacing w:val="-73"/>
        </w:rPr>
        <w:t> </w:t>
      </w:r>
      <w:r>
        <w:rPr>
          <w:spacing w:val="-73"/>
        </w:rPr>
      </w:r>
      <w:r>
        <w:rPr/>
        <w:t>偿负债时，递延所得税资产及递延所得税负债以抵销后的净额列报。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2、重要会计政策和会计估计变更" w:id="193"/>
      <w:bookmarkEnd w:id="193"/>
      <w:r>
        <w:rPr>
          <w:b w:val="0"/>
          <w:bCs w:val="0"/>
        </w:rPr>
      </w:r>
      <w:r>
        <w:rPr>
          <w:rFonts w:ascii="Times New Roman" w:hAnsi="Times New Roman" w:cs="Times New Roman" w:eastAsia="Times New Roman" w:hint="default"/>
        </w:rPr>
        <w:t>22</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194"/>
      <w:bookmarkEnd w:id="19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重要会计估计变更" w:id="195"/>
      <w:bookmarkEnd w:id="19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 适用 √ 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196"/>
      <w:bookmarkEnd w:id="19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税种及税率" w:id="197"/>
      <w:bookmarkEnd w:id="19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98"/>
      <w:bookmarkEnd w:id="19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852" w:right="1132"/>
        <w:jc w:val="both"/>
      </w:pPr>
      <w:r>
        <w:rPr/>
        <w:t>根据《高新技术企业认定管理办法》（国科发火</w:t>
      </w:r>
      <w:r>
        <w:rPr>
          <w:rFonts w:ascii="Times New Roman" w:hAnsi="Times New Roman" w:cs="Times New Roman" w:eastAsia="Times New Roman" w:hint="default"/>
        </w:rPr>
        <w:t>[2008]172</w:t>
      </w:r>
      <w:r>
        <w:rPr/>
        <w:t>号）和《高新技术企业认定管理工作指引》（国科发火</w:t>
      </w:r>
      <w:r>
        <w:rPr>
          <w:spacing w:val="-57"/>
        </w:rPr>
        <w:t> </w:t>
      </w:r>
      <w:r>
        <w:rPr>
          <w:spacing w:val="-57"/>
        </w:rPr>
      </w:r>
      <w:r>
        <w:rPr>
          <w:rFonts w:ascii="Times New Roman" w:hAnsi="Times New Roman" w:cs="Times New Roman" w:eastAsia="Times New Roman" w:hint="default"/>
        </w:rPr>
        <w:t>[2008]362</w:t>
      </w:r>
      <w:r>
        <w:rPr/>
        <w:t>号）有关规定，上海市科学技术委员会、上海市财政局、上海市国家税务局、上海市地方税务局联合颁</w:t>
      </w:r>
      <w:r>
        <w:rPr>
          <w:spacing w:val="-32"/>
        </w:rPr>
        <w:t> </w:t>
      </w:r>
      <w:r>
        <w:rPr>
          <w:spacing w:val="-32"/>
        </w:rPr>
      </w:r>
      <w:r>
        <w:rPr>
          <w:spacing w:val="-4"/>
        </w:rPr>
        <w:t>发《高新技术企业证书》（证书编号：</w:t>
      </w:r>
      <w:r>
        <w:rPr>
          <w:rFonts w:ascii="Times New Roman" w:hAnsi="Times New Roman" w:cs="Times New Roman" w:eastAsia="Times New Roman" w:hint="default"/>
          <w:spacing w:val="-4"/>
        </w:rPr>
        <w:t>GR201431000649</w:t>
      </w:r>
      <w:r>
        <w:rPr>
          <w:spacing w:val="-4"/>
        </w:rPr>
        <w:t>），认定本公司为高新技术企业，认定有效期为</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8"/>
        </w:rPr>
        <w:t> </w:t>
      </w:r>
      <w:r>
        <w:rPr/>
        <w:t>年，企业所得税税率按照</w:t>
      </w:r>
      <w:r>
        <w:rPr>
          <w:rFonts w:ascii="Times New Roman" w:hAnsi="Times New Roman" w:cs="Times New Roman" w:eastAsia="Times New Roman" w:hint="default"/>
        </w:rPr>
        <w:t>15%</w:t>
      </w:r>
      <w:r>
        <w:rPr/>
        <w:t>执行。</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199"/>
      <w:bookmarkEnd w:id="19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00"/>
      <w:bookmarkEnd w:id="20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82,671.93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78,003,317.75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191,226,730.44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31,611,658.58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109,672,750.16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r>
    </w:tbl>
    <w:p>
      <w:pPr>
        <w:pStyle w:val="BodyText"/>
        <w:spacing w:line="240" w:lineRule="auto" w:before="51"/>
        <w:ind w:left="1134" w:right="0"/>
        <w:jc w:val="left"/>
      </w:pPr>
      <w:r>
        <w:rPr/>
        <w:t>其他说明</w:t>
      </w:r>
    </w:p>
    <w:p>
      <w:pPr>
        <w:pStyle w:val="BodyText"/>
        <w:tabs>
          <w:tab w:pos="7432" w:val="left" w:leader="none"/>
        </w:tabs>
        <w:spacing w:line="240" w:lineRule="auto" w:before="116"/>
        <w:ind w:left="1852" w:right="0"/>
        <w:jc w:val="left"/>
      </w:pPr>
      <w:r>
        <w:rPr/>
        <w:t>期末受限制的货币资金明细如下：</w:t>
        <w:tab/>
        <w:t>单位：元</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3795"/>
        <w:gridCol w:w="2410"/>
        <w:gridCol w:w="2319"/>
      </w:tblGrid>
      <w:tr>
        <w:trPr>
          <w:trHeight w:val="355" w:hRule="exact"/>
        </w:trPr>
        <w:tc>
          <w:tcPr>
            <w:tcW w:w="3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795"/>
        <w:gridCol w:w="2410"/>
        <w:gridCol w:w="2319"/>
      </w:tblGrid>
      <w:tr>
        <w:trPr>
          <w:trHeight w:val="355" w:hRule="exact"/>
        </w:trPr>
        <w:tc>
          <w:tcPr>
            <w:tcW w:w="3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18,586,658.58</w:t>
            </w:r>
          </w:p>
        </w:tc>
        <w:tc>
          <w:tcPr>
            <w:tcW w:w="2319"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13,025,000.00</w:t>
            </w:r>
          </w:p>
        </w:tc>
        <w:tc>
          <w:tcPr>
            <w:tcW w:w="2319"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31,611,658.58</w:t>
            </w:r>
          </w:p>
        </w:tc>
        <w:tc>
          <w:tcPr>
            <w:tcW w:w="231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收票据" w:id="201"/>
      <w:bookmarkEnd w:id="201"/>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02"/>
      <w:bookmarkEnd w:id="20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139,025,529.95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157,464,403.01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139,025,529.95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157,464,403.01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03"/>
      <w:bookmarkEnd w:id="20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68,098,206.35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68,098,206.35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04"/>
      <w:bookmarkEnd w:id="20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256,060,306.60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77,695,828.76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256,060,306.60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77,695,828.76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05"/>
      <w:bookmarkEnd w:id="205"/>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06"/>
      <w:bookmarkEnd w:id="20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107,767,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297.26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5,649,75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102,117,5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5,276,398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96,951,195.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107,767,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297.26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5,649,75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102,117,5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39.99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5,276,398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96,951,195.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106,241,936.05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5,312,096.80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1,211,559.91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242,311.98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312,075.45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93,622.64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107,767,297.26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5,649,757.27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2）本期计提、收回或转回的坏账准备情况" w:id="207"/>
      <w:bookmarkEnd w:id="2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396,129.36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应收账款情况" w:id="208"/>
      <w:bookmarkEnd w:id="20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22,770.61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209"/>
      <w:bookmarkEnd w:id="20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476"/>
        <w:gridCol w:w="2169"/>
        <w:gridCol w:w="2047"/>
        <w:gridCol w:w="1832"/>
      </w:tblGrid>
      <w:tr>
        <w:trPr>
          <w:trHeight w:val="355" w:hRule="exact"/>
        </w:trPr>
        <w:tc>
          <w:tcPr>
            <w:tcW w:w="247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4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476" w:type="dxa"/>
            <w:vMerge/>
            <w:tcBorders>
              <w:left w:val="single" w:sz="6" w:space="0" w:color="000000"/>
              <w:bottom w:val="single" w:sz="12" w:space="0" w:color="000000"/>
              <w:right w:val="single" w:sz="6" w:space="0" w:color="000000"/>
            </w:tcBorders>
          </w:tcPr>
          <w:p>
            <w:pP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0" w:right="205"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14,235,498.33</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13.21</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711,774.92</w:t>
            </w:r>
          </w:p>
        </w:tc>
      </w:tr>
      <w:tr>
        <w:trPr>
          <w:trHeight w:val="352"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9,537,628.36</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8.85</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476,881.42</w:t>
            </w:r>
          </w:p>
        </w:tc>
      </w:tr>
      <w:tr>
        <w:trPr>
          <w:trHeight w:val="352"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7,995,992.17</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7.42</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399,799.61</w:t>
            </w:r>
          </w:p>
        </w:tc>
      </w:tr>
      <w:tr>
        <w:trPr>
          <w:trHeight w:val="353"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5,500,000.00</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5.10</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275,000.00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476"/>
        <w:gridCol w:w="2169"/>
        <w:gridCol w:w="2047"/>
        <w:gridCol w:w="1832"/>
      </w:tblGrid>
      <w:tr>
        <w:trPr>
          <w:trHeight w:val="355" w:hRule="exact"/>
        </w:trPr>
        <w:tc>
          <w:tcPr>
            <w:tcW w:w="2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3,370,655.00</w:t>
            </w:r>
          </w:p>
        </w:tc>
        <w:tc>
          <w:tcPr>
            <w:tcW w:w="2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3.13</w:t>
            </w:r>
          </w:p>
        </w:tc>
        <w:tc>
          <w:tcPr>
            <w:tcW w:w="18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168,532.75</w:t>
            </w:r>
          </w:p>
        </w:tc>
      </w:tr>
      <w:tr>
        <w:trPr>
          <w:trHeight w:val="353" w:hRule="exact"/>
        </w:trPr>
        <w:tc>
          <w:tcPr>
            <w:tcW w:w="2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40,639,773.86</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37.71</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2,031,988.70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right="0"/>
        <w:jc w:val="left"/>
        <w:rPr>
          <w:b w:val="0"/>
          <w:bCs w:val="0"/>
        </w:rPr>
      </w:pPr>
      <w:bookmarkStart w:name="4、预付款项" w:id="210"/>
      <w:bookmarkEnd w:id="21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11"/>
      <w:bookmarkEnd w:id="21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17,603,420.73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9,581,601.15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422,379.45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280,363.78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18,076,416.85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9,861,964.93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12"/>
      <w:bookmarkEnd w:id="21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669"/>
        <w:jc w:val="right"/>
      </w:pPr>
      <w:r>
        <w:rPr/>
        <w:t>单位：元</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381"/>
        <w:gridCol w:w="2555"/>
        <w:gridCol w:w="2588"/>
      </w:tblGrid>
      <w:tr>
        <w:trPr>
          <w:trHeight w:val="667" w:hRule="exact"/>
        </w:trPr>
        <w:tc>
          <w:tcPr>
            <w:tcW w:w="3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8"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745" w:right="573"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53"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5,738,560.00</w:t>
            </w:r>
          </w:p>
        </w:tc>
        <w:tc>
          <w:tcPr>
            <w:tcW w:w="25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31.75%</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2,888,000.00</w:t>
            </w:r>
          </w:p>
        </w:tc>
        <w:tc>
          <w:tcPr>
            <w:tcW w:w="25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15.98%</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1,570,205.50</w:t>
            </w:r>
          </w:p>
        </w:tc>
        <w:tc>
          <w:tcPr>
            <w:tcW w:w="25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8.69%</w:t>
            </w:r>
          </w:p>
        </w:tc>
      </w:tr>
      <w:tr>
        <w:trPr>
          <w:trHeight w:val="353"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956,042.51</w:t>
            </w:r>
          </w:p>
        </w:tc>
        <w:tc>
          <w:tcPr>
            <w:tcW w:w="25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5.29%</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816,350.40</w:t>
            </w:r>
          </w:p>
        </w:tc>
        <w:tc>
          <w:tcPr>
            <w:tcW w:w="25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4.52%</w:t>
            </w:r>
          </w:p>
        </w:tc>
      </w:tr>
      <w:tr>
        <w:trPr>
          <w:trHeight w:val="352" w:hRule="exact"/>
        </w:trPr>
        <w:tc>
          <w:tcPr>
            <w:tcW w:w="33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11,969,158.41</w:t>
            </w:r>
          </w:p>
        </w:tc>
        <w:tc>
          <w:tcPr>
            <w:tcW w:w="25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66.23%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应收款" w:id="213"/>
      <w:bookmarkEnd w:id="213"/>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14"/>
      <w:bookmarkEnd w:id="21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7,066,91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495,991.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6,570,918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4,868,1</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278,481.7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7,066,91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495,991.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6,570,918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4,868,1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278,481.7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57" w:lineRule="auto" w:before="117"/>
        <w:ind w:left="1134" w:right="160"/>
        <w:jc w:val="left"/>
      </w:pPr>
      <w:r>
        <w:rPr/>
        <w:t>□ 适用 √ 不适用 组合中，按账龄分析法计提坏账准备的其他应收款：</w:t>
      </w:r>
    </w:p>
    <w:p>
      <w:pPr>
        <w:pStyle w:val="BodyText"/>
        <w:spacing w:line="240" w:lineRule="auto" w:before="28"/>
        <w:ind w:left="113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6,425,249.32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321,262.46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517,890.63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103,578.13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75,170.52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7,066,910.47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495,991.75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60" w:lineRule="auto" w:before="26"/>
        <w:ind w:left="1134" w:right="6612"/>
        <w:jc w:val="left"/>
      </w:pPr>
      <w:r>
        <w:rPr/>
        <w:t>□ 适用 √ 不适用 组合中，采用其他方法计提坏账准备的其他应收款：</w:t>
      </w:r>
    </w:p>
    <w:p>
      <w:pPr>
        <w:pStyle w:val="BodyText"/>
        <w:spacing w:line="240" w:lineRule="auto" w:before="26"/>
        <w:ind w:left="113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15"/>
      <w:bookmarkEnd w:id="2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217,510.01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其他应收款按款项性质分类情况" w:id="216"/>
      <w:bookmarkEnd w:id="21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预付进口关税及增值税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480,310.77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3,030,696.40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474,492.76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4,235,034.62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1,315,527.81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856,607.17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1,036,037.27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506,315.46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7,066,910.47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4,868,111.79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按欠款方归集的期末余额前五名的其他应收款情况" w:id="217"/>
      <w:bookmarkEnd w:id="21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4,016,700.62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200,835.03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9"/>
              <w:jc w:val="left"/>
              <w:rPr>
                <w:rFonts w:ascii="宋体" w:hAnsi="宋体" w:cs="宋体" w:eastAsia="宋体" w:hint="default"/>
                <w:sz w:val="18"/>
                <w:szCs w:val="18"/>
              </w:rPr>
            </w:pPr>
            <w:r>
              <w:rPr>
                <w:rFonts w:ascii="宋体" w:hAnsi="宋体" w:cs="宋体" w:eastAsia="宋体" w:hint="default"/>
                <w:sz w:val="18"/>
                <w:szCs w:val="18"/>
              </w:rPr>
              <w:t>预付进口关税及增 值税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480,310.77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24,015.54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218,334.00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10,916.70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218,221.52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10,911.08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5,083,566.91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254,178.35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存货" w:id="218"/>
      <w:bookmarkEnd w:id="218"/>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9"/>
      <w:bookmarkEnd w:id="21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52,398,539.18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52,398,539.18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61,028,510.26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61,028,510.26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44,140,940.11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44,140,940.11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51,899,021.05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51,899,021.05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84,171,309.98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3,282,365.70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80,888,944.28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80,202,104.66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79,384,632.65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6,429,848.66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6,429,848.66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4,478,351.18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4,478,351.18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5,866,733.22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5,866,733.22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4,997,165.02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4,997,165.02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193,007,371.15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3,282,365.70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189,725,005.45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202,605,152.17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201,787,680.16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20"/>
      <w:bookmarkEnd w:id="22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2,986,726.08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521,832.39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3,282,365.70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2,986,726.08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521,832.39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3,282,365.70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其他流动资产" w:id="221"/>
      <w:bookmarkEnd w:id="221"/>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42,475,883.52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42,475,883.52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8、固定资产" w:id="222"/>
      <w:bookmarkEnd w:id="222"/>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23"/>
      <w:bookmarkEnd w:id="22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315,911,029.08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659,799,651.15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10,134,602.44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12,926,188.83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998,771,471.50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4,148,738.00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133,685,392.45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2,216,483.97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4,484,756.13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144,535,370.55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1,305,223.00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8,818,221.69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2,216,483.97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4,484,756.13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16,824,684.79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2,843,515.00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124,867,170.76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127,710,685.76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51,192,150.94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321,815.00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51,541,904.40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51,192,150.94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321,815.00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51,541,904.40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320,059,767.08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742,292,892.66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12,029,271.41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17,383,006.50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1,091,764,937.65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73,281,822.62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226,875,219.72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6,000,475.96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6,830,415.67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312,987,933.97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15,222,581.90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52,429,292.36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1,310,003.90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4,575,373.96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73,537,252.12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15,222,581.90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52,429,292.36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1,310,003.90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4,575,373.96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73,537,252.12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33,168,448.52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305,724.25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33,500,714.31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33,168,448.52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305,724.25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26,541.54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33,500,714.31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88,504,404.52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246,136,063.56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7,004,755.61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11,379,248.09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353,024,471.78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231,555,362.56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496,156,829.10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5,024,515.80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6,003,758.41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738,740,465.87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242,629,206.46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432,924,431.43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4,134,126.48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6,095,773.16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685,783,537.53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在建工程" w:id="224"/>
      <w:bookmarkEnd w:id="224"/>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25"/>
      <w:bookmarkEnd w:id="22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283,817,253.13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283,817,253.13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16,317,999.47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16,317,999.47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527,999,987.70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527,999,987.70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1,671,198.22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1,671,198.22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811,817,240.83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811,817,240.83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17,989,197.69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17,989,197.69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26"/>
      <w:bookmarkEnd w:id="22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安装工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16,317,9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99.47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392,366,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424.42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124,867,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170.76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283,817,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253.13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建筑工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1,671,19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529,172,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304.48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2,843,51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527,999,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987.70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17,989,1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97.69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921,538,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728.90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127,710,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685.76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811,817,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240.83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0、工程物资" w:id="227"/>
      <w:bookmarkEnd w:id="227"/>
      <w:r>
        <w:rPr>
          <w:b w:val="0"/>
          <w:bCs w:val="0"/>
        </w:rPr>
      </w:r>
      <w:r>
        <w:rPr>
          <w:rFonts w:ascii="Times New Roman" w:hAnsi="Times New Roman" w:cs="Times New Roman" w:eastAsia="Times New Roman" w:hint="default"/>
        </w:rPr>
        <w:t>10</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8,375,317.96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467,270.18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8,375,317.96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467,270.18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1、固定资产清理" w:id="228"/>
      <w:bookmarkEnd w:id="228"/>
      <w:r>
        <w:rPr>
          <w:b w:val="0"/>
          <w:bCs w:val="0"/>
        </w:rPr>
      </w:r>
      <w:r>
        <w:rPr>
          <w:rFonts w:ascii="Times New Roman" w:hAnsi="Times New Roman" w:cs="Times New Roman" w:eastAsia="Times New Roman" w:hint="default"/>
        </w:rPr>
        <w:t>11</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老厂区扩幅生产线处置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983,939.96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983,939.96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2、无形资产" w:id="229"/>
      <w:bookmarkEnd w:id="229"/>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30"/>
      <w:bookmarkEnd w:id="23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331,296,767.66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384,997.15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331,826,292.51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95,250.00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95,250.00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331,296,767.66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480,247.15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331,921,542.51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6,845,478.57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70,140.67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7,043,018.66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7,895,478.42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43,996.11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7,952,672.85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7,895,478.42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7,952,672.85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14,740,956.99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154,549.53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82,138.99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14,995,691.51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316,555,810.67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325,697.62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37,842.71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316,925,851.00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324,451,289.09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274,443.73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49,841.03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324,783,273.85</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未办妥产权证书的土地使用权情况" w:id="231"/>
      <w:bookmarkEnd w:id="23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123,527,041.78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3、长期待摊费用" w:id="232"/>
      <w:bookmarkEnd w:id="232"/>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571,792.00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416,095.55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155,696.45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571,792.00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416,095.55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155,696.45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4、递延所得税资产/递延所得税负债" w:id="233"/>
      <w:bookmarkEnd w:id="233"/>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34"/>
      <w:bookmarkEnd w:id="23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9,428,114.72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1,437,557.06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6,372,352.27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956,826.55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204,551,312.00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51,132,828.00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189,671,312.00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47,400,828.00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应付职工薪酬（期末已 计提未支付）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25,062,265.34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3,759,339.80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18,090,075.25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2,713,511.29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固定资产报废（房屋建 筑物）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811,654.69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121,748.20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可弥补的亏损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24,123,495.57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6,030,873.89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7,212,468.90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1,803,117.22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263,165,187.63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62,360,598.75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222,157,863.11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52,996,031.26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抵销后净额列示的递延所得税资产或负债" w:id="235"/>
      <w:bookmarkEnd w:id="235"/>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62,360,598.75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52,996,031.26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其他非流动资产" w:id="236"/>
      <w:bookmarkEnd w:id="236"/>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96,826,247.12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23,554,799.51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96,826,247.12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23,554,799.51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6、短期借款" w:id="237"/>
      <w:bookmarkEnd w:id="237"/>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38"/>
      <w:bookmarkEnd w:id="23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应付票据" w:id="239"/>
      <w:bookmarkEnd w:id="239"/>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97,849,034.91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97,849,034.91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8、应付账款" w:id="240"/>
      <w:bookmarkEnd w:id="240"/>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41"/>
      <w:bookmarkEnd w:id="24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328,909,850.63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68,475,927.11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5,285,866.69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114,665.50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100,865.50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28,660.01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258,760.01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334,555,342.83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68,849,352.62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预收款项" w:id="242"/>
      <w:bookmarkEnd w:id="242"/>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43"/>
      <w:bookmarkEnd w:id="24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14,323,585.92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6,883,809.87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537,824.69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97,787.41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17,182.22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10,990.62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15,067.75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14,893,660.58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7,003,834.15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付职工薪酬" w:id="244"/>
      <w:bookmarkEnd w:id="244"/>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45"/>
      <w:bookmarkEnd w:id="24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140,770,516.76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132,224,423.24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26,923,176.41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12,465,393.37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12,465,393.37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153,235,910.13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144,689,816.61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26,923,176.41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46"/>
      <w:bookmarkEnd w:id="24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18,259,233.67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119,491,511.34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110,798,797.89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26,951,947.12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11,228,308.32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11,228,308.32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5,626,986.27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5,626,986.27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3,544,486.25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3,544,486.25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117,849.22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879,224.58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1,025,844.51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-28,770.71</w:t>
            </w:r>
            <w:r>
              <w:rPr>
                <w:rFonts w:ascii="Times New Roman"/>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140,770,516.76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132,224,423.24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26,923,176.41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47"/>
      <w:bookmarkEnd w:id="24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11,697,567.87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11,697,567.87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767,825.50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767,825.50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12,465,393.37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12,465,393.37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1、应交税费" w:id="248"/>
      <w:bookmarkEnd w:id="248"/>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379,201.87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10,401,438.16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47,330,772.71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187,853.81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175,689.92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1,339,815.00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491,758.02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11,929,162.97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48,413,833.58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利息" w:id="249"/>
      <w:bookmarkEnd w:id="249"/>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214,444.44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214,444.44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其他应付款" w:id="250"/>
      <w:bookmarkEnd w:id="250"/>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51"/>
      <w:bookmarkEnd w:id="25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59,156.99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38,881.37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28,310,875.67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177,493.67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48,574,482.00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351,705.70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77,296,220.36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长期借款" w:id="252"/>
      <w:bookmarkEnd w:id="252"/>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53"/>
      <w:bookmarkEnd w:id="25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5、递延收益" w:id="254"/>
      <w:bookmarkEnd w:id="254"/>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206,086,312.00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218,956,312.00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206,086,312.00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218,956,312.00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技术中心建设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市级重点技改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江苏超纤专项资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187,413,912.00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202,413,912.00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江苏化学专项资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2,087,400.00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206,086,312.00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218,956,312.00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300" w:lineRule="auto" w:before="116"/>
        <w:ind w:left="1848" w:right="1125" w:firstLine="3"/>
        <w:jc w:val="left"/>
      </w:pPr>
      <w:r>
        <w:rPr>
          <w:rFonts w:ascii="Times New Roman" w:hAnsi="Times New Roman" w:cs="Times New Roman" w:eastAsia="Times New Roman" w:hint="default"/>
        </w:rPr>
        <w:t>1</w:t>
      </w:r>
      <w:r>
        <w:rPr/>
        <w:t>、根据上海市经济和信息化委员会、上海市财政局、上海市国家税务局、上海市地方税务局、中华人民共和国上</w:t>
      </w:r>
      <w:r>
        <w:rPr>
          <w:spacing w:val="-86"/>
        </w:rPr>
        <w:t> </w:t>
      </w:r>
      <w:r>
        <w:rPr>
          <w:spacing w:val="-86"/>
        </w:rPr>
      </w:r>
      <w:r>
        <w:rPr>
          <w:spacing w:val="-2"/>
          <w:w w:val="100"/>
        </w:rPr>
        <w:t>海海关文件</w:t>
      </w:r>
      <w:r>
        <w:rPr>
          <w:rFonts w:ascii="Times New Roman" w:hAnsi="Times New Roman" w:cs="Times New Roman" w:eastAsia="Times New Roman" w:hint="default"/>
          <w:spacing w:val="-2"/>
          <w:w w:val="100"/>
        </w:rPr>
        <w:t>“</w:t>
      </w:r>
      <w:r>
        <w:rPr>
          <w:spacing w:val="-2"/>
          <w:w w:val="100"/>
        </w:rPr>
        <w:t>沪经信技</w:t>
      </w:r>
      <w:r>
        <w:rPr>
          <w:rFonts w:ascii="Times New Roman" w:hAnsi="Times New Roman" w:cs="Times New Roman" w:eastAsia="Times New Roman" w:hint="default"/>
          <w:spacing w:val="-2"/>
          <w:w w:val="100"/>
        </w:rPr>
        <w:t>[2009]707</w:t>
      </w:r>
      <w:r>
        <w:rPr>
          <w:spacing w:val="-2"/>
          <w:w w:val="100"/>
        </w:rPr>
        <w:t>号</w:t>
      </w:r>
      <w:r>
        <w:rPr>
          <w:rFonts w:ascii="Times New Roman" w:hAnsi="Times New Roman" w:cs="Times New Roman" w:eastAsia="Times New Roman" w:hint="default"/>
          <w:spacing w:val="-2"/>
          <w:w w:val="100"/>
        </w:rPr>
        <w:t>”</w:t>
      </w:r>
      <w:r>
        <w:rPr>
          <w:spacing w:val="-2"/>
          <w:w w:val="100"/>
        </w:rPr>
        <w:t>，公司于</w:t>
      </w:r>
      <w:r>
        <w:rPr>
          <w:rFonts w:ascii="Times New Roman" w:hAnsi="Times New Roman" w:cs="Times New Roman" w:eastAsia="Times New Roman" w:hint="default"/>
          <w:spacing w:val="-2"/>
          <w:w w:val="100"/>
        </w:rPr>
        <w:t>2009</w:t>
      </w:r>
      <w:r>
        <w:rPr>
          <w:spacing w:val="-2"/>
          <w:w w:val="100"/>
        </w:rPr>
        <w:t>年</w:t>
      </w:r>
      <w:r>
        <w:rPr>
          <w:rFonts w:ascii="Times New Roman" w:hAnsi="Times New Roman" w:cs="Times New Roman" w:eastAsia="Times New Roman" w:hint="default"/>
          <w:spacing w:val="-2"/>
          <w:w w:val="100"/>
        </w:rPr>
        <w:t>12</w:t>
      </w:r>
      <w:r>
        <w:rPr>
          <w:spacing w:val="-2"/>
          <w:w w:val="100"/>
        </w:rPr>
        <w:t>月</w:t>
      </w:r>
      <w:r>
        <w:rPr>
          <w:rFonts w:ascii="Times New Roman" w:hAnsi="Times New Roman" w:cs="Times New Roman" w:eastAsia="Times New Roman" w:hint="default"/>
          <w:spacing w:val="-2"/>
          <w:w w:val="100"/>
        </w:rPr>
        <w:t>23</w:t>
      </w:r>
      <w:r>
        <w:rPr>
          <w:spacing w:val="-2"/>
          <w:w w:val="100"/>
        </w:rPr>
        <w:t>日收到上海市企业技术创新服务中心所拨入技术中心建设</w:t>
      </w:r>
      <w:r>
        <w:rPr>
          <w:spacing w:val="-62"/>
          <w:w w:val="100"/>
        </w:rPr>
        <w:t> </w:t>
      </w:r>
      <w:r>
        <w:rPr/>
        <w:t>专项补贴</w:t>
      </w:r>
      <w:r>
        <w:rPr>
          <w:rFonts w:ascii="Times New Roman" w:hAnsi="Times New Roman" w:cs="Times New Roman" w:eastAsia="Times New Roman" w:hint="default"/>
        </w:rPr>
        <w:t>60</w:t>
      </w:r>
      <w:r>
        <w:rPr/>
        <w:t>万元。该技术中心于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月份完成验收并投入使用，从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月份起按照</w:t>
      </w:r>
      <w:r>
        <w:rPr>
          <w:rFonts w:ascii="Times New Roman" w:hAnsi="Times New Roman" w:cs="Times New Roman" w:eastAsia="Times New Roman" w:hint="default"/>
        </w:rPr>
        <w:t>5</w:t>
      </w:r>
      <w:r>
        <w:rPr/>
        <w:t>年进行摊销，本期确认</w:t>
      </w:r>
      <w:r>
        <w:rPr>
          <w:spacing w:val="-87"/>
        </w:rPr>
        <w:t> </w:t>
      </w:r>
      <w:r>
        <w:rPr>
          <w:spacing w:val="-87"/>
        </w:rPr>
      </w:r>
      <w:r>
        <w:rPr/>
        <w:t>收益</w:t>
      </w:r>
      <w:r>
        <w:rPr>
          <w:rFonts w:ascii="Times New Roman" w:hAnsi="Times New Roman" w:cs="Times New Roman" w:eastAsia="Times New Roman" w:hint="default"/>
        </w:rPr>
        <w:t>120,000.00</w:t>
      </w:r>
      <w:r>
        <w:rPr/>
        <w:t>元，期末余额</w:t>
      </w:r>
      <w:r>
        <w:rPr>
          <w:rFonts w:ascii="Times New Roman" w:hAnsi="Times New Roman" w:cs="Times New Roman" w:eastAsia="Times New Roman" w:hint="default"/>
        </w:rPr>
        <w:t>50,000.00</w:t>
      </w:r>
      <w:r>
        <w:rPr/>
        <w:t>元。 </w:t>
      </w:r>
      <w:r>
        <w:rPr>
          <w:rFonts w:ascii="Times New Roman" w:hAnsi="Times New Roman" w:cs="Times New Roman" w:eastAsia="Times New Roman" w:hint="default"/>
          <w:spacing w:val="-2"/>
        </w:rPr>
        <w:t>2</w:t>
      </w:r>
      <w:r>
        <w:rPr>
          <w:spacing w:val="-2"/>
        </w:rPr>
        <w:t>、根据上海市金山区经济委员会《金山区经委关于上海华峰超纤材料股份有限公司年产</w:t>
      </w:r>
      <w:r>
        <w:rPr>
          <w:rFonts w:ascii="Times New Roman" w:hAnsi="Times New Roman" w:cs="Times New Roman" w:eastAsia="Times New Roman" w:hint="default"/>
          <w:spacing w:val="-2"/>
        </w:rPr>
        <w:t>600</w:t>
      </w:r>
      <w:r>
        <w:rPr>
          <w:spacing w:val="-2"/>
        </w:rPr>
        <w:t>万平米定岛超细纤维聚</w:t>
      </w:r>
      <w:r>
        <w:rPr>
          <w:spacing w:val="-66"/>
        </w:rPr>
        <w:t> </w:t>
      </w:r>
      <w:r>
        <w:rPr>
          <w:spacing w:val="-2"/>
        </w:rPr>
        <w:t>氨酯合成革生产投资建设项目上海市重点技术改造专项资金申请报告的批复</w:t>
      </w:r>
      <w:r>
        <w:rPr>
          <w:rFonts w:ascii="Times New Roman" w:hAnsi="Times New Roman" w:cs="Times New Roman" w:eastAsia="Times New Roman" w:hint="default"/>
          <w:spacing w:val="-2"/>
        </w:rPr>
        <w:t>{</w:t>
      </w:r>
      <w:r>
        <w:rPr>
          <w:spacing w:val="-2"/>
        </w:rPr>
        <w:t>沪府发</w:t>
      </w:r>
      <w:r>
        <w:rPr>
          <w:rFonts w:ascii="Times New Roman" w:hAnsi="Times New Roman" w:cs="Times New Roman" w:eastAsia="Times New Roman" w:hint="default"/>
          <w:spacing w:val="-2"/>
        </w:rPr>
        <w:t>[2004]52</w:t>
      </w:r>
      <w:r>
        <w:rPr>
          <w:spacing w:val="-2"/>
        </w:rPr>
        <w:t>号</w:t>
      </w:r>
      <w:r>
        <w:rPr>
          <w:rFonts w:ascii="Times New Roman" w:hAnsi="Times New Roman" w:cs="Times New Roman" w:eastAsia="Times New Roman" w:hint="default"/>
          <w:spacing w:val="-2"/>
        </w:rPr>
        <w:t>}</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34"/>
        </w:rPr>
        <w:t> </w:t>
      </w:r>
      <w:r>
        <w:rPr/>
        <w:t>月</w:t>
      </w:r>
      <w:r>
        <w:rPr>
          <w:rFonts w:ascii="Times New Roman" w:hAnsi="Times New Roman" w:cs="Times New Roman" w:eastAsia="Times New Roman" w:hint="default"/>
        </w:rPr>
        <w:t>14</w:t>
      </w:r>
      <w:r>
        <w:rPr/>
        <w:t>日收到上海市金山区财政局拨付的上海市重点技术改造项目专项资金</w:t>
      </w:r>
      <w:r>
        <w:rPr>
          <w:rFonts w:ascii="Times New Roman" w:hAnsi="Times New Roman" w:cs="Times New Roman" w:eastAsia="Times New Roman" w:hint="default"/>
        </w:rPr>
        <w:t>20,100,000.00</w:t>
      </w:r>
      <w:r>
        <w:rPr/>
        <w:t>元。该专项资金从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月份起按照</w:t>
      </w:r>
      <w:r>
        <w:rPr>
          <w:rFonts w:ascii="Times New Roman" w:hAnsi="Times New Roman" w:cs="Times New Roman" w:eastAsia="Times New Roman" w:hint="default"/>
        </w:rPr>
        <w:t>10</w:t>
      </w:r>
      <w:r>
        <w:rPr/>
        <w:t>年进行摊销，本期确认收益</w:t>
      </w:r>
      <w:r>
        <w:rPr>
          <w:rFonts w:ascii="Times New Roman" w:hAnsi="Times New Roman" w:cs="Times New Roman" w:eastAsia="Times New Roman" w:hint="default"/>
        </w:rPr>
        <w:t>2,010,000.00</w:t>
      </w:r>
      <w:r>
        <w:rPr/>
        <w:t>元，期末余额</w:t>
      </w:r>
      <w:r>
        <w:rPr>
          <w:rFonts w:ascii="Times New Roman" w:hAnsi="Times New Roman" w:cs="Times New Roman" w:eastAsia="Times New Roman" w:hint="default"/>
        </w:rPr>
        <w:t>14,405,000.00</w:t>
      </w:r>
      <w:r>
        <w:rPr/>
        <w:t>元。 </w:t>
      </w:r>
      <w:r>
        <w:rPr>
          <w:rFonts w:ascii="Times New Roman" w:hAnsi="Times New Roman" w:cs="Times New Roman" w:eastAsia="Times New Roman" w:hint="default"/>
          <w:spacing w:val="-1"/>
        </w:rPr>
        <w:t>3</w:t>
      </w:r>
      <w:r>
        <w:rPr>
          <w:spacing w:val="-1"/>
        </w:rPr>
        <w:t>、根据启东市财政局《关于安排江苏华峰超纤材料有限公司有关补助及奖励金的函</w:t>
      </w:r>
      <w:r>
        <w:rPr>
          <w:rFonts w:ascii="Times New Roman" w:hAnsi="Times New Roman" w:cs="Times New Roman" w:eastAsia="Times New Roman" w:hint="default"/>
          <w:spacing w:val="-1"/>
        </w:rPr>
        <w:t>{</w:t>
      </w:r>
      <w:r>
        <w:rPr>
          <w:spacing w:val="-1"/>
        </w:rPr>
        <w:t>启财函</w:t>
      </w:r>
      <w:r>
        <w:rPr>
          <w:rFonts w:ascii="Times New Roman" w:hAnsi="Times New Roman" w:cs="Times New Roman" w:eastAsia="Times New Roman" w:hint="default"/>
          <w:spacing w:val="-1"/>
        </w:rPr>
        <w:t>[2014]2</w:t>
      </w:r>
      <w:r>
        <w:rPr>
          <w:spacing w:val="-1"/>
        </w:rPr>
        <w:t>号</w:t>
      </w:r>
      <w:r>
        <w:rPr>
          <w:rFonts w:ascii="Times New Roman" w:hAnsi="Times New Roman" w:cs="Times New Roman" w:eastAsia="Times New Roman" w:hint="default"/>
          <w:spacing w:val="-1"/>
        </w:rPr>
        <w:t>}</w:t>
      </w:r>
      <w:r>
        <w:rPr>
          <w:spacing w:val="-1"/>
        </w:rPr>
        <w:t>》，江苏超</w:t>
      </w:r>
      <w:r>
        <w:rPr>
          <w:spacing w:val="-58"/>
        </w:rPr>
        <w:t> </w:t>
      </w:r>
      <w:r>
        <w:rPr>
          <w:spacing w:val="-58"/>
        </w:rPr>
      </w:r>
      <w:r>
        <w:rPr/>
        <w:t>纤于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日收到江苏启东吕四港经济开发区管委会拨付的地基处理补偿费、引进高新技术企业奖励费等有</w:t>
      </w:r>
      <w:r>
        <w:rPr>
          <w:spacing w:val="-83"/>
        </w:rPr>
        <w:t> </w:t>
      </w:r>
      <w:r>
        <w:rPr>
          <w:spacing w:val="-83"/>
        </w:rPr>
      </w:r>
      <w:r>
        <w:rPr>
          <w:spacing w:val="-1"/>
        </w:rPr>
        <w:t>关费用</w:t>
      </w:r>
      <w:r>
        <w:rPr>
          <w:rFonts w:ascii="Times New Roman" w:hAnsi="Times New Roman" w:cs="Times New Roman" w:eastAsia="Times New Roman" w:hint="default"/>
          <w:spacing w:val="-1"/>
        </w:rPr>
        <w:t>187,413,912.00</w:t>
      </w:r>
      <w:r>
        <w:rPr>
          <w:spacing w:val="-1"/>
        </w:rPr>
        <w:t>元。根据江苏省启东市财政局《关于安排江苏华峰超纤材料有限公司有关补助资金的函</w:t>
      </w:r>
      <w:r>
        <w:rPr>
          <w:rFonts w:ascii="Times New Roman" w:hAnsi="Times New Roman" w:cs="Times New Roman" w:eastAsia="Times New Roman" w:hint="default"/>
          <w:spacing w:val="-1"/>
        </w:rPr>
        <w:t>{</w:t>
      </w:r>
      <w:r>
        <w:rPr>
          <w:spacing w:val="-1"/>
        </w:rPr>
        <w:t>启财</w:t>
      </w:r>
      <w:r>
        <w:rPr>
          <w:spacing w:val="-67"/>
        </w:rPr>
        <w:t> </w:t>
      </w:r>
      <w:r>
        <w:rPr>
          <w:spacing w:val="-2"/>
        </w:rPr>
        <w:t>函</w:t>
      </w:r>
      <w:r>
        <w:rPr>
          <w:rFonts w:ascii="Times New Roman" w:hAnsi="Times New Roman" w:cs="Times New Roman" w:eastAsia="Times New Roman" w:hint="default"/>
          <w:spacing w:val="-2"/>
        </w:rPr>
        <w:t>[2015]4</w:t>
      </w:r>
      <w:r>
        <w:rPr>
          <w:spacing w:val="-2"/>
        </w:rPr>
        <w:t>号</w:t>
      </w:r>
      <w:r>
        <w:rPr>
          <w:rFonts w:ascii="Times New Roman" w:hAnsi="Times New Roman" w:cs="Times New Roman" w:eastAsia="Times New Roman" w:hint="default"/>
          <w:spacing w:val="-2"/>
        </w:rPr>
        <w:t>}</w:t>
      </w:r>
      <w:r>
        <w:rPr>
          <w:spacing w:val="-2"/>
        </w:rPr>
        <w:t>》，江苏超纤于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日收到启东市财政局拨付的地基处理补偿费和引进高新技术企业奖励费合</w:t>
      </w:r>
      <w:r>
        <w:rPr>
          <w:spacing w:val="-83"/>
        </w:rPr>
        <w:t> </w:t>
      </w:r>
      <w:r>
        <w:rPr/>
        <w:t>计</w:t>
      </w:r>
      <w:r>
        <w:rPr>
          <w:rFonts w:ascii="Times New Roman" w:hAnsi="Times New Roman" w:cs="Times New Roman" w:eastAsia="Times New Roman" w:hint="default"/>
        </w:rPr>
        <w:t>15,000,000.00</w:t>
      </w:r>
      <w:r>
        <w:rPr/>
        <w:t>元。该专项资金从项目建成后按照</w:t>
      </w:r>
      <w:r>
        <w:rPr>
          <w:rFonts w:ascii="Times New Roman" w:hAnsi="Times New Roman" w:cs="Times New Roman" w:eastAsia="Times New Roman" w:hint="default"/>
        </w:rPr>
        <w:t>10</w:t>
      </w:r>
      <w:r>
        <w:rPr/>
        <w:t>年进行摊销，本期未确认收益，期末余额</w:t>
      </w:r>
      <w:r>
        <w:rPr>
          <w:rFonts w:ascii="Times New Roman" w:hAnsi="Times New Roman" w:cs="Times New Roman" w:eastAsia="Times New Roman" w:hint="default"/>
        </w:rPr>
        <w:t>202,413,912.00</w:t>
      </w:r>
      <w:r>
        <w:rPr/>
        <w:t>元。 </w:t>
      </w:r>
      <w:r>
        <w:rPr>
          <w:rFonts w:ascii="Times New Roman" w:hAnsi="Times New Roman" w:cs="Times New Roman" w:eastAsia="Times New Roman" w:hint="default"/>
          <w:spacing w:val="-2"/>
        </w:rPr>
        <w:t>4</w:t>
      </w:r>
      <w:r>
        <w:rPr>
          <w:spacing w:val="-2"/>
        </w:rPr>
        <w:t>、根据江苏省启东市财政局《关于安排江苏华峰化学有限公司有关补助及奖励金的函</w:t>
      </w:r>
      <w:r>
        <w:rPr>
          <w:rFonts w:ascii="Times New Roman" w:hAnsi="Times New Roman" w:cs="Times New Roman" w:eastAsia="Times New Roman" w:hint="default"/>
          <w:spacing w:val="-2"/>
        </w:rPr>
        <w:t>{</w:t>
      </w:r>
      <w:r>
        <w:rPr>
          <w:spacing w:val="-2"/>
        </w:rPr>
        <w:t>启财函（</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》，公</w:t>
      </w:r>
      <w:r>
        <w:rPr>
          <w:spacing w:val="-55"/>
        </w:rPr>
        <w:t> </w:t>
      </w:r>
      <w:r>
        <w:rPr>
          <w:spacing w:val="-55"/>
        </w:rPr>
      </w:r>
      <w:r>
        <w:rPr/>
        <w:t>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日收到启东市财政局拨付的地基处理补偿费和引进高新技术企业奖励费合计</w:t>
      </w:r>
      <w:r>
        <w:rPr>
          <w:rFonts w:ascii="Times New Roman" w:hAnsi="Times New Roman" w:cs="Times New Roman" w:eastAsia="Times New Roman" w:hint="default"/>
        </w:rPr>
        <w:t>2,087,400.00</w:t>
      </w:r>
      <w:r>
        <w:rPr/>
        <w:t>元。该专</w:t>
      </w:r>
      <w:r>
        <w:rPr>
          <w:spacing w:val="-37"/>
        </w:rPr>
        <w:t> </w:t>
      </w:r>
      <w:r>
        <w:rPr/>
        <w:t>项资金从项目建成后按照</w:t>
      </w:r>
      <w:r>
        <w:rPr>
          <w:rFonts w:ascii="Times New Roman" w:hAnsi="Times New Roman" w:cs="Times New Roman" w:eastAsia="Times New Roman" w:hint="default"/>
        </w:rPr>
        <w:t>10</w:t>
      </w:r>
      <w:r>
        <w:rPr/>
        <w:t>年进行摊销，本期未确认收益，期末余额</w:t>
      </w:r>
      <w:r>
        <w:rPr>
          <w:rFonts w:ascii="Times New Roman" w:hAnsi="Times New Roman" w:cs="Times New Roman" w:eastAsia="Times New Roman" w:hint="default"/>
        </w:rPr>
        <w:t>2,087,400.00</w:t>
      </w:r>
      <w:r>
        <w:rPr/>
        <w:t>元。</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26、股本" w:id="255"/>
      <w:bookmarkEnd w:id="255"/>
      <w:r>
        <w:rPr>
          <w:b w:val="0"/>
          <w:bCs w:val="0"/>
        </w:rPr>
      </w:r>
      <w:r>
        <w:rPr>
          <w:rFonts w:ascii="Times New Roman" w:hAnsi="Times New Roman" w:cs="Times New Roman" w:eastAsia="Times New Roman" w:hint="default"/>
        </w:rPr>
        <w:t>26</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237,000,000.00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237,000,000.00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395,000,000.00</w:t>
            </w:r>
          </w:p>
        </w:tc>
      </w:tr>
    </w:tbl>
    <w:p>
      <w:pPr>
        <w:pStyle w:val="BodyText"/>
        <w:spacing w:line="240" w:lineRule="auto" w:before="51"/>
        <w:ind w:left="1134" w:right="0"/>
        <w:jc w:val="left"/>
      </w:pPr>
      <w:r>
        <w:rPr/>
        <w:t>其他说明：</w:t>
      </w:r>
    </w:p>
    <w:p>
      <w:pPr>
        <w:pStyle w:val="BodyText"/>
        <w:spacing w:line="300" w:lineRule="auto" w:before="116"/>
        <w:ind w:left="1952" w:right="1130"/>
        <w:jc w:val="both"/>
      </w:pPr>
      <w:r>
        <w:rPr>
          <w:spacing w:val="6"/>
        </w:rPr>
        <w:t>根据本公司</w:t>
      </w:r>
      <w:r>
        <w:rPr>
          <w:rFonts w:ascii="Times New Roman" w:hAnsi="Times New Roman" w:cs="Times New Roman" w:eastAsia="Times New Roman" w:hint="default"/>
          <w:spacing w:val="6"/>
        </w:rPr>
        <w:t>2014</w:t>
      </w:r>
      <w:r>
        <w:rPr>
          <w:spacing w:val="6"/>
        </w:rPr>
        <w:t>年度股东大会、第二届董事会第二十二次会议决议，本公司以</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日公司股份总数</w:t>
      </w:r>
      <w:r>
        <w:rPr>
          <w:spacing w:val="-62"/>
        </w:rPr>
        <w:t> </w:t>
      </w:r>
      <w:r>
        <w:rPr>
          <w:spacing w:val="-62"/>
        </w:rPr>
      </w:r>
      <w:r>
        <w:rPr>
          <w:rFonts w:ascii="Times New Roman" w:hAnsi="Times New Roman" w:cs="Times New Roman" w:eastAsia="Times New Roman" w:hint="default"/>
        </w:rPr>
        <w:t>15,800.00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股，合计转增股本</w:t>
      </w:r>
      <w:r>
        <w:rPr>
          <w:rFonts w:ascii="Times New Roman" w:hAnsi="Times New Roman" w:cs="Times New Roman" w:eastAsia="Times New Roman" w:hint="default"/>
        </w:rPr>
        <w:t>23,700.00</w:t>
      </w:r>
      <w:r>
        <w:rPr/>
        <w:t>万元，变更后股本为人民 币</w:t>
      </w:r>
      <w:r>
        <w:rPr>
          <w:rFonts w:ascii="Times New Roman" w:hAnsi="Times New Roman" w:cs="Times New Roman" w:eastAsia="Times New Roman" w:hint="default"/>
        </w:rPr>
        <w:t>39,500.00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日，本公司已收到新增注册资本（股本）人民币</w:t>
      </w:r>
      <w:r>
        <w:rPr>
          <w:rFonts w:ascii="Times New Roman" w:hAnsi="Times New Roman" w:cs="Times New Roman" w:eastAsia="Times New Roman" w:hint="default"/>
        </w:rPr>
        <w:t>23,700.00</w:t>
      </w:r>
      <w:r>
        <w:rPr/>
        <w:t>万元，上述资本公</w:t>
      </w:r>
      <w:r>
        <w:rPr>
          <w:spacing w:val="-13"/>
        </w:rPr>
        <w:t> </w:t>
      </w:r>
      <w:r>
        <w:rPr>
          <w:spacing w:val="-13"/>
        </w:rPr>
      </w:r>
      <w:r>
        <w:rPr>
          <w:spacing w:val="-1"/>
        </w:rPr>
        <w:t>积转增股本实收情况业经立信会计师事务所（特殊普通合伙）验证，并于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日出具了信会师报字</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22"/>
        </w:rPr>
        <w:t> </w:t>
      </w:r>
      <w:r>
        <w:rPr/>
        <w:t>第</w:t>
      </w:r>
      <w:r>
        <w:rPr>
          <w:rFonts w:ascii="Times New Roman" w:hAnsi="Times New Roman" w:cs="Times New Roman" w:eastAsia="Times New Roman" w:hint="default"/>
        </w:rPr>
        <w:t>610403</w:t>
      </w:r>
      <w:r>
        <w:rPr/>
        <w:t>号的验资报告。</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27、资本公积" w:id="256"/>
      <w:bookmarkEnd w:id="256"/>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779,077,441.94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542,077,441.94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779,077,441.94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542,077,441.94</w:t>
            </w:r>
          </w:p>
        </w:tc>
      </w:tr>
    </w:tbl>
    <w:p>
      <w:pPr>
        <w:pStyle w:val="BodyText"/>
        <w:spacing w:line="240" w:lineRule="auto" w:before="51"/>
        <w:ind w:left="1134" w:right="0"/>
        <w:jc w:val="left"/>
      </w:pPr>
      <w:r>
        <w:rPr/>
        <w:t>其他说明，包括本期增减变动情况、变动原因说明：</w:t>
      </w:r>
    </w:p>
    <w:p>
      <w:pPr>
        <w:pStyle w:val="BodyText"/>
        <w:spacing w:line="300" w:lineRule="auto" w:before="115"/>
        <w:ind w:left="1852" w:right="1130"/>
        <w:jc w:val="both"/>
      </w:pPr>
      <w:r>
        <w:rPr>
          <w:spacing w:val="8"/>
        </w:rPr>
        <w:t>根据本公司</w:t>
      </w:r>
      <w:r>
        <w:rPr>
          <w:rFonts w:ascii="Times New Roman" w:hAnsi="Times New Roman" w:cs="Times New Roman" w:eastAsia="Times New Roman" w:hint="default"/>
          <w:spacing w:val="8"/>
        </w:rPr>
        <w:t>2014</w:t>
      </w:r>
      <w:r>
        <w:rPr>
          <w:spacing w:val="8"/>
        </w:rPr>
        <w:t>年度股东大会、第二届董事会第二十二次会议决议，本公司以</w:t>
      </w:r>
      <w:r>
        <w:rPr>
          <w:spacing w:val="-66"/>
        </w:rPr>
        <w:t> </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日公司股份总数</w:t>
      </w:r>
      <w:r>
        <w:rPr>
          <w:spacing w:val="-72"/>
        </w:rPr>
        <w:t> </w:t>
      </w:r>
      <w:r>
        <w:rPr>
          <w:spacing w:val="-72"/>
        </w:rPr>
      </w:r>
      <w:r>
        <w:rPr>
          <w:rFonts w:ascii="Times New Roman" w:hAnsi="Times New Roman" w:cs="Times New Roman" w:eastAsia="Times New Roman" w:hint="default"/>
          <w:spacing w:val="-4"/>
        </w:rPr>
        <w:t>15,800.00</w:t>
      </w:r>
      <w:r>
        <w:rPr>
          <w:spacing w:val="-4"/>
        </w:rPr>
        <w:t>万股为基数，以资本公积向全体股东每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15</w:t>
      </w:r>
      <w:r>
        <w:rPr>
          <w:spacing w:val="-4"/>
        </w:rPr>
        <w:t>股，合计转增股本</w:t>
      </w:r>
      <w:r>
        <w:rPr>
          <w:rFonts w:ascii="Times New Roman" w:hAnsi="Times New Roman" w:cs="Times New Roman" w:eastAsia="Times New Roman" w:hint="default"/>
          <w:spacing w:val="-4"/>
        </w:rPr>
        <w:t>23,700.00</w:t>
      </w:r>
      <w:r>
        <w:rPr>
          <w:spacing w:val="-4"/>
        </w:rPr>
        <w:t>万元，减少资本公积</w:t>
      </w:r>
      <w:r>
        <w:rPr>
          <w:rFonts w:ascii="Times New Roman" w:hAnsi="Times New Roman" w:cs="Times New Roman" w:eastAsia="Times New Roman" w:hint="default"/>
          <w:spacing w:val="-4"/>
        </w:rPr>
        <w:t>23,700.00</w:t>
      </w:r>
      <w:r>
        <w:rPr>
          <w:rFonts w:ascii="Times New Roman" w:hAnsi="Times New Roman" w:cs="Times New Roman" w:eastAsia="Times New Roman" w:hint="default"/>
          <w:spacing w:val="-37"/>
        </w:rPr>
        <w:t> </w:t>
      </w:r>
      <w:r>
        <w:rPr/>
        <w:t>万元。</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28、盈余公积" w:id="257"/>
      <w:bookmarkEnd w:id="257"/>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54,313,415.24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13,203,978.60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67,517,393.84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54,313,415.24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13,203,978.60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67,517,393.84</w:t>
            </w:r>
          </w:p>
        </w:tc>
      </w:tr>
    </w:tbl>
    <w:p>
      <w:pPr>
        <w:pStyle w:val="BodyText"/>
        <w:spacing w:line="357" w:lineRule="auto" w:before="51"/>
        <w:ind w:left="1134" w:right="5742"/>
        <w:jc w:val="left"/>
      </w:pPr>
      <w:r>
        <w:rPr/>
        <w:t>盈余公积说明，包括本期增减变动情况、变动原因说明： 根据公司章程，按母公司年度净利润的</w:t>
      </w:r>
      <w:r>
        <w:rPr>
          <w:rFonts w:ascii="Times New Roman" w:hAnsi="Times New Roman" w:cs="Times New Roman" w:eastAsia="Times New Roman" w:hint="default"/>
        </w:rPr>
        <w:t>10%</w:t>
      </w:r>
      <w:r>
        <w:rPr/>
        <w:t>计提法定盈余公积。</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9、未分配利润" w:id="258"/>
      <w:bookmarkEnd w:id="258"/>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427,734,693.37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344,295,542.56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-4,585,047.19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427,734,693.37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339,710,495.37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118,936,497.53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115,493,664.07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13,203,978.60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11,669,466.07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520,827,212.30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427,734,693.37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-4,585,047.19</w:t>
      </w:r>
      <w:r>
        <w:rPr>
          <w:rFonts w:ascii="Times New Roman" w:hAnsi="Times New Roman" w:cs="Times New Roman" w:eastAsia="Times New Roman" w:hint="default"/>
          <w:spacing w:val="-3"/>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0、营业收入和营业成本" w:id="259"/>
      <w:bookmarkEnd w:id="259"/>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1,081,536,905.70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788,393,809.82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911,171,541.19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660,679,226.60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55,421,043.90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43,786,721.05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59,141,566.73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46,129,195.63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1,136,957,949.60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832,180,530.87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970,313,107.92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706,808,422.23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营业税金及附加" w:id="260"/>
      <w:bookmarkEnd w:id="260"/>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298,172.02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133,905.44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1,490,860.15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669,527.19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1,789,032.17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803,432.63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2、销售费用" w:id="261"/>
      <w:bookmarkEnd w:id="261"/>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9,027,167.84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6,695,163.90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4,783,190.60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4,326,351.95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2,002,626.55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2,027,134.98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835,766.14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916,190.88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1,087,463.81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1,663,812.14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751,335.68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535,069.01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1,964,577.69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1,458,682.34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7,471,996.58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7,158,025.90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1,232,750.88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996,879.46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29,156,875.77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25,777,310.56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3、管理费用" w:id="262"/>
      <w:bookmarkEnd w:id="262"/>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37,282,948.48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41,000,233.10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46,228,068.38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28,896,752.48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5,774,505.38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13,305,716.52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4,242,867.49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4,542,111.95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6,783,501.82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3,957,324.96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7,952,672.85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1,521,563.14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5,027,987.66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987,137.75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8,474,004.82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4,781,051.15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3,085,050.83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1,867,656.74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1,127,655.58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1,764,186.00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7,247,484.97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7,746,480.12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133,226,748.26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110,370,213.91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4、财务费用" w:id="263"/>
      <w:bookmarkEnd w:id="263"/>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2,039,753.59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1,130,206.65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3,732,015.29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-2,297,104.53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59,543.70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630,780.46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416,105.79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-756,777.13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-3,237,699.13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5、资产减值损失" w:id="264"/>
      <w:bookmarkEnd w:id="264"/>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613,639.37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2,324,120.02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2,986,726.08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1,712,006.73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3,600,365.45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4,036,126.75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营业外收入" w:id="265"/>
      <w:bookmarkEnd w:id="265"/>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151,677.81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129,182.03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151,677.81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151,677.81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129,182.03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151,677.81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11,789,894.00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5,746,177.50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11,789,894.00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100,794.32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100,794.32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12,042,366.13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5,946,221.41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914"/>
        <w:gridCol w:w="900"/>
        <w:gridCol w:w="1830"/>
        <w:gridCol w:w="1050"/>
        <w:gridCol w:w="733"/>
        <w:gridCol w:w="1317"/>
        <w:gridCol w:w="113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0" w:right="109"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技术中心建 设专项拨款</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市级重点技 改第一批首 付</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科技奖励</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28,660.00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39,267.50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中小企业国 际市场开拓</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57,054.00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914"/>
        <w:gridCol w:w="900"/>
        <w:gridCol w:w="1830"/>
        <w:gridCol w:w="1050"/>
        <w:gridCol w:w="733"/>
        <w:gridCol w:w="1317"/>
        <w:gridCol w:w="113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专项资助费</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教育费补助</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57,880.00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高新技术成 果转化项目 款</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2,829,000.00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收重点产品 质量攻关奖 励</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 利费</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项目用地办 证税费补助</w:t>
            </w:r>
          </w:p>
        </w:tc>
        <w:tc>
          <w:tcPr>
            <w:tcW w:w="91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3"/>
                <w:sz w:val="18"/>
                <w:szCs w:val="18"/>
              </w:rPr>
              <w:t>持特定行业、产业而获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得的补助（按国家级政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策规定依法取得）</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4,560,300.00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11,789,894.00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5,746,177.50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300" w:lineRule="auto" w:before="116"/>
        <w:ind w:left="1842" w:right="1131"/>
        <w:jc w:val="both"/>
      </w:pPr>
      <w:r>
        <w:rPr/>
        <w:t>（</w:t>
      </w:r>
      <w:r>
        <w:rPr>
          <w:rFonts w:ascii="Times New Roman" w:hAnsi="Times New Roman" w:cs="Times New Roman" w:eastAsia="Times New Roman" w:hint="default"/>
        </w:rPr>
        <w:t>1</w:t>
      </w:r>
      <w:r>
        <w:rPr/>
        <w:t>）根据上海市经济和信息化委员会、上海市财政局、上海市国家税务局、上海市地方税务局、中华人民共和国</w:t>
      </w:r>
      <w:r>
        <w:rPr>
          <w:spacing w:val="-75"/>
        </w:rPr>
        <w:t> </w:t>
      </w:r>
      <w:r>
        <w:rPr>
          <w:spacing w:val="-75"/>
        </w:rPr>
      </w:r>
      <w:r>
        <w:rPr>
          <w:spacing w:val="-2"/>
          <w:w w:val="100"/>
        </w:rPr>
        <w:t>上海海关</w:t>
      </w:r>
      <w:r>
        <w:rPr>
          <w:rFonts w:ascii="Times New Roman" w:hAnsi="Times New Roman" w:cs="Times New Roman" w:eastAsia="Times New Roman" w:hint="default"/>
          <w:spacing w:val="-2"/>
          <w:w w:val="100"/>
        </w:rPr>
        <w:t>“</w:t>
      </w:r>
      <w:r>
        <w:rPr>
          <w:spacing w:val="-2"/>
          <w:w w:val="100"/>
        </w:rPr>
        <w:t>沪经信技</w:t>
      </w:r>
      <w:r>
        <w:rPr>
          <w:rFonts w:ascii="Times New Roman" w:hAnsi="Times New Roman" w:cs="Times New Roman" w:eastAsia="Times New Roman" w:hint="default"/>
          <w:spacing w:val="-2"/>
          <w:w w:val="100"/>
        </w:rPr>
        <w:t>[2009]707</w:t>
      </w:r>
      <w:r>
        <w:rPr>
          <w:spacing w:val="-2"/>
          <w:w w:val="100"/>
        </w:rPr>
        <w:t>号</w:t>
      </w:r>
      <w:r>
        <w:rPr>
          <w:rFonts w:ascii="Times New Roman" w:hAnsi="Times New Roman" w:cs="Times New Roman" w:eastAsia="Times New Roman" w:hint="default"/>
          <w:spacing w:val="-2"/>
          <w:w w:val="100"/>
        </w:rPr>
        <w:t>”</w:t>
      </w:r>
      <w:r>
        <w:rPr>
          <w:spacing w:val="-2"/>
          <w:w w:val="100"/>
        </w:rPr>
        <w:t>文件，公司于</w:t>
      </w:r>
      <w:r>
        <w:rPr>
          <w:rFonts w:ascii="Times New Roman" w:hAnsi="Times New Roman" w:cs="Times New Roman" w:eastAsia="Times New Roman" w:hint="default"/>
          <w:spacing w:val="-2"/>
          <w:w w:val="100"/>
        </w:rPr>
        <w:t>2009</w:t>
      </w:r>
      <w:r>
        <w:rPr>
          <w:spacing w:val="-2"/>
          <w:w w:val="100"/>
        </w:rPr>
        <w:t>年</w:t>
      </w:r>
      <w:r>
        <w:rPr>
          <w:rFonts w:ascii="Times New Roman" w:hAnsi="Times New Roman" w:cs="Times New Roman" w:eastAsia="Times New Roman" w:hint="default"/>
          <w:spacing w:val="-2"/>
          <w:w w:val="100"/>
        </w:rPr>
        <w:t>12</w:t>
      </w:r>
      <w:r>
        <w:rPr>
          <w:spacing w:val="-2"/>
          <w:w w:val="100"/>
        </w:rPr>
        <w:t>月</w:t>
      </w:r>
      <w:r>
        <w:rPr>
          <w:rFonts w:ascii="Times New Roman" w:hAnsi="Times New Roman" w:cs="Times New Roman" w:eastAsia="Times New Roman" w:hint="default"/>
          <w:spacing w:val="-2"/>
          <w:w w:val="100"/>
        </w:rPr>
        <w:t>23</w:t>
      </w:r>
      <w:r>
        <w:rPr>
          <w:spacing w:val="-2"/>
          <w:w w:val="100"/>
        </w:rPr>
        <w:t>日收到上海市企业技术创新服务中心所拨入技术中心建</w:t>
      </w:r>
      <w:r>
        <w:rPr>
          <w:spacing w:val="-54"/>
          <w:w w:val="100"/>
        </w:rPr>
        <w:t> </w:t>
      </w:r>
      <w:r>
        <w:rPr>
          <w:spacing w:val="-2"/>
        </w:rPr>
        <w:t>设专项补贴</w:t>
      </w:r>
      <w:r>
        <w:rPr>
          <w:rFonts w:ascii="Times New Roman" w:hAnsi="Times New Roman" w:cs="Times New Roman" w:eastAsia="Times New Roman" w:hint="default"/>
          <w:spacing w:val="-2"/>
        </w:rPr>
        <w:t>600,000.00</w:t>
      </w:r>
      <w:r>
        <w:rPr>
          <w:spacing w:val="-2"/>
        </w:rPr>
        <w:t>元。公司在收到专项补贴当期确认递延收益，从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月项目完成开始分期确认收益，本年</w:t>
      </w:r>
      <w:r>
        <w:rPr>
          <w:spacing w:val="-48"/>
        </w:rPr>
        <w:t> </w:t>
      </w:r>
      <w:r>
        <w:rPr>
          <w:spacing w:val="-48"/>
        </w:rPr>
      </w:r>
      <w:r>
        <w:rPr/>
        <w:t>度共确认收益</w:t>
      </w:r>
      <w:r>
        <w:rPr>
          <w:rFonts w:ascii="Times New Roman" w:hAnsi="Times New Roman" w:cs="Times New Roman" w:eastAsia="Times New Roman" w:hint="default"/>
        </w:rPr>
        <w:t>120,000.00</w:t>
      </w:r>
      <w:r>
        <w:rPr/>
        <w:t>元。</w:t>
      </w:r>
    </w:p>
    <w:p>
      <w:pPr>
        <w:pStyle w:val="BodyText"/>
        <w:spacing w:line="300" w:lineRule="auto" w:before="13"/>
        <w:ind w:left="1842" w:right="1130"/>
        <w:jc w:val="both"/>
      </w:pPr>
      <w:r>
        <w:rPr>
          <w:spacing w:val="-2"/>
        </w:rPr>
        <w:t>（</w:t>
      </w:r>
      <w:r>
        <w:rPr>
          <w:rFonts w:ascii="Times New Roman" w:hAnsi="Times New Roman" w:cs="Times New Roman" w:eastAsia="Times New Roman" w:hint="default"/>
          <w:spacing w:val="-2"/>
        </w:rPr>
        <w:t>2</w:t>
      </w:r>
      <w:r>
        <w:rPr>
          <w:spacing w:val="-2"/>
        </w:rPr>
        <w:t>）根据上海市金山区经济委员会《金山区经委关于上海华峰超纤材料股份有限公司年产</w:t>
      </w:r>
      <w:r>
        <w:rPr>
          <w:rFonts w:ascii="Times New Roman" w:hAnsi="Times New Roman" w:cs="Times New Roman" w:eastAsia="Times New Roman" w:hint="default"/>
          <w:spacing w:val="-2"/>
        </w:rPr>
        <w:t>600</w:t>
      </w:r>
      <w:r>
        <w:rPr>
          <w:spacing w:val="-2"/>
        </w:rPr>
        <w:t>万平米定岛超细纤维</w:t>
      </w:r>
      <w:r>
        <w:rPr>
          <w:spacing w:val="-56"/>
        </w:rPr>
        <w:t> </w:t>
      </w:r>
      <w:r>
        <w:rPr>
          <w:spacing w:val="-1"/>
        </w:rPr>
        <w:t>聚氨酯合成革生产投资建设项目上海市重点技术改造专项资金申请报告的批复</w:t>
      </w:r>
      <w:r>
        <w:rPr>
          <w:rFonts w:ascii="Times New Roman" w:hAnsi="Times New Roman" w:cs="Times New Roman" w:eastAsia="Times New Roman" w:hint="default"/>
          <w:spacing w:val="-1"/>
        </w:rPr>
        <w:t>{</w:t>
      </w:r>
      <w:r>
        <w:rPr>
          <w:spacing w:val="-1"/>
        </w:rPr>
        <w:t>沪府发</w:t>
      </w:r>
      <w:r>
        <w:rPr>
          <w:rFonts w:ascii="Times New Roman" w:hAnsi="Times New Roman" w:cs="Times New Roman" w:eastAsia="Times New Roman" w:hint="default"/>
          <w:spacing w:val="-1"/>
        </w:rPr>
        <w:t>[2004]52</w:t>
      </w:r>
      <w:r>
        <w:rPr>
          <w:spacing w:val="-1"/>
        </w:rPr>
        <w:t>号</w:t>
      </w:r>
      <w:r>
        <w:rPr>
          <w:rFonts w:ascii="Times New Roman" w:hAnsi="Times New Roman" w:cs="Times New Roman" w:eastAsia="Times New Roman" w:hint="default"/>
          <w:spacing w:val="-1"/>
        </w:rPr>
        <w:t>}</w:t>
      </w:r>
      <w:r>
        <w:rPr>
          <w:spacing w:val="-1"/>
        </w:rPr>
        <w:t>》，公司于</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rFonts w:ascii="Times New Roman" w:hAnsi="Times New Roman" w:cs="Times New Roman" w:eastAsia="Times New Roman" w:hint="default"/>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日收到上海市金山区财政局拨付的上海市重点技术改造项目专项资金</w:t>
      </w:r>
      <w:r>
        <w:rPr>
          <w:rFonts w:ascii="Times New Roman" w:hAnsi="Times New Roman" w:cs="Times New Roman" w:eastAsia="Times New Roman" w:hint="default"/>
        </w:rPr>
        <w:t>20,100,000.00</w:t>
      </w:r>
      <w:r>
        <w:rPr/>
        <w:t>元。该专项资金从</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3</w:t>
      </w:r>
      <w:r>
        <w:rPr/>
        <w:t>月份起按照</w:t>
      </w:r>
      <w:r>
        <w:rPr>
          <w:rFonts w:ascii="Times New Roman" w:hAnsi="Times New Roman" w:cs="Times New Roman" w:eastAsia="Times New Roman" w:hint="default"/>
        </w:rPr>
        <w:t>10</w:t>
      </w:r>
      <w:r>
        <w:rPr/>
        <w:t>年进行摊销，本期确认收益</w:t>
      </w:r>
      <w:r>
        <w:rPr>
          <w:rFonts w:ascii="Times New Roman" w:hAnsi="Times New Roman" w:cs="Times New Roman" w:eastAsia="Times New Roman" w:hint="default"/>
        </w:rPr>
        <w:t>2,010,000.00</w:t>
      </w:r>
      <w:r>
        <w:rPr/>
        <w:t>元。</w:t>
      </w:r>
    </w:p>
    <w:p>
      <w:pPr>
        <w:pStyle w:val="BodyText"/>
        <w:spacing w:line="300" w:lineRule="auto" w:before="13"/>
        <w:ind w:left="1842" w:right="1132"/>
        <w:jc w:val="both"/>
      </w:pPr>
      <w:r>
        <w:rPr>
          <w:spacing w:val="-2"/>
        </w:rPr>
        <w:t>（</w:t>
      </w:r>
      <w:r>
        <w:rPr>
          <w:rFonts w:ascii="Times New Roman" w:hAnsi="Times New Roman" w:cs="Times New Roman" w:eastAsia="Times New Roman" w:hint="default"/>
          <w:spacing w:val="-2"/>
        </w:rPr>
        <w:t>3</w:t>
      </w:r>
      <w:r>
        <w:rPr>
          <w:spacing w:val="-2"/>
        </w:rPr>
        <w:t>）根据金山区《关于鼓励企业科技创新发展的若干规定</w:t>
      </w:r>
      <w:r>
        <w:rPr>
          <w:rFonts w:ascii="Times New Roman" w:hAnsi="Times New Roman" w:cs="Times New Roman" w:eastAsia="Times New Roman" w:hint="default"/>
          <w:spacing w:val="-2"/>
        </w:rPr>
        <w:t>{</w:t>
      </w:r>
      <w:r>
        <w:rPr>
          <w:spacing w:val="-2"/>
        </w:rPr>
        <w:t>金府</w:t>
      </w:r>
      <w:r>
        <w:rPr>
          <w:rFonts w:ascii="Times New Roman" w:hAnsi="Times New Roman" w:cs="Times New Roman" w:eastAsia="Times New Roman" w:hint="default"/>
          <w:spacing w:val="-2"/>
        </w:rPr>
        <w:t>[2011]18</w:t>
      </w:r>
      <w:r>
        <w:rPr>
          <w:spacing w:val="-2"/>
        </w:rPr>
        <w:t>号</w:t>
      </w:r>
      <w:r>
        <w:rPr>
          <w:rFonts w:ascii="Times New Roman" w:hAnsi="Times New Roman" w:cs="Times New Roman" w:eastAsia="Times New Roman" w:hint="default"/>
          <w:spacing w:val="-2"/>
        </w:rPr>
        <w:t>}</w:t>
      </w:r>
      <w:r>
        <w:rPr>
          <w:spacing w:val="-2"/>
        </w:rPr>
        <w:t>》文件，公司于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日收到上海</w:t>
      </w:r>
      <w:r>
        <w:rPr>
          <w:spacing w:val="-69"/>
        </w:rPr>
        <w:t> </w:t>
      </w:r>
      <w:r>
        <w:rPr/>
        <w:t>市金山区山阳镇人民政府拨付的科技奖励款</w:t>
      </w:r>
      <w:r>
        <w:rPr>
          <w:rFonts w:ascii="Times New Roman" w:hAnsi="Times New Roman" w:cs="Times New Roman" w:eastAsia="Times New Roman" w:hint="default"/>
        </w:rPr>
        <w:t>4,000.00</w:t>
      </w:r>
      <w:r>
        <w:rPr/>
        <w:t>元。</w:t>
      </w:r>
    </w:p>
    <w:p>
      <w:pPr>
        <w:pStyle w:val="BodyText"/>
        <w:spacing w:line="300" w:lineRule="auto" w:before="13"/>
        <w:ind w:left="1842" w:right="1131"/>
        <w:jc w:val="both"/>
      </w:pPr>
      <w:r>
        <w:rPr>
          <w:spacing w:val="-1"/>
        </w:rPr>
        <w:t>（</w:t>
      </w:r>
      <w:r>
        <w:rPr>
          <w:rFonts w:ascii="Times New Roman" w:hAnsi="Times New Roman" w:cs="Times New Roman" w:eastAsia="Times New Roman" w:hint="default"/>
          <w:spacing w:val="-1"/>
        </w:rPr>
        <w:t>4</w:t>
      </w:r>
      <w:r>
        <w:rPr>
          <w:spacing w:val="-1"/>
        </w:rPr>
        <w:t>）根据上海市知识产权局</w:t>
      </w:r>
      <w:r>
        <w:rPr>
          <w:rFonts w:ascii="Times New Roman" w:hAnsi="Times New Roman" w:cs="Times New Roman" w:eastAsia="Times New Roman" w:hint="default"/>
          <w:spacing w:val="-1"/>
        </w:rPr>
        <w:t>/</w:t>
      </w:r>
      <w:r>
        <w:rPr>
          <w:spacing w:val="-1"/>
        </w:rPr>
        <w:t>上海市财政局文件</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沪知局</w:t>
      </w:r>
      <w:r>
        <w:rPr>
          <w:rFonts w:ascii="Times New Roman" w:hAnsi="Times New Roman" w:cs="Times New Roman" w:eastAsia="Times New Roman" w:hint="default"/>
          <w:spacing w:val="-1"/>
        </w:rPr>
        <w:t>[2012]62</w:t>
      </w:r>
      <w:r>
        <w:rPr>
          <w:spacing w:val="-1"/>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15</w:t>
      </w:r>
      <w:r>
        <w:rPr>
          <w:spacing w:val="-1"/>
        </w:rPr>
        <w:t>日收到上海市财政局专</w:t>
      </w:r>
      <w:r>
        <w:rPr>
          <w:spacing w:val="-66"/>
        </w:rPr>
        <w:t> </w:t>
      </w:r>
      <w:r>
        <w:rPr/>
        <w:t>利资助费</w:t>
      </w:r>
      <w:r>
        <w:rPr>
          <w:rFonts w:ascii="Times New Roman" w:hAnsi="Times New Roman" w:cs="Times New Roman" w:eastAsia="Times New Roman" w:hint="default"/>
        </w:rPr>
        <w:t>1,680.00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日收到上海市财政局专利资助费</w:t>
      </w:r>
      <w:r>
        <w:rPr>
          <w:rFonts w:ascii="Times New Roman" w:hAnsi="Times New Roman" w:cs="Times New Roman" w:eastAsia="Times New Roman" w:hint="default"/>
        </w:rPr>
        <w:t>6,415.00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日收到上海市财政局专</w:t>
      </w:r>
      <w:r>
        <w:rPr>
          <w:spacing w:val="-76"/>
        </w:rPr>
        <w:t> </w:t>
      </w:r>
      <w:r>
        <w:rPr>
          <w:spacing w:val="-76"/>
        </w:rPr>
      </w:r>
      <w:r>
        <w:rPr>
          <w:spacing w:val="-2"/>
        </w:rPr>
        <w:t>利资助费</w:t>
      </w:r>
      <w:r>
        <w:rPr>
          <w:rFonts w:ascii="Times New Roman" w:hAnsi="Times New Roman" w:cs="Times New Roman" w:eastAsia="Times New Roman" w:hint="default"/>
          <w:spacing w:val="-2"/>
        </w:rPr>
        <w:t>5,655.00</w:t>
      </w:r>
      <w:r>
        <w:rPr>
          <w:spacing w:val="-2"/>
        </w:rPr>
        <w:t>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日收到上海市财政局专利资助费</w:t>
      </w:r>
      <w:r>
        <w:rPr>
          <w:rFonts w:ascii="Times New Roman" w:hAnsi="Times New Roman" w:cs="Times New Roman" w:eastAsia="Times New Roman" w:hint="default"/>
          <w:spacing w:val="-2"/>
        </w:rPr>
        <w:t>14,910.00</w:t>
      </w:r>
      <w:r>
        <w:rPr>
          <w:spacing w:val="-2"/>
        </w:rPr>
        <w:t>元。本年度共确认专利资助费</w:t>
      </w:r>
      <w:r>
        <w:rPr>
          <w:rFonts w:ascii="Times New Roman" w:hAnsi="Times New Roman" w:cs="Times New Roman" w:eastAsia="Times New Roman" w:hint="default"/>
          <w:spacing w:val="-2"/>
        </w:rPr>
        <w:t>28,660.00</w:t>
      </w:r>
      <w:r>
        <w:rPr>
          <w:rFonts w:ascii="Times New Roman" w:hAnsi="Times New Roman" w:cs="Times New Roman" w:eastAsia="Times New Roman" w:hint="default"/>
          <w:spacing w:val="16"/>
        </w:rPr>
        <w:t> </w:t>
      </w:r>
      <w:r>
        <w:rPr/>
        <w:t>元。</w:t>
      </w:r>
    </w:p>
    <w:p>
      <w:pPr>
        <w:pStyle w:val="BodyText"/>
        <w:spacing w:line="240" w:lineRule="auto" w:before="31"/>
        <w:ind w:left="1842" w:right="0"/>
        <w:jc w:val="both"/>
      </w:pPr>
      <w:r>
        <w:rPr/>
        <w:t>（</w:t>
      </w:r>
      <w:r>
        <w:rPr>
          <w:rFonts w:ascii="Times New Roman" w:hAnsi="Times New Roman" w:cs="Times New Roman" w:eastAsia="Times New Roman" w:hint="default"/>
        </w:rPr>
        <w:t>5</w:t>
      </w:r>
      <w:r>
        <w:rPr/>
        <w:t>）根据山阳镇工业企业（内资）财政扶持政策，公司于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日收到上海市金山区财政局拨付的产业扶持</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842" w:right="0"/>
        <w:jc w:val="left"/>
      </w:pPr>
      <w:r>
        <w:rPr/>
        <w:t>资金</w:t>
      </w:r>
      <w:r>
        <w:rPr>
          <w:rFonts w:ascii="Times New Roman" w:hAnsi="Times New Roman" w:cs="Times New Roman" w:eastAsia="Times New Roman" w:hint="default"/>
        </w:rPr>
        <w:t>1,816,000.00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日收到上海市金山区财政局拨付的产业扶持资金</w:t>
      </w:r>
      <w:r>
        <w:rPr>
          <w:rFonts w:ascii="Times New Roman" w:hAnsi="Times New Roman" w:cs="Times New Roman" w:eastAsia="Times New Roman" w:hint="default"/>
        </w:rPr>
        <w:t>14,000.00</w:t>
      </w:r>
      <w:r>
        <w:rPr/>
        <w:t>元。</w:t>
      </w:r>
    </w:p>
    <w:p>
      <w:pPr>
        <w:pStyle w:val="BodyText"/>
        <w:spacing w:line="300" w:lineRule="auto" w:before="63"/>
        <w:ind w:left="1842" w:right="0"/>
        <w:jc w:val="left"/>
      </w:pPr>
      <w:r>
        <w:rPr>
          <w:spacing w:val="-2"/>
        </w:rPr>
        <w:t>（</w:t>
      </w:r>
      <w:r>
        <w:rPr>
          <w:rFonts w:ascii="Times New Roman" w:hAnsi="Times New Roman" w:cs="Times New Roman" w:eastAsia="Times New Roman" w:hint="default"/>
          <w:spacing w:val="-2"/>
        </w:rPr>
        <w:t>6</w:t>
      </w:r>
      <w:r>
        <w:rPr>
          <w:spacing w:val="-2"/>
        </w:rPr>
        <w:t>）根据上海市中小企业国际市场开拓资金管理实施办法，公司于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日收到上海市商务委员会拨付的中</w:t>
      </w:r>
      <w:r>
        <w:rPr>
          <w:spacing w:val="-52"/>
        </w:rPr>
        <w:t> </w:t>
      </w:r>
      <w:r>
        <w:rPr/>
        <w:t>小企业国际市场开拓资金</w:t>
      </w:r>
      <w:r>
        <w:rPr>
          <w:rFonts w:ascii="Times New Roman" w:hAnsi="Times New Roman" w:cs="Times New Roman" w:eastAsia="Times New Roman" w:hint="default"/>
        </w:rPr>
        <w:t>57,054.00</w:t>
      </w:r>
      <w:r>
        <w:rPr/>
        <w:t>元。</w:t>
      </w:r>
    </w:p>
    <w:p>
      <w:pPr>
        <w:pStyle w:val="BodyText"/>
        <w:spacing w:line="300" w:lineRule="auto" w:before="13"/>
        <w:ind w:left="1842" w:right="0"/>
        <w:jc w:val="left"/>
      </w:pPr>
      <w:r>
        <w:rPr>
          <w:spacing w:val="-4"/>
        </w:rPr>
        <w:t>（</w:t>
      </w:r>
      <w:r>
        <w:rPr>
          <w:rFonts w:ascii="Times New Roman" w:hAnsi="Times New Roman" w:cs="Times New Roman" w:eastAsia="Times New Roman" w:hint="default"/>
          <w:spacing w:val="-4"/>
        </w:rPr>
        <w:t>7</w:t>
      </w:r>
      <w:r>
        <w:rPr>
          <w:spacing w:val="-4"/>
        </w:rPr>
        <w:t>）根据上海市知识产权局</w:t>
      </w:r>
      <w:r>
        <w:rPr>
          <w:rFonts w:ascii="Times New Roman" w:hAnsi="Times New Roman" w:cs="Times New Roman" w:eastAsia="Times New Roman" w:hint="default"/>
          <w:spacing w:val="-4"/>
        </w:rPr>
        <w:t>/</w:t>
      </w:r>
      <w:r>
        <w:rPr>
          <w:spacing w:val="-4"/>
        </w:rPr>
        <w:t>上海市《企事业专利工作试点</w:t>
      </w:r>
      <w:r>
        <w:rPr>
          <w:rFonts w:ascii="Times New Roman" w:hAnsi="Times New Roman" w:cs="Times New Roman" w:eastAsia="Times New Roman" w:hint="default"/>
          <w:spacing w:val="-4"/>
        </w:rPr>
        <w:t>/</w:t>
      </w:r>
      <w:r>
        <w:rPr>
          <w:spacing w:val="-4"/>
        </w:rPr>
        <w:t>示范单位项目合同书</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B</w:t>
      </w:r>
      <w:r>
        <w:rPr>
          <w:spacing w:val="-4"/>
        </w:rPr>
        <w:t>企</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》，公司于</w:t>
      </w:r>
      <w:r>
        <w:rPr>
          <w:rFonts w:ascii="Times New Roman" w:hAnsi="Times New Roman" w:cs="Times New Roman" w:eastAsia="Times New Roman" w:hint="default"/>
          <w:spacing w:val="-4"/>
        </w:rPr>
        <w:t>2015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日收到上海市财政局拨付的专项资助费</w:t>
      </w:r>
      <w:r>
        <w:rPr>
          <w:rFonts w:ascii="Times New Roman" w:hAnsi="Times New Roman" w:cs="Times New Roman" w:eastAsia="Times New Roman" w:hint="default"/>
        </w:rPr>
        <w:t>280,000.00</w:t>
      </w:r>
      <w:r>
        <w:rPr/>
        <w:t>元。</w:t>
      </w:r>
    </w:p>
    <w:p>
      <w:pPr>
        <w:pStyle w:val="BodyText"/>
        <w:spacing w:line="300" w:lineRule="auto" w:before="13"/>
        <w:ind w:left="1842" w:right="1116"/>
        <w:jc w:val="left"/>
      </w:pPr>
      <w:r>
        <w:rPr>
          <w:spacing w:val="-3"/>
        </w:rPr>
        <w:t>（</w:t>
      </w:r>
      <w:r>
        <w:rPr>
          <w:rFonts w:ascii="Times New Roman" w:hAnsi="Times New Roman" w:cs="Times New Roman" w:eastAsia="Times New Roman" w:hint="default"/>
          <w:spacing w:val="-3"/>
        </w:rPr>
        <w:t>8</w:t>
      </w:r>
      <w:r>
        <w:rPr>
          <w:spacing w:val="-3"/>
        </w:rPr>
        <w:t>）根据山阳镇人民政府《关于落实本镇企业组织开展职工职业培训补贴的通知》，公司于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6</w:t>
      </w:r>
      <w:r>
        <w:rPr>
          <w:spacing w:val="-3"/>
        </w:rPr>
        <w:t>日收到上海</w:t>
      </w:r>
      <w:r>
        <w:rPr>
          <w:spacing w:val="-87"/>
        </w:rPr>
        <w:t> </w:t>
      </w:r>
      <w:r>
        <w:rPr/>
        <w:t>市金山区财政局拨付的教育费补助</w:t>
      </w:r>
      <w:r>
        <w:rPr>
          <w:rFonts w:ascii="Times New Roman" w:hAnsi="Times New Roman" w:cs="Times New Roman" w:eastAsia="Times New Roman" w:hint="default"/>
        </w:rPr>
        <w:t>57,880.00</w:t>
      </w:r>
      <w:r>
        <w:rPr/>
        <w:t>元。</w:t>
      </w:r>
    </w:p>
    <w:p>
      <w:pPr>
        <w:pStyle w:val="BodyText"/>
        <w:spacing w:line="300" w:lineRule="auto" w:before="13"/>
        <w:ind w:left="1842" w:right="0"/>
        <w:jc w:val="left"/>
      </w:pPr>
      <w:r>
        <w:rPr>
          <w:spacing w:val="-2"/>
        </w:rPr>
        <w:t>（</w:t>
      </w:r>
      <w:r>
        <w:rPr>
          <w:rFonts w:ascii="Times New Roman" w:hAnsi="Times New Roman" w:cs="Times New Roman" w:eastAsia="Times New Roman" w:hint="default"/>
          <w:spacing w:val="-2"/>
        </w:rPr>
        <w:t>9</w:t>
      </w:r>
      <w:r>
        <w:rPr>
          <w:spacing w:val="-2"/>
        </w:rPr>
        <w:t>）根据上海市高新技术成果转化项目认定程序，公司于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日收到上海市财政局拨付的高新技术成果转</w:t>
      </w:r>
      <w:r>
        <w:rPr>
          <w:spacing w:val="-52"/>
        </w:rPr>
        <w:t> </w:t>
      </w:r>
      <w:r>
        <w:rPr/>
        <w:t>化款</w:t>
      </w:r>
      <w:r>
        <w:rPr>
          <w:rFonts w:ascii="Times New Roman" w:hAnsi="Times New Roman" w:cs="Times New Roman" w:eastAsia="Times New Roman" w:hint="default"/>
        </w:rPr>
        <w:t>2,829,000.00</w:t>
      </w:r>
      <w:r>
        <w:rPr/>
        <w:t>元。</w:t>
      </w:r>
    </w:p>
    <w:p>
      <w:pPr>
        <w:pStyle w:val="BodyText"/>
        <w:spacing w:line="300" w:lineRule="auto" w:before="13"/>
        <w:ind w:left="1842" w:right="0"/>
        <w:jc w:val="left"/>
      </w:pPr>
      <w:r>
        <w:rPr>
          <w:spacing w:val="-2"/>
        </w:rPr>
        <w:t>（</w:t>
      </w:r>
      <w:r>
        <w:rPr>
          <w:rFonts w:ascii="Times New Roman" w:hAnsi="Times New Roman" w:cs="Times New Roman" w:eastAsia="Times New Roman" w:hint="default"/>
          <w:spacing w:val="-2"/>
        </w:rPr>
        <w:t>10</w:t>
      </w:r>
      <w:r>
        <w:rPr>
          <w:spacing w:val="-2"/>
        </w:rPr>
        <w:t>）根据上海市质量技术监督局和上海市经合信息化委员会《关于表彰</w:t>
      </w:r>
      <w:r>
        <w:rPr>
          <w:rFonts w:ascii="Times New Roman" w:hAnsi="Times New Roman" w:cs="Times New Roman" w:eastAsia="Times New Roman" w:hint="default"/>
          <w:spacing w:val="-2"/>
        </w:rPr>
        <w:t>2014</w:t>
      </w:r>
      <w:r>
        <w:rPr>
          <w:spacing w:val="-2"/>
        </w:rPr>
        <w:t>年度上海市重点产品质量攻关成果的</w:t>
      </w:r>
      <w:r>
        <w:rPr>
          <w:spacing w:val="-54"/>
        </w:rPr>
        <w:t> </w:t>
      </w:r>
      <w:r>
        <w:rPr>
          <w:spacing w:val="-2"/>
        </w:rPr>
        <w:t>通知》，公司于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日收到上海市质量技术监督局拨付的重点产品质量攻关奖励款</w:t>
      </w:r>
      <w:r>
        <w:rPr>
          <w:rFonts w:ascii="Times New Roman" w:hAnsi="Times New Roman" w:cs="Times New Roman" w:eastAsia="Times New Roman" w:hint="default"/>
          <w:spacing w:val="-2"/>
        </w:rPr>
        <w:t>2,000.00</w:t>
      </w:r>
      <w:r>
        <w:rPr>
          <w:spacing w:val="-2"/>
        </w:rPr>
        <w:t>元。</w:t>
      </w:r>
    </w:p>
    <w:p>
      <w:pPr>
        <w:pStyle w:val="BodyText"/>
        <w:spacing w:line="240" w:lineRule="auto" w:before="13"/>
        <w:ind w:left="1842" w:right="0"/>
        <w:jc w:val="left"/>
      </w:pPr>
      <w:r>
        <w:rPr/>
        <w:t>（</w:t>
      </w:r>
      <w:r>
        <w:rPr>
          <w:rFonts w:ascii="Times New Roman" w:hAnsi="Times New Roman" w:cs="Times New Roman" w:eastAsia="Times New Roman" w:hint="default"/>
        </w:rPr>
        <w:t>11</w:t>
      </w:r>
      <w:r>
        <w:rPr/>
        <w:t>）根据上海市金山区知识产权局相关规定，公司于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日收到上海市金山区财政局拨付的专利资助费</w:t>
      </w:r>
    </w:p>
    <w:p>
      <w:pPr>
        <w:pStyle w:val="BodyText"/>
        <w:spacing w:line="240" w:lineRule="auto" w:before="63"/>
        <w:ind w:left="1842" w:right="0"/>
        <w:jc w:val="left"/>
      </w:pPr>
      <w:r>
        <w:rPr>
          <w:rFonts w:ascii="Times New Roman" w:hAnsi="Times New Roman" w:cs="Times New Roman" w:eastAsia="Times New Roman" w:hint="default"/>
        </w:rPr>
        <w:t>11,000.00</w:t>
      </w:r>
      <w:r>
        <w:rPr/>
        <w:t>元。</w:t>
      </w:r>
    </w:p>
    <w:p>
      <w:pPr>
        <w:pStyle w:val="BodyText"/>
        <w:spacing w:line="300" w:lineRule="auto" w:before="63"/>
        <w:ind w:left="1842" w:right="0"/>
        <w:jc w:val="left"/>
      </w:pPr>
      <w:r>
        <w:rPr/>
        <w:t>（</w:t>
      </w:r>
      <w:r>
        <w:rPr>
          <w:rFonts w:ascii="Times New Roman" w:hAnsi="Times New Roman" w:cs="Times New Roman" w:eastAsia="Times New Roman" w:hint="default"/>
        </w:rPr>
        <w:t>12</w:t>
      </w:r>
      <w:r>
        <w:rPr/>
        <w:t>）根据启东市财政局《关于安排江苏华峰超纤材料有限公司有关补助资金》的文件，江苏超纤于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28"/>
        </w:rPr>
        <w:t> </w:t>
      </w:r>
      <w:r>
        <w:rPr/>
        <w:t>日收到启东市财政局拨入项目用地办证中税费补助款</w:t>
      </w:r>
      <w:r>
        <w:rPr>
          <w:rFonts w:ascii="Times New Roman" w:hAnsi="Times New Roman" w:cs="Times New Roman" w:eastAsia="Times New Roman" w:hint="default"/>
        </w:rPr>
        <w:t>4,560,300.00</w:t>
      </w:r>
      <w:r>
        <w:rPr/>
        <w:t>元。</w:t>
      </w:r>
    </w:p>
    <w:p>
      <w:pPr>
        <w:spacing w:line="240" w:lineRule="auto" w:before="1"/>
        <w:rPr>
          <w:rFonts w:ascii="宋体" w:hAnsi="宋体" w:cs="宋体" w:eastAsia="宋体" w:hint="default"/>
          <w:sz w:val="22"/>
          <w:szCs w:val="22"/>
        </w:rPr>
      </w:pPr>
    </w:p>
    <w:p>
      <w:pPr>
        <w:pStyle w:val="Heading3"/>
        <w:spacing w:line="240" w:lineRule="auto"/>
        <w:ind w:left="1133" w:right="0"/>
        <w:jc w:val="left"/>
        <w:rPr>
          <w:b w:val="0"/>
          <w:bCs w:val="0"/>
        </w:rPr>
      </w:pPr>
      <w:bookmarkStart w:name="37、营业外支出" w:id="266"/>
      <w:bookmarkEnd w:id="266"/>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14,060,627.11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14,060,627.11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14,060,627.11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14,060,627.11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14,430,627.11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203,622.00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14,430,627.11</w:t>
            </w:r>
          </w:p>
        </w:tc>
      </w:tr>
    </w:tbl>
    <w:p>
      <w:pPr>
        <w:pStyle w:val="BodyText"/>
        <w:spacing w:line="357" w:lineRule="auto" w:before="51"/>
        <w:ind w:right="4273"/>
        <w:jc w:val="left"/>
      </w:pPr>
      <w:r>
        <w:rPr/>
        <w:t>其他说明： 本期固定资产处置损失，主要是公司本期煤气改造，旧锅炉不再适用，予以报废。</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38、所得税费用" w:id="267"/>
      <w:bookmarkEnd w:id="267"/>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68"/>
      <w:bookmarkEnd w:id="26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25,800,983.19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66,440,485.17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-9,364,567.49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-50,436,248.86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16,436,415.70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16,004,236.31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会计利润与所得税费用调整过程" w:id="269"/>
      <w:bookmarkEnd w:id="26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135,372,913.23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20,305,936.98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2,536,654.00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4,846,532.43</w:t>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-9,364,567.49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子公司取得递延收益纳税影响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上期未收到法定凭证，本期收到法定凭证，可以税前扣除成 本费用和损失</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-3,111,286.15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-2,501,480.31</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16,436,415.70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现金流量表项目" w:id="270"/>
      <w:bookmarkEnd w:id="270"/>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271"/>
      <w:bookmarkEnd w:id="27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9,659,894.00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3,616,177.50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1,130,206.65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6,083,026.69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收回的备用金及保证金等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4,040,458.54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1,659,833.94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100,794.32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70,861.88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14,931,353.51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11,429,900.01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72"/>
      <w:bookmarkEnd w:id="27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23,529,438.54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25,562,463.85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9,050,399.85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7,092,201.07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运输装卸保险等费用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4,783,190.60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4,321,201.95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3,920,816.97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2,783,847.62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759,802.10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1,125,906.92</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2,808,508.15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1,679,731.30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8,474,004.82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4,647,145.71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1,127,655.58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1,087,463.81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349,564.80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692,149.88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475,649.49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支付的备用金及保证金等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2,279,523.54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5,647,474.00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5,312,975.90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11,973,657.63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63,825,929.74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67,423,030.34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273"/>
      <w:bookmarkEnd w:id="27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189,501,312.00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收回暂借款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50,737,998.70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240,239,310.70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274"/>
      <w:bookmarkEnd w:id="27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956,180.21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支付暂借款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27,238,171.95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4,016,700.62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4,016,700.62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28,194,352.16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275"/>
      <w:bookmarkEnd w:id="27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276"/>
      <w:bookmarkEnd w:id="27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17"/>
          <w:pgSz w:w="11910" w:h="16840"/>
          <w:pgMar w:footer="979" w:header="747" w:top="1060" w:bottom="1160" w:left="0" w:right="0"/>
          <w:pgNumType w:start="101"/>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现金流量表补充资料" w:id="277"/>
      <w:bookmarkEnd w:id="277"/>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278"/>
      <w:bookmarkEnd w:id="27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118,936,497.53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115,493,664.07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3,600,365.45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4,036,126.75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73,537,252.12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67,363,982.46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7,952,672.85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1,521,563.14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416,095.55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385,650.07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13,908,949.30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-129,182.03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2,039,753.59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18,666.67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-9,364,567.49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-50,436,248.86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9,075,948.63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-33,290,781.65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13,841,700.09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-65,015,909.43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-124,414,556.02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82,862,796.37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-978,981.13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107,400,111.60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121,831,346.43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78,061,091.58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276,804,028.73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-113,248,310.79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-85,494,626.36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279"/>
      <w:bookmarkEnd w:id="27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78,061,091.58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82,671.93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78,003,317.75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191,226,730.44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78,061,091.58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所有权或使用权受到限制的资产" w:id="280"/>
      <w:bookmarkEnd w:id="280"/>
      <w:r>
        <w:rPr>
          <w:b w:val="0"/>
          <w:bCs w:val="0"/>
        </w:rPr>
      </w:r>
      <w:r>
        <w:rPr>
          <w:rFonts w:ascii="Times New Roman" w:hAnsi="Times New Roman" w:cs="Times New Roman" w:eastAsia="Times New Roman" w:hint="default"/>
        </w:rPr>
        <w:t>41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31,611,658.58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68,098,206.35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141,856,087.84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181,085,321.03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422,651,273.80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外币货币性项目" w:id="281"/>
      <w:bookmarkEnd w:id="281"/>
      <w:r>
        <w:rPr>
          <w:b w:val="0"/>
          <w:bCs w:val="0"/>
        </w:rPr>
      </w:r>
      <w:r>
        <w:rPr>
          <w:rFonts w:ascii="Times New Roman" w:hAnsi="Times New Roman" w:cs="Times New Roman" w:eastAsia="Times New Roman" w:hint="default"/>
        </w:rPr>
        <w:t>42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282"/>
      <w:bookmarkEnd w:id="28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509,921.59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3,311,226.85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3,727,416.01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24,204,348.60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八、在其他主体中的权益" w:id="283"/>
      <w:bookmarkEnd w:id="283"/>
      <w:r>
        <w:rPr>
          <w:b w:val="0"/>
          <w:bCs w:val="0"/>
        </w:rPr>
      </w:r>
      <w:r>
        <w:rPr/>
        <w:t>八、在其他主体中的权益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284"/>
      <w:bookmarkEnd w:id="28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285"/>
      <w:bookmarkEnd w:id="28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九、关联方及关联交易" w:id="286"/>
      <w:bookmarkEnd w:id="286"/>
      <w:r>
        <w:rPr>
          <w:b w:val="0"/>
          <w:bCs w:val="0"/>
        </w:rPr>
      </w: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企业的母公司情况" w:id="287"/>
      <w:bookmarkEnd w:id="28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浙江省瑞安市莘塍 工业园区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14.87%</w:t>
            </w:r>
          </w:p>
        </w:tc>
      </w:tr>
    </w:tbl>
    <w:p>
      <w:pPr>
        <w:pStyle w:val="BodyText"/>
        <w:spacing w:line="360" w:lineRule="auto" w:before="51"/>
        <w:ind w:right="4813"/>
        <w:jc w:val="left"/>
      </w:pPr>
      <w:r>
        <w:rPr/>
        <w:t>本企业的母公司情况的说明 本企业最终控制方是尤小平、尤小华、尤金焕、尤小燕、尤小玲、陈林真。</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2、本企业的子公司情况" w:id="288"/>
      <w:bookmarkEnd w:id="28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本企业子公司的情况详见附注八。</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其他关联方情况" w:id="289"/>
      <w:bookmarkEnd w:id="289"/>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实际控制人控制的其他企业</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关联交易情况" w:id="290"/>
      <w:bookmarkEnd w:id="290"/>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291"/>
      <w:bookmarkEnd w:id="29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重庆华峰化工有限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8,998,290.60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both"/>
      </w:pPr>
      <w:r>
        <w:rPr/>
        <w:t>购销商品、提供和接受劳务的关联交易说明</w:t>
      </w:r>
    </w:p>
    <w:p>
      <w:pPr>
        <w:pStyle w:val="BodyText"/>
        <w:spacing w:line="300" w:lineRule="auto" w:before="115"/>
        <w:ind w:right="1132"/>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日，公司第二届董事会第二十二次会议审议通过了《关于向关联公司购买原材料的日常关联交易的议案》，同意</w:t>
      </w:r>
      <w:r>
        <w:rPr/>
        <w:t> 在未来十二个月内向关联方重庆华峰化工有限公司采购总金额不超过</w:t>
      </w:r>
      <w:r>
        <w:rPr>
          <w:rFonts w:ascii="Times New Roman" w:hAnsi="Times New Roman" w:cs="Times New Roman" w:eastAsia="Times New Roman" w:hint="default"/>
        </w:rPr>
        <w:t>3000 </w:t>
      </w:r>
      <w:r>
        <w:rPr/>
        <w:t>万元的己二酸，定价遵循市场定价的原则。公司 </w:t>
      </w:r>
      <w:r>
        <w:rPr>
          <w:rFonts w:ascii="Times New Roman" w:hAnsi="Times New Roman" w:cs="Times New Roman" w:eastAsia="Times New Roman" w:hint="default"/>
        </w:rPr>
        <w:t>2015</w:t>
      </w:r>
      <w:r>
        <w:rPr/>
        <w:t>年度实际采购情况遵循了上述董事会决议。</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关联方资金拆借" w:id="292"/>
      <w:bookmarkEnd w:id="292"/>
      <w:r>
        <w:rPr>
          <w:b w:val="0"/>
          <w:bCs w:val="0"/>
        </w:rPr>
      </w:r>
      <w:r>
        <w:rPr/>
        <w:t>（</w:t>
      </w:r>
      <w:r>
        <w:rPr>
          <w:rFonts w:ascii="Times New Roman" w:hAnsi="Times New Roman" w:cs="Times New Roman" w:eastAsia="Times New Roman" w:hint="default"/>
        </w:rPr>
        <w:t>2</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浙江华峰新材料股份有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48,574,482.00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键管理人员报酬" w:id="293"/>
      <w:bookmarkEnd w:id="293"/>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6,861,204.14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5,529,981.00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应收应付款项" w:id="294"/>
      <w:bookmarkEnd w:id="294"/>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295"/>
      <w:bookmarkEnd w:id="295"/>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3,959,384.62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浙江华峰新材料股份有限公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48,574,482.00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承诺及或有事项" w:id="296"/>
      <w:bookmarkEnd w:id="296"/>
      <w:r>
        <w:rPr>
          <w:b w:val="0"/>
          <w:bCs w:val="0"/>
        </w:rPr>
      </w:r>
      <w:r>
        <w:rPr/>
        <w:t>十、承诺及或有事项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297"/>
      <w:bookmarkEnd w:id="29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资产负债表日存在的重要承诺</w:t>
      </w:r>
    </w:p>
    <w:p>
      <w:pPr>
        <w:pStyle w:val="BodyText"/>
        <w:spacing w:line="300" w:lineRule="auto" w:before="115"/>
        <w:ind w:left="1852" w:right="0"/>
        <w:jc w:val="left"/>
      </w:pPr>
      <w:r>
        <w:rPr/>
        <w:t>（</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日，公司货币资金中使用受到限制的金额为</w:t>
      </w:r>
      <w:r>
        <w:rPr>
          <w:rFonts w:ascii="Times New Roman" w:hAnsi="Times New Roman" w:cs="Times New Roman" w:eastAsia="Times New Roman" w:hint="default"/>
        </w:rPr>
        <w:t>31,611,658.58</w:t>
      </w:r>
      <w:r>
        <w:rPr/>
        <w:t>元；其中：银行承兑汇票保证金</w:t>
      </w:r>
      <w:r>
        <w:rPr>
          <w:spacing w:val="-46"/>
        </w:rPr>
        <w:t> </w:t>
      </w:r>
      <w:r>
        <w:rPr>
          <w:spacing w:val="-46"/>
        </w:rPr>
      </w:r>
      <w:r>
        <w:rPr/>
        <w:t>为</w:t>
      </w:r>
      <w:r>
        <w:rPr>
          <w:rFonts w:ascii="Times New Roman" w:hAnsi="Times New Roman" w:cs="Times New Roman" w:eastAsia="Times New Roman" w:hint="default"/>
        </w:rPr>
        <w:t>18,586,658.58</w:t>
      </w:r>
      <w:r>
        <w:rPr/>
        <w:t>元，信用证保证金为</w:t>
      </w:r>
      <w:r>
        <w:rPr>
          <w:rFonts w:ascii="Times New Roman" w:hAnsi="Times New Roman" w:cs="Times New Roman" w:eastAsia="Times New Roman" w:hint="default"/>
        </w:rPr>
        <w:t>13,025,000.00</w:t>
      </w:r>
      <w:r>
        <w:rPr/>
        <w:t>元。</w:t>
      </w:r>
    </w:p>
    <w:p>
      <w:pPr>
        <w:pStyle w:val="BodyText"/>
        <w:spacing w:line="300" w:lineRule="auto" w:before="13"/>
        <w:ind w:left="1851" w:right="1125"/>
        <w:jc w:val="left"/>
      </w:pPr>
      <w:r>
        <w:rPr>
          <w:spacing w:val="6"/>
        </w:rPr>
        <w:t>（</w:t>
      </w:r>
      <w:r>
        <w:rPr>
          <w:rFonts w:ascii="Times New Roman" w:hAnsi="Times New Roman" w:cs="Times New Roman" w:eastAsia="Times New Roman" w:hint="default"/>
          <w:spacing w:val="6"/>
        </w:rPr>
        <w:t>2</w:t>
      </w:r>
      <w:r>
        <w:rPr>
          <w:spacing w:val="6"/>
        </w:rPr>
        <w:t>）截止</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日，公司以原值为</w:t>
      </w:r>
      <w:r>
        <w:rPr>
          <w:rFonts w:ascii="Times New Roman" w:hAnsi="Times New Roman" w:cs="Times New Roman" w:eastAsia="Times New Roman" w:hint="default"/>
          <w:spacing w:val="6"/>
        </w:rPr>
        <w:t>86,494,119.90</w:t>
      </w:r>
      <w:r>
        <w:rPr>
          <w:spacing w:val="6"/>
        </w:rPr>
        <w:t>元、净值为</w:t>
      </w:r>
      <w:r>
        <w:rPr>
          <w:rFonts w:ascii="Times New Roman" w:hAnsi="Times New Roman" w:cs="Times New Roman" w:eastAsia="Times New Roman" w:hint="default"/>
          <w:spacing w:val="6"/>
        </w:rPr>
        <w:t>43,336,015.40</w:t>
      </w:r>
      <w:r>
        <w:rPr>
          <w:spacing w:val="6"/>
        </w:rPr>
        <w:t>元的房屋及建筑物及原值为</w:t>
      </w:r>
      <w:r>
        <w:rPr>
          <w:spacing w:val="-54"/>
        </w:rPr>
        <w:t> </w:t>
      </w:r>
      <w:r>
        <w:rPr>
          <w:spacing w:val="-54"/>
        </w:rPr>
      </w:r>
      <w:r>
        <w:rPr>
          <w:rFonts w:ascii="Times New Roman" w:hAnsi="Times New Roman" w:cs="Times New Roman" w:eastAsia="Times New Roman" w:hint="default"/>
        </w:rPr>
        <w:t>9,165,650.01</w:t>
      </w:r>
      <w:r>
        <w:rPr/>
        <w:t>元、净值为</w:t>
      </w:r>
      <w:r>
        <w:rPr>
          <w:rFonts w:ascii="Times New Roman" w:hAnsi="Times New Roman" w:cs="Times New Roman" w:eastAsia="Times New Roman" w:hint="default"/>
        </w:rPr>
        <w:t>6,946,824.67</w:t>
      </w:r>
      <w:r>
        <w:rPr/>
        <w:t>元的土地使用权为公司在中国银行上海市金山支行自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日起至</w:t>
      </w:r>
      <w:r>
        <w:rPr>
          <w:rFonts w:ascii="Times New Roman" w:hAnsi="Times New Roman" w:cs="Times New Roman" w:eastAsia="Times New Roman" w:hint="default"/>
        </w:rPr>
        <w:t>2019</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日止签署的不高于人民币</w:t>
      </w:r>
      <w:r>
        <w:rPr>
          <w:rFonts w:ascii="Times New Roman" w:hAnsi="Times New Roman" w:cs="Times New Roman" w:eastAsia="Times New Roman" w:hint="default"/>
        </w:rPr>
        <w:t>230,000,000.00</w:t>
      </w:r>
      <w:r>
        <w:rPr/>
        <w:t>元的全部债务提供抵押担保。 </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日，公司在上述协议下，已开立未到期的信用证金额为</w:t>
      </w:r>
      <w:r>
        <w:rPr>
          <w:rFonts w:ascii="Times New Roman" w:hAnsi="Times New Roman" w:cs="Times New Roman" w:eastAsia="Times New Roman" w:hint="default"/>
          <w:spacing w:val="-1"/>
        </w:rPr>
        <w:t>2,642,124.00</w:t>
      </w:r>
      <w:r>
        <w:rPr>
          <w:spacing w:val="-1"/>
        </w:rPr>
        <w:t>美元、</w:t>
      </w:r>
      <w:r>
        <w:rPr>
          <w:rFonts w:ascii="Times New Roman" w:hAnsi="Times New Roman" w:cs="Times New Roman" w:eastAsia="Times New Roman" w:hint="default"/>
          <w:spacing w:val="-1"/>
        </w:rPr>
        <w:t>192,000.00</w:t>
      </w:r>
      <w:r>
        <w:rPr>
          <w:spacing w:val="-1"/>
        </w:rPr>
        <w:t>欧元；已取</w:t>
      </w:r>
      <w:r>
        <w:rPr>
          <w:spacing w:val="-65"/>
        </w:rPr>
        <w:t> </w:t>
      </w:r>
      <w:r>
        <w:rPr>
          <w:spacing w:val="-65"/>
        </w:rPr>
      </w:r>
      <w:r>
        <w:rPr>
          <w:spacing w:val="-2"/>
        </w:rPr>
        <w:t>得未到期的银行短期借款余额为人民币</w:t>
      </w:r>
      <w:r>
        <w:rPr>
          <w:rFonts w:ascii="Times New Roman" w:hAnsi="Times New Roman" w:cs="Times New Roman" w:eastAsia="Times New Roman" w:hint="default"/>
          <w:spacing w:val="-2"/>
        </w:rPr>
        <w:t>130,000,000.00</w:t>
      </w:r>
      <w:r>
        <w:rPr>
          <w:spacing w:val="-2"/>
        </w:rPr>
        <w:t>元，其中：</w:t>
      </w:r>
      <w:r>
        <w:rPr>
          <w:rFonts w:ascii="Times New Roman" w:hAnsi="Times New Roman" w:cs="Times New Roman" w:eastAsia="Times New Roman" w:hint="default"/>
          <w:spacing w:val="-2"/>
        </w:rPr>
        <w:t>5,000,000.00</w:t>
      </w:r>
      <w:r>
        <w:rPr>
          <w:spacing w:val="-2"/>
        </w:rPr>
        <w:t>元的借款期限为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20,000,000.00</w:t>
      </w:r>
      <w:r>
        <w:rPr/>
        <w:t>元的借款期限为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40,000,000.00</w:t>
      </w:r>
      <w:r>
        <w:rPr/>
        <w:t>元的借款期限为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40"/>
        </w:rPr>
        <w:t> </w:t>
      </w:r>
      <w:r>
        <w:rPr>
          <w:spacing w:val="-2"/>
        </w:rPr>
        <w:t>月</w:t>
      </w:r>
      <w:r>
        <w:rPr>
          <w:rFonts w:ascii="Times New Roman" w:hAnsi="Times New Roman" w:cs="Times New Roman" w:eastAsia="Times New Roman" w:hint="default"/>
          <w:spacing w:val="-2"/>
        </w:rPr>
        <w:t>25</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40,000,000.00</w:t>
      </w:r>
      <w:r>
        <w:rPr>
          <w:spacing w:val="-2"/>
        </w:rPr>
        <w:t>元的借款期限为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25,000,000.00</w:t>
      </w:r>
      <w:r>
        <w:rPr>
          <w:spacing w:val="-2"/>
        </w:rPr>
        <w:t>元的借款</w:t>
      </w:r>
      <w:r>
        <w:rPr>
          <w:spacing w:val="-22"/>
        </w:rPr>
        <w:t> </w:t>
      </w:r>
      <w:r>
        <w:rPr/>
        <w:t>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日；已开具未到期的银行承兑汇票共计</w:t>
      </w:r>
      <w:r>
        <w:rPr>
          <w:rFonts w:ascii="Times New Roman" w:hAnsi="Times New Roman" w:cs="Times New Roman" w:eastAsia="Times New Roman" w:hint="default"/>
        </w:rPr>
        <w:t>44,008,775.30</w:t>
      </w:r>
      <w:r>
        <w:rPr/>
        <w:t>元，其中</w:t>
      </w:r>
      <w:r>
        <w:rPr>
          <w:rFonts w:ascii="Times New Roman" w:hAnsi="Times New Roman" w:cs="Times New Roman" w:eastAsia="Times New Roman" w:hint="default"/>
        </w:rPr>
        <w:t>3,564,813.80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元的银行承兑汇票期限为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5,000,000.00</w:t>
      </w:r>
      <w:r>
        <w:rPr/>
        <w:t>元的银行承兑汇票期限为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7,553,577.50</w:t>
      </w:r>
      <w:r>
        <w:rPr/>
        <w:t>元的银行承兑汇票期限为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8,938,852.00</w:t>
      </w:r>
      <w:r>
        <w:rPr/>
        <w:t>元的</w:t>
      </w:r>
      <w:r>
        <w:rPr>
          <w:spacing w:val="-87"/>
        </w:rPr>
        <w:t> </w:t>
      </w:r>
      <w:r>
        <w:rPr>
          <w:spacing w:val="3"/>
        </w:rPr>
        <w:t>银行承兑汇票期限为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09</w:t>
      </w:r>
      <w:r>
        <w:rPr>
          <w:spacing w:val="3"/>
        </w:rPr>
        <w:t>日至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06</w:t>
      </w:r>
      <w:r>
        <w:rPr>
          <w:spacing w:val="3"/>
        </w:rPr>
        <w:t>月</w:t>
      </w:r>
      <w:r>
        <w:rPr>
          <w:rFonts w:ascii="Times New Roman" w:hAnsi="Times New Roman" w:cs="Times New Roman" w:eastAsia="Times New Roman" w:hint="default"/>
          <w:spacing w:val="3"/>
        </w:rPr>
        <w:t>09</w:t>
      </w:r>
      <w:r>
        <w:rPr>
          <w:spacing w:val="3"/>
        </w:rPr>
        <w:t>日；</w:t>
      </w:r>
      <w:r>
        <w:rPr>
          <w:rFonts w:ascii="Times New Roman" w:hAnsi="Times New Roman" w:cs="Times New Roman" w:eastAsia="Times New Roman" w:hint="default"/>
          <w:spacing w:val="3"/>
        </w:rPr>
        <w:t>2,237,780.00</w:t>
      </w:r>
      <w:r>
        <w:rPr>
          <w:spacing w:val="3"/>
        </w:rPr>
        <w:t>元的银行承兑汇票期限为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w:t>
      </w:r>
      <w:r>
        <w:rPr>
          <w:spacing w:val="-62"/>
        </w:rPr>
        <w:t> </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11</w:t>
      </w:r>
      <w:r>
        <w:rPr>
          <w:spacing w:val="-1"/>
        </w:rPr>
        <w:t>日；</w:t>
      </w:r>
      <w:r>
        <w:rPr>
          <w:rFonts w:ascii="Times New Roman" w:hAnsi="Times New Roman" w:cs="Times New Roman" w:eastAsia="Times New Roman" w:hint="default"/>
          <w:spacing w:val="-1"/>
        </w:rPr>
        <w:t>1,000,000.00</w:t>
      </w:r>
      <w:r>
        <w:rPr>
          <w:spacing w:val="-1"/>
        </w:rPr>
        <w:t>的银行承兑汇票期限为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15</w:t>
      </w:r>
      <w:r>
        <w:rPr>
          <w:spacing w:val="-1"/>
        </w:rPr>
        <w:t>日；</w:t>
      </w:r>
      <w:r>
        <w:rPr>
          <w:rFonts w:ascii="Times New Roman" w:hAnsi="Times New Roman" w:cs="Times New Roman" w:eastAsia="Times New Roman" w:hint="default"/>
          <w:spacing w:val="-1"/>
        </w:rPr>
        <w:t>911,232.00</w:t>
      </w:r>
      <w:r>
        <w:rPr>
          <w:spacing w:val="-1"/>
        </w:rPr>
        <w:t>的银行承兑汇</w:t>
      </w:r>
      <w:r>
        <w:rPr>
          <w:spacing w:val="-59"/>
        </w:rPr>
        <w:t> </w:t>
      </w:r>
      <w:r>
        <w:rPr>
          <w:spacing w:val="-59"/>
        </w:rPr>
      </w:r>
      <w:r>
        <w:rPr>
          <w:spacing w:val="-1"/>
        </w:rPr>
        <w:t>票期限为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23</w:t>
      </w:r>
      <w:r>
        <w:rPr>
          <w:spacing w:val="-1"/>
        </w:rPr>
        <w:t>日；</w:t>
      </w:r>
      <w:r>
        <w:rPr>
          <w:rFonts w:ascii="Times New Roman" w:hAnsi="Times New Roman" w:cs="Times New Roman" w:eastAsia="Times New Roman" w:hint="default"/>
          <w:spacing w:val="-1"/>
        </w:rPr>
        <w:t>14,802,520.00</w:t>
      </w:r>
      <w:r>
        <w:rPr>
          <w:spacing w:val="-1"/>
        </w:rPr>
        <w:t>元的银行承兑汇票期限为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06</w:t>
      </w:r>
      <w:r>
        <w:rPr>
          <w:spacing w:val="-1"/>
        </w:rPr>
        <w:t>月</w:t>
      </w:r>
      <w:r>
        <w:rPr>
          <w:spacing w:val="-56"/>
        </w:rPr>
        <w:t> </w:t>
      </w:r>
      <w:r>
        <w:rPr>
          <w:rFonts w:ascii="Times New Roman" w:hAnsi="Times New Roman" w:cs="Times New Roman" w:eastAsia="Times New Roman" w:hint="default"/>
        </w:rPr>
        <w:t>25</w:t>
      </w:r>
      <w:r>
        <w:rPr/>
        <w:t>日。</w:t>
      </w:r>
    </w:p>
    <w:p>
      <w:pPr>
        <w:pStyle w:val="BodyText"/>
        <w:spacing w:line="300" w:lineRule="auto" w:before="13"/>
        <w:ind w:left="1851" w:right="0"/>
        <w:jc w:val="left"/>
      </w:pPr>
      <w:r>
        <w:rPr>
          <w:spacing w:val="5"/>
        </w:rPr>
        <w:t>（</w:t>
      </w:r>
      <w:r>
        <w:rPr>
          <w:rFonts w:ascii="Times New Roman" w:hAnsi="Times New Roman" w:cs="Times New Roman" w:eastAsia="Times New Roman" w:hint="default"/>
          <w:spacing w:val="5"/>
        </w:rPr>
        <w:t>3</w:t>
      </w:r>
      <w:r>
        <w:rPr>
          <w:spacing w:val="5"/>
        </w:rPr>
        <w:t>）截止</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日，公司以原值为</w:t>
      </w:r>
      <w:r>
        <w:rPr>
          <w:rFonts w:ascii="Times New Roman" w:hAnsi="Times New Roman" w:cs="Times New Roman" w:eastAsia="Times New Roman" w:hint="default"/>
          <w:spacing w:val="5"/>
        </w:rPr>
        <w:t>114,784,109.46</w:t>
      </w:r>
      <w:r>
        <w:rPr>
          <w:spacing w:val="5"/>
        </w:rPr>
        <w:t>元、净值为</w:t>
      </w:r>
      <w:r>
        <w:rPr>
          <w:rFonts w:ascii="Times New Roman" w:hAnsi="Times New Roman" w:cs="Times New Roman" w:eastAsia="Times New Roman" w:hint="default"/>
          <w:spacing w:val="5"/>
        </w:rPr>
        <w:t>98,520,072.44</w:t>
      </w:r>
      <w:r>
        <w:rPr>
          <w:spacing w:val="5"/>
        </w:rPr>
        <w:t>元的房屋及建筑物及原值为</w:t>
      </w:r>
      <w:r>
        <w:rPr>
          <w:spacing w:val="-84"/>
        </w:rPr>
        <w:t> </w:t>
      </w:r>
      <w:r>
        <w:rPr>
          <w:spacing w:val="-84"/>
        </w:rPr>
      </w:r>
      <w:r>
        <w:rPr>
          <w:rFonts w:ascii="Times New Roman" w:hAnsi="Times New Roman" w:cs="Times New Roman" w:eastAsia="Times New Roman" w:hint="default"/>
        </w:rPr>
        <w:t>51,324,774.00</w:t>
      </w:r>
      <w:r>
        <w:rPr/>
        <w:t>元、净值为</w:t>
      </w:r>
      <w:r>
        <w:rPr>
          <w:rFonts w:ascii="Times New Roman" w:hAnsi="Times New Roman" w:cs="Times New Roman" w:eastAsia="Times New Roman" w:hint="default"/>
        </w:rPr>
        <w:t>46,713,508.14</w:t>
      </w:r>
      <w:r>
        <w:rPr/>
        <w:t>元的土地使用权为公司与中国工商银行上海市金山支行自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日至</w:t>
      </w:r>
    </w:p>
    <w:p>
      <w:pPr>
        <w:pStyle w:val="BodyText"/>
        <w:spacing w:line="300" w:lineRule="auto" w:before="13"/>
        <w:ind w:left="1851"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日签订的不高于人民币</w:t>
      </w:r>
      <w:r>
        <w:rPr>
          <w:rFonts w:ascii="Times New Roman" w:hAnsi="Times New Roman" w:cs="Times New Roman" w:eastAsia="Times New Roman" w:hint="default"/>
        </w:rPr>
        <w:t>168,490,000.00</w:t>
      </w:r>
      <w:r>
        <w:rPr/>
        <w:t>元的全部债务提供抵押担保。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日，公司在上述协议下，已取得未到期的银行短期借款余额为人民币</w:t>
      </w:r>
      <w:r>
        <w:rPr>
          <w:rFonts w:ascii="Times New Roman" w:hAnsi="Times New Roman" w:cs="Times New Roman" w:eastAsia="Times New Roman" w:hint="default"/>
          <w:spacing w:val="2"/>
        </w:rPr>
        <w:t>40,000,000.00</w:t>
      </w:r>
      <w:r>
        <w:rPr>
          <w:spacing w:val="2"/>
        </w:rPr>
        <w:t>元，其中：</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851" w:right="0"/>
        <w:jc w:val="left"/>
      </w:pPr>
      <w:r>
        <w:rPr>
          <w:rFonts w:ascii="Times New Roman" w:hAnsi="Times New Roman" w:cs="Times New Roman" w:eastAsia="Times New Roman" w:hint="default"/>
          <w:spacing w:val="2"/>
        </w:rPr>
        <w:t>20,000,000.00</w:t>
      </w:r>
      <w:r>
        <w:rPr>
          <w:spacing w:val="2"/>
        </w:rPr>
        <w:t>元的借款期限为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20,000,000.00</w:t>
      </w:r>
      <w:r>
        <w:rPr>
          <w:spacing w:val="2"/>
        </w:rPr>
        <w:t>元的借款期限为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日至</w:t>
      </w:r>
      <w:r>
        <w:rPr/>
      </w:r>
    </w:p>
    <w:p>
      <w:pPr>
        <w:pStyle w:val="BodyText"/>
        <w:spacing w:line="240" w:lineRule="auto" w:before="63"/>
        <w:ind w:left="1852"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日；已开具未到期的银行承兑汇票共计</w:t>
      </w:r>
      <w:r>
        <w:rPr>
          <w:rFonts w:ascii="Times New Roman" w:hAnsi="Times New Roman" w:cs="Times New Roman" w:eastAsia="Times New Roman" w:hint="default"/>
        </w:rPr>
        <w:t>53,840,259.61</w:t>
      </w:r>
      <w:r>
        <w:rPr/>
        <w:t>元，票据期限从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31</w:t>
      </w:r>
    </w:p>
    <w:p>
      <w:pPr>
        <w:pStyle w:val="BodyText"/>
        <w:spacing w:line="240" w:lineRule="auto" w:before="63"/>
        <w:ind w:left="1851" w:right="0"/>
        <w:jc w:val="left"/>
      </w:pPr>
      <w:r>
        <w:rPr/>
        <w:t>日。</w:t>
      </w:r>
    </w:p>
    <w:p>
      <w:pPr>
        <w:pStyle w:val="BodyText"/>
        <w:spacing w:line="300" w:lineRule="auto" w:before="76"/>
        <w:ind w:left="1851" w:right="0"/>
        <w:jc w:val="left"/>
      </w:pPr>
      <w:r>
        <w:rPr/>
        <w:t>（</w:t>
      </w:r>
      <w:r>
        <w:rPr>
          <w:rFonts w:ascii="Times New Roman" w:hAnsi="Times New Roman" w:cs="Times New Roman" w:eastAsia="Times New Roman" w:hint="default"/>
        </w:rPr>
        <w:t>4</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日，公司将</w:t>
      </w:r>
      <w:r>
        <w:rPr>
          <w:rFonts w:ascii="Times New Roman" w:hAnsi="Times New Roman" w:cs="Times New Roman" w:eastAsia="Times New Roman" w:hint="default"/>
        </w:rPr>
        <w:t>68,098,206.35</w:t>
      </w:r>
      <w:r>
        <w:rPr/>
        <w:t>元的银行承兑汇票质押给中国银行上海市金山支行。为江苏超纤</w:t>
      </w:r>
      <w:r>
        <w:rPr>
          <w:spacing w:val="-47"/>
        </w:rPr>
        <w:t> </w:t>
      </w:r>
      <w:r>
        <w:rPr>
          <w:spacing w:val="-47"/>
        </w:rPr>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日止最高金额为人民币</w:t>
      </w:r>
      <w:r>
        <w:rPr>
          <w:rFonts w:ascii="Times New Roman" w:hAnsi="Times New Roman" w:cs="Times New Roman" w:eastAsia="Times New Roman" w:hint="default"/>
        </w:rPr>
        <w:t>2,440,000.00</w:t>
      </w:r>
      <w:r>
        <w:rPr/>
        <w:t>元及自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日止最</w:t>
      </w:r>
      <w:r>
        <w:rPr>
          <w:spacing w:val="-45"/>
        </w:rPr>
        <w:t> </w:t>
      </w:r>
      <w:r>
        <w:rPr/>
        <w:t>高金额为人民币</w:t>
      </w:r>
      <w:r>
        <w:rPr>
          <w:rFonts w:ascii="Times New Roman" w:hAnsi="Times New Roman" w:cs="Times New Roman" w:eastAsia="Times New Roman" w:hint="default"/>
        </w:rPr>
        <w:t>56,000,000.00</w:t>
      </w:r>
      <w:r>
        <w:rPr/>
        <w:t>元的全部债务提供质押担保。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日，江苏超纤在上述质押协议下已开出未到期的信用证金额为</w:t>
      </w:r>
      <w:r>
        <w:rPr>
          <w:rFonts w:ascii="Times New Roman" w:hAnsi="Times New Roman" w:cs="Times New Roman" w:eastAsia="Times New Roman" w:hint="default"/>
        </w:rPr>
        <w:t>8,101</w:t>
      </w:r>
      <w:r>
        <w:rPr>
          <w:rFonts w:ascii="Times New Roman" w:hAnsi="Times New Roman" w:cs="Times New Roman" w:eastAsia="Times New Roman" w:hint="default"/>
          <w:spacing w:val="-3"/>
        </w:rPr>
        <w:t> </w:t>
      </w:r>
      <w:r>
        <w:rPr>
          <w:rFonts w:ascii="Times New Roman" w:hAnsi="Times New Roman" w:cs="Times New Roman" w:eastAsia="Times New Roman" w:hint="default"/>
        </w:rPr>
        <w:t>,000.00</w:t>
      </w:r>
      <w:r>
        <w:rPr/>
        <w:t>欧元。</w:t>
      </w:r>
    </w:p>
    <w:p>
      <w:pPr>
        <w:pStyle w:val="BodyText"/>
        <w:spacing w:line="300" w:lineRule="auto" w:before="13"/>
        <w:ind w:left="1851" w:right="1125"/>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5</w:t>
      </w: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日，江苏超纤以原值为</w:t>
      </w:r>
      <w:r>
        <w:rPr>
          <w:rFonts w:ascii="Times New Roman" w:hAnsi="Times New Roman" w:cs="Times New Roman" w:eastAsia="Times New Roman" w:hint="default"/>
          <w:spacing w:val="-2"/>
        </w:rPr>
        <w:t>139,692,296.91</w:t>
      </w:r>
      <w:r>
        <w:rPr>
          <w:spacing w:val="-2"/>
        </w:rPr>
        <w:t>元，净值为</w:t>
      </w:r>
      <w:r>
        <w:rPr>
          <w:rFonts w:ascii="Times New Roman" w:hAnsi="Times New Roman" w:cs="Times New Roman" w:eastAsia="Times New Roman" w:hint="default"/>
          <w:spacing w:val="-2"/>
        </w:rPr>
        <w:t>127,424,988.22</w:t>
      </w:r>
      <w:r>
        <w:rPr>
          <w:spacing w:val="-2"/>
        </w:rPr>
        <w:t>元的土地使用权为江苏超纤</w:t>
      </w:r>
      <w:r>
        <w:rPr>
          <w:spacing w:val="-37"/>
        </w:rPr>
        <w:t> </w:t>
      </w:r>
      <w:r>
        <w:rPr/>
        <w:t>与中国工商银行股份有限公司启东支行签订的自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2021</w:t>
      </w:r>
      <w:r>
        <w:rPr/>
        <w:t>至</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日不高于</w:t>
      </w:r>
      <w:r>
        <w:rPr>
          <w:rFonts w:ascii="Times New Roman" w:hAnsi="Times New Roman" w:cs="Times New Roman" w:eastAsia="Times New Roman" w:hint="default"/>
        </w:rPr>
        <w:t>126,800,000.00</w:t>
      </w:r>
      <w:r>
        <w:rPr/>
        <w:t>元的全部债</w:t>
      </w:r>
      <w:r>
        <w:rPr>
          <w:spacing w:val="-40"/>
        </w:rPr>
        <w:t> </w:t>
      </w:r>
      <w:r>
        <w:rPr>
          <w:spacing w:val="-2"/>
        </w:rPr>
        <w:t>务提供抵押担保。同时，公司与中国工商银行股份有限公司启东支行签订《最高额保证合同》为江苏超纤期限为</w:t>
      </w:r>
      <w:r>
        <w:rPr>
          <w:rFonts w:ascii="Times New Roman" w:hAnsi="Times New Roman" w:cs="Times New Roman" w:eastAsia="Times New Roman" w:hint="default"/>
          <w:spacing w:val="-2"/>
        </w:rPr>
        <w:t>72</w:t>
      </w:r>
      <w:r>
        <w:rPr>
          <w:rFonts w:ascii="Times New Roman" w:hAnsi="Times New Roman" w:cs="Times New Roman" w:eastAsia="Times New Roman" w:hint="default"/>
          <w:spacing w:val="-26"/>
        </w:rPr>
        <w:t> </w:t>
      </w:r>
      <w:r>
        <w:rPr/>
        <w:t>个月、金额为</w:t>
      </w:r>
      <w:r>
        <w:rPr>
          <w:rFonts w:ascii="Times New Roman" w:hAnsi="Times New Roman" w:cs="Times New Roman" w:eastAsia="Times New Roman" w:hint="default"/>
        </w:rPr>
        <w:t>227,500,000.00</w:t>
      </w:r>
      <w:r>
        <w:rPr/>
        <w:t>元的长期借款提供连带责任担保。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日，江苏超纤在上述协议下已开出未到期的信用证金额为</w:t>
      </w:r>
      <w:r>
        <w:rPr>
          <w:rFonts w:ascii="Times New Roman" w:hAnsi="Times New Roman" w:cs="Times New Roman" w:eastAsia="Times New Roman" w:hint="default"/>
          <w:spacing w:val="-2"/>
        </w:rPr>
        <w:t>694,640.00</w:t>
      </w:r>
      <w:r>
        <w:rPr>
          <w:spacing w:val="-2"/>
        </w:rPr>
        <w:t>欧元、</w:t>
      </w:r>
      <w:r>
        <w:rPr>
          <w:rFonts w:ascii="Times New Roman" w:hAnsi="Times New Roman" w:cs="Times New Roman" w:eastAsia="Times New Roman" w:hint="default"/>
          <w:spacing w:val="-2"/>
        </w:rPr>
        <w:t>129,920.00</w:t>
      </w:r>
      <w:r>
        <w:rPr>
          <w:spacing w:val="-2"/>
        </w:rPr>
        <w:t>美元（已缴</w:t>
      </w:r>
      <w:r>
        <w:rPr>
          <w:spacing w:val="-44"/>
        </w:rPr>
        <w:t> </w:t>
      </w:r>
      <w:r>
        <w:rPr>
          <w:spacing w:val="-44"/>
        </w:rPr>
      </w:r>
      <w:r>
        <w:rPr>
          <w:spacing w:val="-1"/>
        </w:rPr>
        <w:t>纳信用证保证金</w:t>
      </w:r>
      <w:r>
        <w:rPr>
          <w:rFonts w:ascii="Times New Roman" w:hAnsi="Times New Roman" w:cs="Times New Roman" w:eastAsia="Times New Roman" w:hint="default"/>
          <w:spacing w:val="-1"/>
        </w:rPr>
        <w:t>13,025,000.00</w:t>
      </w:r>
      <w:r>
        <w:rPr>
          <w:spacing w:val="-1"/>
        </w:rPr>
        <w:t>元）；共取得长期借款</w:t>
      </w:r>
      <w:r>
        <w:rPr>
          <w:rFonts w:ascii="Times New Roman" w:hAnsi="Times New Roman" w:cs="Times New Roman" w:eastAsia="Times New Roman" w:hint="default"/>
          <w:spacing w:val="-1"/>
        </w:rPr>
        <w:t>165,810,000.00</w:t>
      </w:r>
      <w:r>
        <w:rPr>
          <w:spacing w:val="-1"/>
        </w:rPr>
        <w:t>元，其中：</w:t>
      </w:r>
      <w:r>
        <w:rPr>
          <w:rFonts w:ascii="Times New Roman" w:hAnsi="Times New Roman" w:cs="Times New Roman" w:eastAsia="Times New Roman" w:hint="default"/>
          <w:spacing w:val="-1"/>
        </w:rPr>
        <w:t>17,190,000.00</w:t>
      </w:r>
      <w:r>
        <w:rPr>
          <w:spacing w:val="-1"/>
        </w:rPr>
        <w:t>元借款期限为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7"/>
        </w:rPr>
        <w:t> </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4,795,000.00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17,190,000.00</w:t>
      </w:r>
      <w:r>
        <w:rPr/>
        <w:t>元借款期限</w:t>
      </w:r>
      <w:r>
        <w:rPr>
          <w:spacing w:val="-86"/>
        </w:rPr>
        <w:t> </w:t>
      </w:r>
      <w:r>
        <w:rPr/>
        <w:t>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17,190,000.00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5,315,000.00</w:t>
      </w:r>
    </w:p>
    <w:p>
      <w:pPr>
        <w:pStyle w:val="BodyText"/>
        <w:spacing w:line="300" w:lineRule="auto" w:before="13"/>
        <w:ind w:left="1851" w:right="1130"/>
        <w:jc w:val="both"/>
      </w:pP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14,060,000.00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w:t>
      </w:r>
      <w:r>
        <w:rPr>
          <w:spacing w:val="-47"/>
        </w:rPr>
        <w:t> </w:t>
      </w:r>
      <w:r>
        <w:rPr>
          <w:rFonts w:ascii="Times New Roman" w:hAnsi="Times New Roman" w:cs="Times New Roman" w:eastAsia="Times New Roman" w:hint="default"/>
          <w:spacing w:val="-2"/>
        </w:rPr>
        <w:t>14,060,000.00</w:t>
      </w:r>
      <w:r>
        <w:rPr>
          <w:spacing w:val="-2"/>
        </w:rPr>
        <w:t>元借款期限为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9,180,000.00</w:t>
      </w:r>
      <w:r>
        <w:rPr>
          <w:spacing w:val="-2"/>
        </w:rPr>
        <w:t>元借款期限为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24"/>
        </w:rPr>
        <w:t> </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8,200,000.00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14,060,000.00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38"/>
        </w:rPr>
        <w:t> </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w:t>
      </w:r>
      <w:r>
        <w:rPr>
          <w:rFonts w:ascii="Times New Roman" w:hAnsi="Times New Roman" w:cs="Times New Roman" w:eastAsia="Times New Roman" w:hint="default"/>
          <w:spacing w:val="-3"/>
        </w:rPr>
        <w:t>17,190,000.00</w:t>
      </w:r>
      <w:r>
        <w:rPr>
          <w:spacing w:val="-3"/>
        </w:rPr>
        <w:t>元借款期限为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18</w:t>
      </w:r>
      <w:r>
        <w:rPr>
          <w:spacing w:val="-3"/>
        </w:rPr>
        <w:t>日；</w:t>
      </w:r>
      <w:r>
        <w:rPr>
          <w:rFonts w:ascii="Times New Roman" w:hAnsi="Times New Roman" w:cs="Times New Roman" w:eastAsia="Times New Roman" w:hint="default"/>
          <w:spacing w:val="-3"/>
        </w:rPr>
        <w:t>17,190,000.00</w:t>
      </w:r>
      <w:r>
        <w:rPr>
          <w:spacing w:val="-3"/>
        </w:rPr>
        <w:t>元借款期限为</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10,190,000.00</w:t>
      </w:r>
      <w:r>
        <w:rPr/>
        <w:t>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一、资产负债表日后事项" w:id="298"/>
      <w:bookmarkEnd w:id="298"/>
      <w:r>
        <w:rPr>
          <w:b w:val="0"/>
          <w:bCs w:val="0"/>
        </w:rPr>
      </w:r>
      <w:r>
        <w:rPr/>
        <w:t>十一、资产负债表日后事项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非调整事项" w:id="299"/>
      <w:bookmarkEnd w:id="29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3"/>
        <w:gridCol w:w="2295"/>
        <w:gridCol w:w="2379"/>
        <w:gridCol w:w="2401"/>
      </w:tblGrid>
      <w:tr>
        <w:trPr>
          <w:trHeight w:val="162"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9" w:right="9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4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79" w:type="dxa"/>
            <w:vMerge/>
            <w:tcBorders>
              <w:left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79" w:type="dxa"/>
            <w:vMerge/>
            <w:tcBorders>
              <w:left w:val="single" w:sz="4" w:space="0" w:color="000000"/>
              <w:bottom w:val="single" w:sz="4" w:space="0" w:color="000000"/>
              <w:right w:val="single" w:sz="4" w:space="0" w:color="000000"/>
            </w:tcBorders>
            <w:shd w:val="clear" w:color="auto" w:fill="D2D2D2"/>
          </w:tcPr>
          <w:p>
            <w:pPr/>
          </w:p>
        </w:tc>
        <w:tc>
          <w:tcPr>
            <w:tcW w:w="24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万股</w:t>
            </w:r>
          </w:p>
        </w:tc>
        <w:tc>
          <w:tcPr>
            <w:tcW w:w="2379"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00"/>
      <w:bookmarkEnd w:id="30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left="1133" w:right="0"/>
        <w:jc w:val="left"/>
        <w:rPr>
          <w:b w:val="0"/>
          <w:bCs w:val="0"/>
        </w:rPr>
      </w:pPr>
      <w:bookmarkStart w:name="3、其他资产负债表日后事项说明" w:id="301"/>
      <w:bookmarkEnd w:id="301"/>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851" w:right="1031"/>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日，公司完成本次非公开发行股票事项，实际发行人民币普通股</w:t>
      </w:r>
      <w:r>
        <w:rPr>
          <w:rFonts w:ascii="Times New Roman" w:hAnsi="Times New Roman" w:cs="Times New Roman" w:eastAsia="Times New Roman" w:hint="default"/>
        </w:rPr>
        <w:t>8,000.00</w:t>
      </w:r>
      <w:r>
        <w:rPr>
          <w:rFonts w:ascii="Times New Roman" w:hAnsi="Times New Roman" w:cs="Times New Roman" w:eastAsia="Times New Roman" w:hint="default"/>
          <w:spacing w:val="44"/>
        </w:rPr>
        <w:t> </w:t>
      </w:r>
      <w:r>
        <w:rPr/>
        <w:t>万股，发行价格</w:t>
      </w:r>
      <w:r>
        <w:rPr>
          <w:rFonts w:ascii="Times New Roman" w:hAnsi="Times New Roman" w:cs="Times New Roman" w:eastAsia="Times New Roman" w:hint="default"/>
        </w:rPr>
        <w:t>12.95</w:t>
      </w:r>
      <w:r>
        <w:rPr/>
        <w:t>元</w:t>
      </w:r>
      <w:r>
        <w:rPr>
          <w:rFonts w:ascii="Times New Roman" w:hAnsi="Times New Roman" w:cs="Times New Roman" w:eastAsia="Times New Roman" w:hint="default"/>
        </w:rPr>
        <w:t>/</w:t>
      </w:r>
      <w:r>
        <w:rPr/>
        <w:t>股， 募集资金总额</w:t>
      </w:r>
      <w:r>
        <w:rPr>
          <w:rFonts w:ascii="Times New Roman" w:hAnsi="Times New Roman" w:cs="Times New Roman" w:eastAsia="Times New Roman" w:hint="default"/>
        </w:rPr>
        <w:t>1,036,000,000.00</w:t>
      </w:r>
      <w:r>
        <w:rPr/>
        <w:t>元，扣除承销费保荐费</w:t>
      </w:r>
      <w:r>
        <w:rPr>
          <w:rFonts w:ascii="Times New Roman" w:hAnsi="Times New Roman" w:cs="Times New Roman" w:eastAsia="Times New Roman" w:hint="default"/>
        </w:rPr>
        <w:t>15,540,000.00</w:t>
      </w:r>
      <w:r>
        <w:rPr/>
        <w:t>元后的募集资金净额为人民币</w:t>
      </w:r>
      <w:r>
        <w:rPr>
          <w:rFonts w:ascii="Times New Roman" w:hAnsi="Times New Roman" w:cs="Times New Roman" w:eastAsia="Times New Roman" w:hint="default"/>
        </w:rPr>
        <w:t>1,020,460,000.00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元，变更后公司的注册资本为人民币 </w:t>
      </w:r>
      <w:r>
        <w:rPr>
          <w:rFonts w:ascii="Times New Roman" w:hAnsi="Times New Roman" w:cs="Times New Roman" w:eastAsia="Times New Roman" w:hint="default"/>
        </w:rPr>
        <w:t>47,500.00</w:t>
      </w:r>
      <w:r>
        <w:rPr>
          <w:rFonts w:ascii="Times New Roman" w:hAnsi="Times New Roman" w:cs="Times New Roman" w:eastAsia="Times New Roman" w:hint="default"/>
          <w:spacing w:val="43"/>
        </w:rPr>
        <w:t> </w:t>
      </w:r>
      <w:r>
        <w:rPr/>
        <w:t>万元。</w:t>
      </w:r>
    </w:p>
    <w:p>
      <w:pPr>
        <w:spacing w:after="0" w:line="30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母公司财务报表主要项目注释" w:id="302"/>
      <w:bookmarkEnd w:id="302"/>
      <w:r>
        <w:rPr>
          <w:b w:val="0"/>
          <w:bCs w:val="0"/>
        </w:rPr>
      </w:r>
      <w:r>
        <w:rPr/>
        <w:t>十二、母公司财务报表主要项目注释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303"/>
      <w:bookmarkEnd w:id="30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304"/>
      <w:bookmarkEnd w:id="30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107,767,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297.26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5,649,75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102,117,5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5,276,398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96,951,195.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107,767,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297.26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5,649,75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102,117,5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,594.31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5,276,398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96,951,195.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106,241,936.05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5,312,096.80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1,211,559.91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242,311.98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312,075.45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93,622.64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107,767,297.26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5,649,757.27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r>
    </w:tbl>
    <w:p>
      <w:pPr>
        <w:pStyle w:val="BodyText"/>
        <w:spacing w:line="240" w:lineRule="auto" w:before="51"/>
        <w:ind w:left="113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305"/>
      <w:bookmarkEnd w:id="30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396,129.36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本期实际核销的应收账款情况" w:id="306"/>
      <w:bookmarkEnd w:id="30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22,770.61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307"/>
      <w:bookmarkEnd w:id="30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866"/>
        <w:gridCol w:w="1779"/>
        <w:gridCol w:w="2047"/>
        <w:gridCol w:w="1832"/>
      </w:tblGrid>
      <w:tr>
        <w:trPr>
          <w:trHeight w:val="355" w:hRule="exact"/>
        </w:trPr>
        <w:tc>
          <w:tcPr>
            <w:tcW w:w="2866"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58"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866" w:type="dxa"/>
            <w:vMerge/>
            <w:tcBorders>
              <w:left w:val="single" w:sz="6" w:space="0" w:color="000000"/>
              <w:bottom w:val="single" w:sz="12" w:space="0" w:color="000000"/>
              <w:right w:val="single" w:sz="6" w:space="0" w:color="000000"/>
            </w:tcBorders>
          </w:tcPr>
          <w:p>
            <w:pP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0" w:right="205" w:hanging="4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14,235,498.33</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13.21</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711,774.92</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9,537,628.36</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8.85</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476,881.42</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7,995,992.17</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7.42</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399,799.61</w:t>
            </w:r>
          </w:p>
        </w:tc>
      </w:tr>
      <w:tr>
        <w:trPr>
          <w:trHeight w:val="353"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5,500,000.00</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5.10</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275,000.00</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3,370,655.00</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3.13</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168,532.75</w:t>
            </w:r>
          </w:p>
        </w:tc>
      </w:tr>
      <w:tr>
        <w:trPr>
          <w:trHeight w:val="352" w:hRule="exact"/>
        </w:trPr>
        <w:tc>
          <w:tcPr>
            <w:tcW w:w="28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40,639,773.86</w:t>
            </w:r>
          </w:p>
        </w:tc>
        <w:tc>
          <w:tcPr>
            <w:tcW w:w="2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37.71</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2,031,988.70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应收款" w:id="308"/>
      <w:bookmarkEnd w:id="3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09"/>
      <w:bookmarkEnd w:id="3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272,219,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374.41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272,219,3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74.41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2,398,94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262,593.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2,136,349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4,673,3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268,744.6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4,404,625.5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274,618,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317.36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262,593.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274,355,7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23.98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4,673,3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70.21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268,744.6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4,404,625.5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1,757,281.80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87,864.09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517,890.63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103,578.13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75,170.52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22,551.16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2,398,942.95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262,593.38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310"/>
      <w:bookmarkEnd w:id="3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127,715.07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133,866.35</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其他应收款按款项性质分类情况" w:id="311"/>
      <w:bookmarkEnd w:id="31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预付进口关税及增值税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480,310.77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3,030,696.40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1,222,427.81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801,607.17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474,492.76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696,204.37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366,573.88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272,219,374.41</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274,618,317.36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4,673,370.21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其他应收款情况" w:id="312"/>
      <w:bookmarkEnd w:id="31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272,219,374.41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预付进口关税及增 值税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480,310.77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24,015.54</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134,129.00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年以内（注）</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26,206.45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273,123,814.18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64,721.99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13"/>
      <w:bookmarkEnd w:id="31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14"/>
      <w:bookmarkEnd w:id="31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15"/>
      <w:bookmarkEnd w:id="3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1,081,536,905.70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788,393,809.82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911,171,541.19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660,679,226.60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55,421,043.90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43,786,721.05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59,141,566.73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46,129,195.63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1,136,957,949.60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832,180,530.87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970,313,107.92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706,808,422.23</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三、补充资料" w:id="316"/>
      <w:bookmarkEnd w:id="316"/>
      <w:r>
        <w:rPr>
          <w:b w:val="0"/>
          <w:bCs w:val="0"/>
        </w:rPr>
      </w:r>
      <w:r>
        <w:rPr/>
        <w:t>十三、补充资料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317"/>
      <w:bookmarkEnd w:id="31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-13,908,949.30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11,789,894.00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-269,205.68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-97,790.85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-2,290,470.13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净资产收益率及每股收益" w:id="318"/>
      <w:bookmarkEnd w:id="31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402" w:right="3403"/>
        <w:jc w:val="center"/>
        <w:rPr>
          <w:b w:val="0"/>
          <w:bCs w:val="0"/>
        </w:rPr>
      </w:pPr>
      <w:bookmarkStart w:name="第十一节 备查文件目录" w:id="319"/>
      <w:bookmarkEnd w:id="319"/>
      <w:r>
        <w:rPr>
          <w:b w:val="0"/>
          <w:bCs w:val="0"/>
        </w:rPr>
      </w:r>
      <w:bookmarkStart w:name="_bookmark9" w:id="320"/>
      <w:bookmarkEnd w:id="320"/>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1753"/>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2015</w:t>
      </w:r>
      <w:r>
        <w:rPr/>
        <w:t>年年度报告文本原件。</w:t>
      </w:r>
    </w:p>
    <w:p>
      <w:pPr>
        <w:pStyle w:val="BodyText"/>
        <w:spacing w:line="316" w:lineRule="auto"/>
        <w:ind w:left="1134" w:right="4902"/>
        <w:jc w:val="left"/>
      </w:pPr>
      <w:r>
        <w:rPr/>
        <w:t>五、其他相关资料。 以上备查文件的备置地点：上海市金山区亭卫南路</w:t>
      </w:r>
      <w:r>
        <w:rPr>
          <w:rFonts w:ascii="Times New Roman" w:hAnsi="Times New Roman" w:cs="Times New Roman" w:eastAsia="Times New Roman" w:hint="default"/>
        </w:rPr>
        <w:t>888</w:t>
      </w:r>
      <w:r>
        <w:rPr/>
        <w:t>号公司证券事务部。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BodyText"/>
        <w:spacing w:line="316" w:lineRule="auto"/>
        <w:ind w:left="8883" w:right="1113" w:hanging="630"/>
        <w:jc w:val="left"/>
      </w:pPr>
      <w:r>
        <w:rPr/>
        <w:t>上海华峰超纤材料股份有限公司 法定代表人：尤小平</w:t>
      </w:r>
    </w:p>
    <w:p>
      <w:pPr>
        <w:pStyle w:val="BodyText"/>
        <w:spacing w:line="240" w:lineRule="auto" w:before="19"/>
        <w:ind w:left="0" w:right="1670"/>
        <w:jc w:val="right"/>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9912" type="#_x0000_t75" stroked="false">
          <v:imagedata r:id="rId1" o:title=""/>
        </v:shape>
      </w:pict>
    </w:r>
    <w:r>
      <w:rPr/>
      <w:pict>
        <v:shape style="position:absolute;margin-left:533.179993pt;margin-top:795.517944pt;width:6.5pt;height:11pt;mso-position-horizontal-relative:page;mso-position-vertical-relative:page;z-index:-649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9864" type="#_x0000_t75" stroked="false">
          <v:imagedata r:id="rId1" o:title=""/>
        </v:shape>
      </w:pict>
    </w:r>
    <w:r>
      <w:rPr/>
      <w:pict>
        <v:shape style="position:absolute;margin-left:527.679993pt;margin-top:781.957947pt;width:13pt;height:11pt;mso-position-horizontal-relative:page;mso-position-vertical-relative:page;z-index:-649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9816" type="#_x0000_t75" stroked="false">
          <v:imagedata r:id="rId1" o:title=""/>
        </v:shape>
      </w:pict>
    </w:r>
    <w:r>
      <w:rPr/>
      <w:pict>
        <v:shape style="position:absolute;margin-left:524.179993pt;margin-top:781.957947pt;width:15.5pt;height:11pt;mso-position-horizontal-relative:page;mso-position-vertical-relative:page;z-index:-649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9768" type="#_x0000_t75" stroked="false">
          <v:imagedata r:id="rId1" o:title=""/>
        </v:shape>
      </w:pict>
    </w:r>
    <w:r>
      <w:rPr/>
      <w:pict>
        <v:shape style="position:absolute;margin-left:523.179993pt;margin-top:781.957947pt;width:17.5pt;height:11pt;mso-position-horizontal-relative:page;mso-position-vertical-relative:page;z-index:-649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649936" type="#_x0000_t202" filled="false" stroked="false">
          <v:textbox inset="0,0,0,0">
            <w:txbxContent>
              <w:p>
                <w:pPr>
                  <w:pStyle w:val="BodyText"/>
                  <w:spacing w:line="214" w:lineRule="exact"/>
                  <w:ind w:left="20" w:right="0"/>
                  <w:jc w:val="left"/>
                </w:pPr>
                <w:r>
                  <w:rPr/>
                  <w:t>上海华峰超纤材料股份有限公司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38"/>
      <w:ind w:left="1133"/>
      <w:outlineLvl w:val="4"/>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microfibre.huafeng.com/" TargetMode="External"/><Relationship Id="rId10" Type="http://schemas.openxmlformats.org/officeDocument/2006/relationships/hyperlink" Target="http://www.hfmicrofibre.com/" TargetMode="External"/><Relationship Id="rId11" Type="http://schemas.openxmlformats.org/officeDocument/2006/relationships/hyperlink" Target="mailto:chengming2003@126.com" TargetMode="External"/><Relationship Id="rId12" Type="http://schemas.openxmlformats.org/officeDocument/2006/relationships/hyperlink" Target="http://www.cninfo.com.cn/" TargetMode="External"/><Relationship Id="rId13" Type="http://schemas.openxmlformats.org/officeDocument/2006/relationships/hyperlink" Target="http://irm.cninfo.com.cn/" TargetMode="External"/><Relationship Id="rId14" Type="http://schemas.openxmlformats.org/officeDocument/2006/relationships/image" Target="media/image3.jpeg"/><Relationship Id="rId15" Type="http://schemas.openxmlformats.org/officeDocument/2006/relationships/hyperlink" Target="http://www.cninfo.co/" TargetMode="External"/><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chengming</dc:creator>
  <dcterms:created xsi:type="dcterms:W3CDTF">2020-05-04T16:08:26Z</dcterms:created>
  <dcterms:modified xsi:type="dcterms:W3CDTF">2020-05-04T16:08:26Z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Creator">
    <vt:lpwstr>Microsoft® Office Word 2007</vt:lpwstr>
  </property>
  <property fmtid="{D5CDD505-2E9C-101B-9397-08002B2CF9AE}" pid="4" name="LastSaved">
    <vt:filetime>2020-05-04T00:00:00Z</vt:filetime>
  </property>
</Properties>
</file>