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p>
      <w:pPr>
        <w:spacing w:line="2154" w:lineRule="exact"/>
        <w:ind w:left="407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2"/>
          <w:sz w:val="20"/>
          <w:szCs w:val="20"/>
        </w:rPr>
        <w:drawing>
          <wp:inline distT="0" distB="0" distL="0" distR="0">
            <wp:extent cx="2380364" cy="1368171"/>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380364" cy="1368171"/>
                    </a:xfrm>
                    <a:prstGeom prst="rect">
                      <a:avLst/>
                    </a:prstGeom>
                  </pic:spPr>
                </pic:pic>
              </a:graphicData>
            </a:graphic>
          </wp:inline>
        </w:drawing>
      </w:r>
      <w:r>
        <w:rPr>
          <w:rFonts w:ascii="Times New Roman" w:hAnsi="Times New Roman" w:cs="Times New Roman" w:eastAsia="Times New Roman" w:hint="default"/>
          <w:position w:val="-42"/>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p>
      <w:pPr>
        <w:spacing w:line="460" w:lineRule="exact" w:before="0"/>
        <w:ind w:left="3403" w:right="3403" w:firstLine="0"/>
        <w:jc w:val="center"/>
        <w:rPr>
          <w:rFonts w:ascii="宋体" w:hAnsi="宋体" w:cs="宋体" w:eastAsia="宋体" w:hint="default"/>
          <w:sz w:val="36"/>
          <w:szCs w:val="36"/>
        </w:rPr>
      </w:pPr>
      <w:r>
        <w:rPr>
          <w:rFonts w:ascii="宋体" w:hAnsi="宋体" w:cs="宋体" w:eastAsia="宋体" w:hint="default"/>
          <w:b/>
          <w:bCs/>
          <w:sz w:val="36"/>
          <w:szCs w:val="36"/>
        </w:rPr>
        <w:t>上海华峰超纤材料股份有限公司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3402" w:right="340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3403" w:right="340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0"/>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公司负责人尤小平、主管会计工作负责人蔡开成及会计机构负责人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蔡开成声明：保证年度报告中财务报告的真实、准确、完整。</w:t>
      </w:r>
      <w:r>
        <w:rPr>
          <w:rFonts w:ascii="宋体" w:hAnsi="宋体" w:cs="宋体" w:eastAsia="宋体" w:hint="default"/>
          <w:sz w:val="28"/>
          <w:szCs w:val="28"/>
        </w:rPr>
      </w:r>
    </w:p>
    <w:p>
      <w:pPr>
        <w:spacing w:before="147"/>
        <w:ind w:left="169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398" w:lineRule="auto" w:before="0"/>
        <w:ind w:left="1133" w:right="1130"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1</w:t>
      </w:r>
      <w:r>
        <w:rPr>
          <w:rFonts w:ascii="宋体" w:hAnsi="宋体" w:cs="宋体" w:eastAsia="宋体" w:hint="default"/>
          <w:b/>
          <w:bCs/>
          <w:spacing w:val="-2"/>
          <w:sz w:val="28"/>
          <w:szCs w:val="28"/>
        </w:rPr>
        <w:t>、主要原材料价格波动的风险公司生产所需的主要原材料为尼龙切片、聚</w:t>
      </w:r>
      <w:r>
        <w:rPr>
          <w:rFonts w:ascii="宋体" w:hAnsi="宋体" w:cs="宋体" w:eastAsia="宋体" w:hint="default"/>
          <w:b/>
          <w:bCs/>
          <w:w w:val="99"/>
          <w:sz w:val="28"/>
          <w:szCs w:val="28"/>
        </w:rPr>
        <w:t> </w:t>
      </w:r>
      <w:r>
        <w:rPr>
          <w:rFonts w:ascii="宋体" w:hAnsi="宋体" w:cs="宋体" w:eastAsia="宋体" w:hint="default"/>
          <w:b/>
          <w:bCs/>
          <w:sz w:val="28"/>
          <w:szCs w:val="28"/>
        </w:rPr>
        <w:t>乙烯、</w:t>
      </w:r>
      <w:r>
        <w:rPr>
          <w:rFonts w:ascii="Times New Roman" w:hAnsi="Times New Roman" w:cs="Times New Roman" w:eastAsia="Times New Roman" w:hint="default"/>
          <w:b/>
          <w:bCs/>
          <w:sz w:val="28"/>
          <w:szCs w:val="28"/>
        </w:rPr>
        <w:t>MDI</w:t>
      </w:r>
      <w:r>
        <w:rPr>
          <w:rFonts w:ascii="Times New Roman" w:hAnsi="Times New Roman" w:cs="Times New Roman" w:eastAsia="Times New Roman" w:hint="default"/>
          <w:b/>
          <w:bCs/>
          <w:spacing w:val="-22"/>
          <w:sz w:val="28"/>
          <w:szCs w:val="28"/>
        </w:rPr>
        <w:t> </w:t>
      </w:r>
      <w:r>
        <w:rPr>
          <w:rFonts w:ascii="宋体" w:hAnsi="宋体" w:cs="宋体" w:eastAsia="宋体" w:hint="default"/>
          <w:b/>
          <w:bCs/>
          <w:sz w:val="28"/>
          <w:szCs w:val="28"/>
        </w:rPr>
        <w:t>以及多元醇等化工产品，公司超纤产品耗用的主要原材料占生产成</w:t>
      </w:r>
      <w:r>
        <w:rPr>
          <w:rFonts w:ascii="宋体" w:hAnsi="宋体" w:cs="宋体" w:eastAsia="宋体" w:hint="default"/>
          <w:b/>
          <w:bCs/>
          <w:w w:val="99"/>
          <w:sz w:val="28"/>
          <w:szCs w:val="28"/>
        </w:rPr>
        <w:t> </w:t>
      </w:r>
      <w:r>
        <w:rPr>
          <w:rFonts w:ascii="宋体" w:hAnsi="宋体" w:cs="宋体" w:eastAsia="宋体" w:hint="default"/>
          <w:b/>
          <w:bCs/>
          <w:sz w:val="28"/>
          <w:szCs w:val="28"/>
        </w:rPr>
        <w:t>本的比例较高，原材料价格波动较大将影响公司的经营业绩，</w:t>
      </w:r>
      <w:r>
        <w:rPr>
          <w:rFonts w:ascii="Times New Roman" w:hAnsi="Times New Roman" w:cs="Times New Roman" w:eastAsia="Times New Roman" w:hint="default"/>
          <w:b/>
          <w:bCs/>
          <w:sz w:val="28"/>
          <w:szCs w:val="28"/>
        </w:rPr>
        <w:t>2016</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年以来，各</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类大宗商品均出现了不同程度的上涨行情，公司的主要原材料采购价格可能会</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随着石油价格上升而上升，特别是尼龙采购价格上升幅度将对公司的毛利率造</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1"/>
          <w:w w:val="95"/>
          <w:sz w:val="28"/>
          <w:szCs w:val="28"/>
        </w:rPr>
        <w:t>成不利影响，给公司经营带来了风险。</w:t>
      </w:r>
      <w:r>
        <w:rPr>
          <w:rFonts w:ascii="Times New Roman" w:hAnsi="Times New Roman" w:cs="Times New Roman" w:eastAsia="Times New Roman" w:hint="default"/>
          <w:b/>
          <w:bCs/>
          <w:spacing w:val="-1"/>
          <w:w w:val="95"/>
          <w:sz w:val="28"/>
          <w:szCs w:val="28"/>
        </w:rPr>
        <w:t>2</w:t>
      </w:r>
      <w:r>
        <w:rPr>
          <w:rFonts w:ascii="宋体" w:hAnsi="宋体" w:cs="宋体" w:eastAsia="宋体" w:hint="default"/>
          <w:b/>
          <w:bCs/>
          <w:spacing w:val="-1"/>
          <w:w w:val="95"/>
          <w:sz w:val="28"/>
          <w:szCs w:val="28"/>
        </w:rPr>
        <w:t>、市场需求不足的风险公司产品的市场</w:t>
      </w:r>
      <w:r>
        <w:rPr>
          <w:rFonts w:ascii="宋体" w:hAnsi="宋体" w:cs="宋体" w:eastAsia="宋体" w:hint="default"/>
          <w:b/>
          <w:bCs/>
          <w:spacing w:val="31"/>
          <w:w w:val="95"/>
          <w:sz w:val="28"/>
          <w:szCs w:val="28"/>
        </w:rPr>
        <w:t> </w:t>
      </w:r>
      <w:r>
        <w:rPr>
          <w:rFonts w:ascii="宋体" w:hAnsi="宋体" w:cs="宋体" w:eastAsia="宋体" w:hint="default"/>
          <w:b/>
          <w:bCs/>
          <w:spacing w:val="31"/>
          <w:w w:val="95"/>
          <w:sz w:val="28"/>
          <w:szCs w:val="28"/>
        </w:rPr>
      </w:r>
      <w:r>
        <w:rPr>
          <w:rFonts w:ascii="宋体" w:hAnsi="宋体" w:cs="宋体" w:eastAsia="宋体" w:hint="default"/>
          <w:b/>
          <w:bCs/>
          <w:spacing w:val="3"/>
          <w:w w:val="95"/>
          <w:sz w:val="28"/>
          <w:szCs w:val="28"/>
        </w:rPr>
        <w:t>需求受国内宏观经济环境、人们消费观念的转变、环保意识的增强和技术进步</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的影响较大。由于整体经济环境受到国家调控影响较大，如果</w:t>
      </w:r>
      <w:r>
        <w:rPr>
          <w:rFonts w:ascii="宋体" w:hAnsi="宋体" w:cs="宋体" w:eastAsia="宋体" w:hint="default"/>
          <w:b/>
          <w:bCs/>
          <w:spacing w:val="-101"/>
          <w:sz w:val="28"/>
          <w:szCs w:val="28"/>
        </w:rPr>
        <w:t> </w:t>
      </w:r>
      <w:r>
        <w:rPr>
          <w:rFonts w:ascii="Times New Roman" w:hAnsi="Times New Roman" w:cs="Times New Roman" w:eastAsia="Times New Roman" w:hint="default"/>
          <w:b/>
          <w:bCs/>
          <w:sz w:val="28"/>
          <w:szCs w:val="28"/>
        </w:rPr>
        <w:t>2017</w:t>
      </w:r>
      <w:r>
        <w:rPr>
          <w:rFonts w:ascii="Times New Roman" w:hAnsi="Times New Roman" w:cs="Times New Roman" w:eastAsia="Times New Roman" w:hint="default"/>
          <w:b/>
          <w:bCs/>
          <w:spacing w:val="-34"/>
          <w:sz w:val="28"/>
          <w:szCs w:val="28"/>
        </w:rPr>
        <w:t> </w:t>
      </w:r>
      <w:r>
        <w:rPr>
          <w:rFonts w:ascii="宋体" w:hAnsi="宋体" w:cs="宋体" w:eastAsia="宋体" w:hint="default"/>
          <w:b/>
          <w:bCs/>
          <w:sz w:val="28"/>
          <w:szCs w:val="28"/>
        </w:rPr>
        <w:t>年经济形势</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发生不利变化，超纤行业增速缓慢，新产品推广速度不及预期，人们消费观念</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的转变将会影响公司产品的市场需求，使公司迅速扩张的产能面临市场需求不</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2"/>
          <w:sz w:val="28"/>
          <w:szCs w:val="28"/>
        </w:rPr>
        <w:t>足的风险。</w:t>
      </w:r>
      <w:r>
        <w:rPr>
          <w:rFonts w:ascii="Times New Roman" w:hAnsi="Times New Roman" w:cs="Times New Roman" w:eastAsia="Times New Roman" w:hint="default"/>
          <w:b/>
          <w:bCs/>
          <w:spacing w:val="-2"/>
          <w:sz w:val="28"/>
          <w:szCs w:val="28"/>
        </w:rPr>
        <w:t>3</w:t>
      </w:r>
      <w:r>
        <w:rPr>
          <w:rFonts w:ascii="宋体" w:hAnsi="宋体" w:cs="宋体" w:eastAsia="宋体" w:hint="default"/>
          <w:b/>
          <w:bCs/>
          <w:spacing w:val="-2"/>
          <w:sz w:val="28"/>
          <w:szCs w:val="28"/>
        </w:rPr>
        <w:t>、募投项目不能实现预期收益的风险公司募集资金投资项目和超募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资金投资项目大多属于扩产项目，虽然公司在选择项目时根据市场情况进行了</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认真仔细的可行性论证，但若</w:t>
      </w:r>
      <w:r>
        <w:rPr>
          <w:rFonts w:ascii="宋体" w:hAnsi="宋体" w:cs="宋体" w:eastAsia="宋体" w:hint="default"/>
          <w:b/>
          <w:bCs/>
          <w:spacing w:val="-110"/>
          <w:sz w:val="28"/>
          <w:szCs w:val="28"/>
        </w:rPr>
        <w:t> </w:t>
      </w:r>
      <w:r>
        <w:rPr>
          <w:rFonts w:ascii="Times New Roman" w:hAnsi="Times New Roman" w:cs="Times New Roman" w:eastAsia="Times New Roman" w:hint="default"/>
          <w:b/>
          <w:bCs/>
          <w:sz w:val="28"/>
          <w:szCs w:val="28"/>
        </w:rPr>
        <w:t>2017</w:t>
      </w:r>
      <w:r>
        <w:rPr>
          <w:rFonts w:ascii="Times New Roman" w:hAnsi="Times New Roman" w:cs="Times New Roman" w:eastAsia="Times New Roman" w:hint="default"/>
          <w:b/>
          <w:bCs/>
          <w:spacing w:val="-41"/>
          <w:sz w:val="28"/>
          <w:szCs w:val="28"/>
        </w:rPr>
        <w:t> </w:t>
      </w:r>
      <w:r>
        <w:rPr>
          <w:rFonts w:ascii="宋体" w:hAnsi="宋体" w:cs="宋体" w:eastAsia="宋体" w:hint="default"/>
          <w:b/>
          <w:bCs/>
          <w:sz w:val="28"/>
          <w:szCs w:val="28"/>
        </w:rPr>
        <w:t>年超纤消费市场增长缓慢，市场环境、产业</w:t>
      </w:r>
      <w:r>
        <w:rPr>
          <w:rFonts w:ascii="宋体" w:hAnsi="宋体" w:cs="宋体" w:eastAsia="宋体" w:hint="default"/>
          <w:sz w:val="28"/>
          <w:szCs w:val="28"/>
        </w:rPr>
      </w:r>
    </w:p>
    <w:p>
      <w:pPr>
        <w:spacing w:after="0" w:line="398" w:lineRule="auto"/>
        <w:jc w:val="both"/>
        <w:rPr>
          <w:rFonts w:ascii="宋体" w:hAnsi="宋体" w:cs="宋体" w:eastAsia="宋体" w:hint="default"/>
          <w:sz w:val="28"/>
          <w:szCs w:val="28"/>
        </w:rPr>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spacing w:line="400" w:lineRule="auto" w:before="13"/>
        <w:ind w:left="1133"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政策等方面出现重大变化，快速增长的固定资产将带来折旧的增加，从而影响</w:t>
      </w:r>
      <w:r>
        <w:rPr>
          <w:rFonts w:ascii="宋体" w:hAnsi="宋体" w:cs="宋体" w:eastAsia="宋体" w:hint="default"/>
          <w:b/>
          <w:bCs/>
          <w:w w:val="99"/>
          <w:sz w:val="28"/>
          <w:szCs w:val="28"/>
        </w:rPr>
        <w:t> </w:t>
      </w:r>
      <w:r>
        <w:rPr>
          <w:rFonts w:ascii="宋体" w:hAnsi="宋体" w:cs="宋体" w:eastAsia="宋体" w:hint="default"/>
          <w:b/>
          <w:bCs/>
          <w:sz w:val="28"/>
          <w:szCs w:val="28"/>
        </w:rPr>
        <w:t>公司募投项目效益，降低净利润水平。</w:t>
      </w: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、环保政策变动的风险公司属于塑料制</w:t>
      </w:r>
      <w:r>
        <w:rPr>
          <w:rFonts w:ascii="宋体" w:hAnsi="宋体" w:cs="宋体" w:eastAsia="宋体" w:hint="default"/>
          <w:b/>
          <w:bCs/>
          <w:w w:val="99"/>
          <w:sz w:val="28"/>
          <w:szCs w:val="28"/>
        </w:rPr>
        <w:t> </w:t>
      </w:r>
      <w:r>
        <w:rPr>
          <w:rFonts w:ascii="宋体" w:hAnsi="宋体" w:cs="宋体" w:eastAsia="宋体" w:hint="default"/>
          <w:b/>
          <w:bCs/>
          <w:spacing w:val="3"/>
          <w:sz w:val="28"/>
          <w:szCs w:val="28"/>
        </w:rPr>
        <w:t>品行业的人造革合成革子行业，细分行业为超细纤维聚氨酯合成革行业。且公</w:t>
      </w:r>
      <w:r>
        <w:rPr>
          <w:rFonts w:ascii="宋体" w:hAnsi="宋体" w:cs="宋体" w:eastAsia="宋体" w:hint="default"/>
          <w:b/>
          <w:bCs/>
          <w:w w:val="99"/>
          <w:sz w:val="28"/>
          <w:szCs w:val="28"/>
        </w:rPr>
        <w:t> </w:t>
      </w:r>
      <w:r>
        <w:rPr>
          <w:rFonts w:ascii="宋体" w:hAnsi="宋体" w:cs="宋体" w:eastAsia="宋体" w:hint="default"/>
          <w:b/>
          <w:bCs/>
          <w:spacing w:val="3"/>
          <w:sz w:val="28"/>
          <w:szCs w:val="28"/>
        </w:rPr>
        <w:t>司在产品生产过程中会产生少量废水、废气等污染物，如果处理不当会污染环</w:t>
      </w:r>
      <w:r>
        <w:rPr>
          <w:rFonts w:ascii="宋体" w:hAnsi="宋体" w:cs="宋体" w:eastAsia="宋体" w:hint="default"/>
          <w:b/>
          <w:bCs/>
          <w:w w:val="99"/>
          <w:sz w:val="28"/>
          <w:szCs w:val="28"/>
        </w:rPr>
        <w:t> </w:t>
      </w:r>
      <w:r>
        <w:rPr>
          <w:rFonts w:ascii="宋体" w:hAnsi="宋体" w:cs="宋体" w:eastAsia="宋体" w:hint="default"/>
          <w:b/>
          <w:bCs/>
          <w:spacing w:val="3"/>
          <w:sz w:val="28"/>
          <w:szCs w:val="28"/>
        </w:rPr>
        <w:t>境，给周围环境造成不良影响。虽然本公司已严格按照有关环保法规及相应标</w:t>
      </w:r>
      <w:r>
        <w:rPr>
          <w:rFonts w:ascii="宋体" w:hAnsi="宋体" w:cs="宋体" w:eastAsia="宋体" w:hint="default"/>
          <w:b/>
          <w:bCs/>
          <w:w w:val="99"/>
          <w:sz w:val="28"/>
          <w:szCs w:val="28"/>
        </w:rPr>
        <w:t> </w:t>
      </w:r>
      <w:r>
        <w:rPr>
          <w:rFonts w:ascii="宋体" w:hAnsi="宋体" w:cs="宋体" w:eastAsia="宋体" w:hint="default"/>
          <w:b/>
          <w:bCs/>
          <w:spacing w:val="3"/>
          <w:sz w:val="28"/>
          <w:szCs w:val="28"/>
        </w:rPr>
        <w:t>准对上述污染性排放物进行了有效治理，使</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三废</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的排放达到了环保规定的标</w:t>
      </w:r>
      <w:r>
        <w:rPr>
          <w:rFonts w:ascii="宋体" w:hAnsi="宋体" w:cs="宋体" w:eastAsia="宋体" w:hint="default"/>
          <w:b/>
          <w:bCs/>
          <w:w w:val="99"/>
          <w:sz w:val="28"/>
          <w:szCs w:val="28"/>
        </w:rPr>
        <w:t> </w:t>
      </w:r>
      <w:r>
        <w:rPr>
          <w:rFonts w:ascii="宋体" w:hAnsi="宋体" w:cs="宋体" w:eastAsia="宋体" w:hint="default"/>
          <w:b/>
          <w:bCs/>
          <w:spacing w:val="3"/>
          <w:sz w:val="28"/>
          <w:szCs w:val="28"/>
        </w:rPr>
        <w:t>准，但随着社会环境保护意识的不断增强，国家及地方政府可能在将来颁布新</w:t>
      </w:r>
      <w:r>
        <w:rPr>
          <w:rFonts w:ascii="宋体" w:hAnsi="宋体" w:cs="宋体" w:eastAsia="宋体" w:hint="default"/>
          <w:b/>
          <w:bCs/>
          <w:w w:val="99"/>
          <w:sz w:val="28"/>
          <w:szCs w:val="28"/>
        </w:rPr>
        <w:t> </w:t>
      </w:r>
      <w:r>
        <w:rPr>
          <w:rFonts w:ascii="宋体" w:hAnsi="宋体" w:cs="宋体" w:eastAsia="宋体" w:hint="default"/>
          <w:b/>
          <w:bCs/>
          <w:spacing w:val="3"/>
          <w:sz w:val="28"/>
          <w:szCs w:val="28"/>
        </w:rPr>
        <w:t>的法律法规，提高环保标准，控制化工企业的开工率，本公司将面临更高的环</w:t>
      </w:r>
      <w:r>
        <w:rPr>
          <w:rFonts w:ascii="宋体" w:hAnsi="宋体" w:cs="宋体" w:eastAsia="宋体" w:hint="default"/>
          <w:b/>
          <w:bCs/>
          <w:w w:val="99"/>
          <w:sz w:val="28"/>
          <w:szCs w:val="28"/>
        </w:rPr>
        <w:t> </w:t>
      </w:r>
      <w:r>
        <w:rPr>
          <w:rFonts w:ascii="宋体" w:hAnsi="宋体" w:cs="宋体" w:eastAsia="宋体" w:hint="default"/>
          <w:b/>
          <w:bCs/>
          <w:sz w:val="28"/>
          <w:szCs w:val="28"/>
        </w:rPr>
        <w:t>保成本，进而影响经营业绩。</w:t>
      </w: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、业绩承诺未实现的风险及业绩补偿承诺实施的</w:t>
      </w:r>
      <w:r>
        <w:rPr>
          <w:rFonts w:ascii="宋体" w:hAnsi="宋体" w:cs="宋体" w:eastAsia="宋体" w:hint="default"/>
          <w:b/>
          <w:bCs/>
          <w:w w:val="99"/>
          <w:sz w:val="28"/>
          <w:szCs w:val="28"/>
        </w:rPr>
        <w:t> </w:t>
      </w:r>
      <w:r>
        <w:rPr>
          <w:rFonts w:ascii="宋体" w:hAnsi="宋体" w:cs="宋体" w:eastAsia="宋体" w:hint="default"/>
          <w:b/>
          <w:bCs/>
          <w:spacing w:val="-5"/>
          <w:w w:val="99"/>
          <w:sz w:val="28"/>
          <w:szCs w:val="28"/>
        </w:rPr>
        <w:t>风险根据《盈利预测补偿协议》、《盈利预测补偿协议之补充协议》及《盈利预</w:t>
      </w:r>
      <w:r>
        <w:rPr>
          <w:rFonts w:ascii="宋体" w:hAnsi="宋体" w:cs="宋体" w:eastAsia="宋体" w:hint="default"/>
          <w:b/>
          <w:bCs/>
          <w:spacing w:val="-136"/>
          <w:w w:val="99"/>
          <w:sz w:val="28"/>
          <w:szCs w:val="28"/>
        </w:rPr>
        <w:t> </w:t>
      </w:r>
      <w:r>
        <w:rPr>
          <w:rFonts w:ascii="宋体" w:hAnsi="宋体" w:cs="宋体" w:eastAsia="宋体" w:hint="default"/>
          <w:b/>
          <w:bCs/>
          <w:spacing w:val="-136"/>
          <w:w w:val="99"/>
          <w:sz w:val="28"/>
          <w:szCs w:val="28"/>
        </w:rPr>
      </w:r>
      <w:r>
        <w:rPr>
          <w:rFonts w:ascii="宋体" w:hAnsi="宋体" w:cs="宋体" w:eastAsia="宋体" w:hint="default"/>
          <w:b/>
          <w:bCs/>
          <w:spacing w:val="-11"/>
          <w:w w:val="99"/>
          <w:sz w:val="28"/>
          <w:szCs w:val="28"/>
        </w:rPr>
        <w:t>测补偿协议之补充协议（二）》，本次交易的业绩承诺期为</w:t>
      </w:r>
      <w:r>
        <w:rPr>
          <w:rFonts w:ascii="宋体" w:hAnsi="宋体" w:cs="宋体" w:eastAsia="宋体" w:hint="default"/>
          <w:b/>
          <w:bCs/>
          <w:spacing w:val="-37"/>
          <w:w w:val="99"/>
          <w:sz w:val="28"/>
          <w:szCs w:val="28"/>
        </w:rPr>
        <w:t> </w:t>
      </w:r>
      <w:r>
        <w:rPr>
          <w:rFonts w:ascii="Times New Roman" w:hAnsi="Times New Roman" w:cs="Times New Roman" w:eastAsia="Times New Roman" w:hint="default"/>
          <w:b/>
          <w:bCs/>
          <w:w w:val="99"/>
          <w:sz w:val="28"/>
          <w:szCs w:val="28"/>
        </w:rPr>
        <w:t>2016</w:t>
      </w:r>
      <w:r>
        <w:rPr>
          <w:rFonts w:ascii="Times New Roman" w:hAnsi="Times New Roman" w:cs="Times New Roman" w:eastAsia="Times New Roman" w:hint="default"/>
          <w:b/>
          <w:bCs/>
          <w:spacing w:val="23"/>
          <w:w w:val="99"/>
          <w:sz w:val="28"/>
          <w:szCs w:val="28"/>
        </w:rPr>
        <w:t> </w:t>
      </w:r>
      <w:r>
        <w:rPr>
          <w:rFonts w:ascii="宋体" w:hAnsi="宋体" w:cs="宋体" w:eastAsia="宋体" w:hint="default"/>
          <w:b/>
          <w:bCs/>
          <w:w w:val="99"/>
          <w:sz w:val="28"/>
          <w:szCs w:val="28"/>
        </w:rPr>
        <w:t>年至</w:t>
      </w:r>
      <w:r>
        <w:rPr>
          <w:rFonts w:ascii="宋体" w:hAnsi="宋体" w:cs="宋体" w:eastAsia="宋体" w:hint="default"/>
          <w:b/>
          <w:bCs/>
          <w:spacing w:val="-45"/>
          <w:w w:val="99"/>
          <w:sz w:val="28"/>
          <w:szCs w:val="28"/>
        </w:rPr>
        <w:t> </w:t>
      </w:r>
      <w:r>
        <w:rPr>
          <w:rFonts w:ascii="Times New Roman" w:hAnsi="Times New Roman" w:cs="Times New Roman" w:eastAsia="Times New Roman" w:hint="default"/>
          <w:b/>
          <w:bCs/>
          <w:w w:val="99"/>
          <w:sz w:val="28"/>
          <w:szCs w:val="28"/>
        </w:rPr>
        <w:t>2018</w:t>
      </w:r>
      <w:r>
        <w:rPr>
          <w:rFonts w:ascii="Times New Roman" w:hAnsi="Times New Roman" w:cs="Times New Roman" w:eastAsia="Times New Roman" w:hint="default"/>
          <w:b/>
          <w:bCs/>
          <w:spacing w:val="24"/>
          <w:w w:val="99"/>
          <w:sz w:val="28"/>
          <w:szCs w:val="28"/>
        </w:rPr>
        <w:t> </w:t>
      </w:r>
      <w:r>
        <w:rPr>
          <w:rFonts w:ascii="宋体" w:hAnsi="宋体" w:cs="宋体" w:eastAsia="宋体" w:hint="default"/>
          <w:b/>
          <w:bCs/>
          <w:spacing w:val="1"/>
          <w:w w:val="99"/>
          <w:sz w:val="28"/>
          <w:szCs w:val="28"/>
        </w:rPr>
        <w:t>年，</w:t>
      </w:r>
      <w:r>
        <w:rPr>
          <w:rFonts w:ascii="宋体" w:hAnsi="宋体" w:cs="宋体" w:eastAsia="宋体" w:hint="default"/>
          <w:b/>
          <w:bCs/>
          <w:spacing w:val="-135"/>
          <w:w w:val="99"/>
          <w:sz w:val="28"/>
          <w:szCs w:val="28"/>
        </w:rPr>
        <w:t> </w:t>
      </w:r>
      <w:r>
        <w:rPr>
          <w:rFonts w:ascii="宋体" w:hAnsi="宋体" w:cs="宋体" w:eastAsia="宋体" w:hint="default"/>
          <w:b/>
          <w:bCs/>
          <w:spacing w:val="3"/>
          <w:sz w:val="28"/>
          <w:szCs w:val="28"/>
        </w:rPr>
        <w:t>威富通扣除非经常性损益及本次交易募集配套资金所产生的影响后归属于母公</w:t>
      </w:r>
      <w:r>
        <w:rPr>
          <w:rFonts w:ascii="宋体" w:hAnsi="宋体" w:cs="宋体" w:eastAsia="宋体" w:hint="default"/>
          <w:b/>
          <w:bCs/>
          <w:w w:val="99"/>
          <w:sz w:val="28"/>
          <w:szCs w:val="28"/>
        </w:rPr>
        <w:t> </w:t>
      </w:r>
      <w:r>
        <w:rPr>
          <w:rFonts w:ascii="宋体" w:hAnsi="宋体" w:cs="宋体" w:eastAsia="宋体" w:hint="default"/>
          <w:b/>
          <w:bCs/>
          <w:sz w:val="28"/>
          <w:szCs w:val="28"/>
        </w:rPr>
        <w:t>司所有者的净利润在</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2016</w:t>
      </w:r>
      <w:r>
        <w:rPr>
          <w:rFonts w:ascii="Times New Roman" w:hAnsi="Times New Roman" w:cs="Times New Roman" w:eastAsia="Times New Roman" w:hint="default"/>
          <w:b/>
          <w:bCs/>
          <w:spacing w:val="-4"/>
          <w:sz w:val="28"/>
          <w:szCs w:val="28"/>
        </w:rPr>
        <w:t> </w:t>
      </w:r>
      <w:r>
        <w:rPr>
          <w:rFonts w:ascii="宋体" w:hAnsi="宋体" w:cs="宋体" w:eastAsia="宋体" w:hint="default"/>
          <w:b/>
          <w:bCs/>
          <w:spacing w:val="-4"/>
          <w:sz w:val="28"/>
          <w:szCs w:val="28"/>
        </w:rPr>
        <w:t>年度、</w:t>
      </w:r>
      <w:r>
        <w:rPr>
          <w:rFonts w:ascii="Times New Roman" w:hAnsi="Times New Roman" w:cs="Times New Roman" w:eastAsia="Times New Roman" w:hint="default"/>
          <w:b/>
          <w:bCs/>
          <w:spacing w:val="-4"/>
          <w:sz w:val="28"/>
          <w:szCs w:val="28"/>
        </w:rPr>
        <w:t>2017</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4"/>
          <w:sz w:val="28"/>
          <w:szCs w:val="28"/>
        </w:rPr>
        <w:t>年度、</w:t>
      </w:r>
      <w:r>
        <w:rPr>
          <w:rFonts w:ascii="Times New Roman" w:hAnsi="Times New Roman" w:cs="Times New Roman" w:eastAsia="Times New Roman" w:hint="default"/>
          <w:b/>
          <w:bCs/>
          <w:spacing w:val="-4"/>
          <w:sz w:val="28"/>
          <w:szCs w:val="28"/>
        </w:rPr>
        <w:t>2018</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年度分别不低于</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13,000.00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万</w:t>
      </w:r>
      <w:r>
        <w:rPr>
          <w:rFonts w:ascii="宋体" w:hAnsi="宋体" w:cs="宋体" w:eastAsia="宋体" w:hint="default"/>
          <w:b/>
          <w:bCs/>
          <w:w w:val="99"/>
          <w:sz w:val="28"/>
          <w:szCs w:val="28"/>
        </w:rPr>
        <w:t> </w:t>
      </w:r>
      <w:r>
        <w:rPr>
          <w:rFonts w:ascii="宋体" w:hAnsi="宋体" w:cs="宋体" w:eastAsia="宋体" w:hint="default"/>
          <w:b/>
          <w:bCs/>
          <w:sz w:val="28"/>
          <w:szCs w:val="28"/>
        </w:rPr>
        <w:t>元、</w:t>
      </w:r>
      <w:r>
        <w:rPr>
          <w:rFonts w:ascii="Times New Roman" w:hAnsi="Times New Roman" w:cs="Times New Roman" w:eastAsia="Times New Roman" w:hint="default"/>
          <w:b/>
          <w:bCs/>
          <w:sz w:val="28"/>
          <w:szCs w:val="28"/>
        </w:rPr>
        <w:t>15,700.00 </w:t>
      </w:r>
      <w:r>
        <w:rPr>
          <w:rFonts w:ascii="宋体" w:hAnsi="宋体" w:cs="宋体" w:eastAsia="宋体" w:hint="default"/>
          <w:b/>
          <w:bCs/>
          <w:sz w:val="28"/>
          <w:szCs w:val="28"/>
        </w:rPr>
        <w:t>万元、</w:t>
      </w:r>
      <w:r>
        <w:rPr>
          <w:rFonts w:ascii="Times New Roman" w:hAnsi="Times New Roman" w:cs="Times New Roman" w:eastAsia="Times New Roman" w:hint="default"/>
          <w:b/>
          <w:bCs/>
          <w:sz w:val="28"/>
          <w:szCs w:val="28"/>
        </w:rPr>
        <w:t>18.600.00</w:t>
      </w:r>
      <w:r>
        <w:rPr>
          <w:rFonts w:ascii="Times New Roman" w:hAnsi="Times New Roman" w:cs="Times New Roman" w:eastAsia="Times New Roman" w:hint="default"/>
          <w:b/>
          <w:bCs/>
          <w:spacing w:val="-35"/>
          <w:sz w:val="28"/>
          <w:szCs w:val="28"/>
        </w:rPr>
        <w:t> </w:t>
      </w:r>
      <w:r>
        <w:rPr>
          <w:rFonts w:ascii="宋体" w:hAnsi="宋体" w:cs="宋体" w:eastAsia="宋体" w:hint="default"/>
          <w:b/>
          <w:bCs/>
          <w:sz w:val="28"/>
          <w:szCs w:val="28"/>
        </w:rPr>
        <w:t>万元。如标的资产的经营情况未达预期目标，补</w:t>
      </w:r>
      <w:r>
        <w:rPr>
          <w:rFonts w:ascii="宋体" w:hAnsi="宋体" w:cs="宋体" w:eastAsia="宋体" w:hint="default"/>
          <w:b/>
          <w:bCs/>
          <w:w w:val="99"/>
          <w:sz w:val="28"/>
          <w:szCs w:val="28"/>
        </w:rPr>
        <w:t> </w:t>
      </w:r>
      <w:r>
        <w:rPr>
          <w:rFonts w:ascii="宋体" w:hAnsi="宋体" w:cs="宋体" w:eastAsia="宋体" w:hint="default"/>
          <w:b/>
          <w:bCs/>
          <w:spacing w:val="3"/>
          <w:sz w:val="28"/>
          <w:szCs w:val="28"/>
        </w:rPr>
        <w:t>偿义务人将对上市公司承担必要的业绩补偿义务。补偿义务人如持有股份或自</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有资产不足以履行相关补偿时，则存在业绩补偿承诺可能无法执行的违约风险。</w:t>
      </w:r>
      <w:r>
        <w:rPr>
          <w:rFonts w:ascii="宋体" w:hAnsi="宋体" w:cs="宋体" w:eastAsia="宋体" w:hint="default"/>
          <w:b/>
          <w:bCs/>
          <w:spacing w:val="64"/>
          <w:w w:val="95"/>
          <w:sz w:val="28"/>
          <w:szCs w:val="28"/>
        </w:rPr>
        <w:t> </w:t>
      </w:r>
      <w:r>
        <w:rPr>
          <w:rFonts w:ascii="宋体" w:hAnsi="宋体" w:cs="宋体" w:eastAsia="宋体" w:hint="default"/>
          <w:b/>
          <w:bCs/>
          <w:spacing w:val="64"/>
          <w:w w:val="95"/>
          <w:sz w:val="28"/>
          <w:szCs w:val="28"/>
        </w:rPr>
      </w:r>
      <w:r>
        <w:rPr>
          <w:rFonts w:ascii="Times New Roman" w:hAnsi="Times New Roman" w:cs="Times New Roman" w:eastAsia="Times New Roman" w:hint="default"/>
          <w:b/>
          <w:bCs/>
          <w:sz w:val="28"/>
          <w:szCs w:val="28"/>
        </w:rPr>
        <w:t>6</w:t>
      </w:r>
      <w:r>
        <w:rPr>
          <w:rFonts w:ascii="宋体" w:hAnsi="宋体" w:cs="宋体" w:eastAsia="宋体" w:hint="default"/>
          <w:b/>
          <w:bCs/>
          <w:sz w:val="28"/>
          <w:szCs w:val="28"/>
        </w:rPr>
        <w:t>、业务整合风险为谋求实现公司多元化发展的产业升级战略，同时兼顾风险和</w:t>
      </w:r>
      <w:r>
        <w:rPr>
          <w:rFonts w:ascii="宋体" w:hAnsi="宋体" w:cs="宋体" w:eastAsia="宋体" w:hint="default"/>
          <w:b/>
          <w:bCs/>
          <w:w w:val="99"/>
          <w:sz w:val="28"/>
          <w:szCs w:val="28"/>
        </w:rPr>
        <w:t> </w:t>
      </w:r>
      <w:r>
        <w:rPr>
          <w:rFonts w:ascii="宋体" w:hAnsi="宋体" w:cs="宋体" w:eastAsia="宋体" w:hint="default"/>
          <w:b/>
          <w:bCs/>
          <w:spacing w:val="3"/>
          <w:sz w:val="28"/>
          <w:szCs w:val="28"/>
        </w:rPr>
        <w:t>收益的原则，公司分别从未来经济发展趋势、国家产业政策导向、行业发展现</w:t>
      </w:r>
      <w:r>
        <w:rPr>
          <w:rFonts w:ascii="宋体" w:hAnsi="宋体" w:cs="宋体" w:eastAsia="宋体" w:hint="default"/>
          <w:b/>
          <w:bCs/>
          <w:w w:val="99"/>
          <w:sz w:val="28"/>
          <w:szCs w:val="28"/>
        </w:rPr>
        <w:t> </w:t>
      </w:r>
      <w:r>
        <w:rPr>
          <w:rFonts w:ascii="宋体" w:hAnsi="宋体" w:cs="宋体" w:eastAsia="宋体" w:hint="default"/>
          <w:b/>
          <w:bCs/>
          <w:spacing w:val="3"/>
          <w:sz w:val="28"/>
          <w:szCs w:val="28"/>
        </w:rPr>
        <w:t>状、前景及市场需求度等方面着手，选择软件服务行业中的移动支付软件服务</w:t>
      </w:r>
      <w:r>
        <w:rPr>
          <w:rFonts w:ascii="宋体" w:hAnsi="宋体" w:cs="宋体" w:eastAsia="宋体" w:hint="default"/>
          <w:b/>
          <w:bCs/>
          <w:w w:val="99"/>
          <w:sz w:val="28"/>
          <w:szCs w:val="28"/>
        </w:rPr>
        <w:t> </w:t>
      </w:r>
      <w:r>
        <w:rPr>
          <w:rFonts w:ascii="宋体" w:hAnsi="宋体" w:cs="宋体" w:eastAsia="宋体" w:hint="default"/>
          <w:b/>
          <w:bCs/>
          <w:spacing w:val="3"/>
          <w:sz w:val="28"/>
          <w:szCs w:val="28"/>
        </w:rPr>
        <w:t>业务作为公司未来战略发展的新突破口。尽管公司看好移动支付软件服务行业</w:t>
      </w:r>
      <w:r>
        <w:rPr>
          <w:rFonts w:ascii="宋体" w:hAnsi="宋体" w:cs="宋体" w:eastAsia="宋体" w:hint="default"/>
          <w:b/>
          <w:bCs/>
          <w:w w:val="99"/>
          <w:sz w:val="28"/>
          <w:szCs w:val="28"/>
        </w:rPr>
        <w:t> </w:t>
      </w:r>
      <w:r>
        <w:rPr>
          <w:rFonts w:ascii="宋体" w:hAnsi="宋体" w:cs="宋体" w:eastAsia="宋体" w:hint="default"/>
          <w:b/>
          <w:bCs/>
          <w:spacing w:val="3"/>
          <w:sz w:val="28"/>
          <w:szCs w:val="28"/>
        </w:rPr>
        <w:t>未来的发展前景，并将此作为公司发展的重要一环，但本次交易的标的公司主</w:t>
      </w:r>
      <w:r>
        <w:rPr>
          <w:rFonts w:ascii="宋体" w:hAnsi="宋体" w:cs="宋体" w:eastAsia="宋体" w:hint="default"/>
          <w:b/>
          <w:bCs/>
          <w:w w:val="99"/>
          <w:sz w:val="28"/>
          <w:szCs w:val="28"/>
        </w:rPr>
        <w:t> </w:t>
      </w:r>
      <w:r>
        <w:rPr>
          <w:rFonts w:ascii="宋体" w:hAnsi="宋体" w:cs="宋体" w:eastAsia="宋体" w:hint="default"/>
          <w:b/>
          <w:bCs/>
          <w:spacing w:val="3"/>
          <w:sz w:val="28"/>
          <w:szCs w:val="28"/>
        </w:rPr>
        <w:t>营业务与上市公司原主营业务分属于不同领域，未来的管理模式和协同整合能</w:t>
      </w:r>
      <w:r>
        <w:rPr>
          <w:rFonts w:ascii="宋体" w:hAnsi="宋体" w:cs="宋体" w:eastAsia="宋体" w:hint="default"/>
          <w:spacing w:val="3"/>
          <w:sz w:val="28"/>
          <w:szCs w:val="28"/>
        </w:rPr>
      </w:r>
    </w:p>
    <w:p>
      <w:pPr>
        <w:spacing w:after="0" w:line="400" w:lineRule="auto"/>
        <w:jc w:val="left"/>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408" w:lineRule="auto" w:before="13"/>
        <w:ind w:left="1133" w:right="1135"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力仍面临一定的考验。威富通所处的移动支付软件服务行业本身具有技术不断</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更新以及商业模式变化较快的特点。上市公司与威富通积极探索合作模式，致</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力于打造新的盈利增长点，结合上市公司自身已建立的规范管理体系，公司管</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理层对新业务的整合管理已有较明确的思路。但仍不排除未来整合进度及整合</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效果未能达到预期的风险，届时可能对公司整体规范运作、财务状况及经营业</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1"/>
          <w:w w:val="95"/>
          <w:sz w:val="28"/>
          <w:szCs w:val="28"/>
        </w:rPr>
        <w:t>绩等造成不利影响，敬请投资者关注上述风险。</w:t>
      </w:r>
      <w:r>
        <w:rPr>
          <w:rFonts w:ascii="Times New Roman" w:hAnsi="Times New Roman" w:cs="Times New Roman" w:eastAsia="Times New Roman" w:hint="default"/>
          <w:b/>
          <w:bCs/>
          <w:spacing w:val="-1"/>
          <w:w w:val="95"/>
          <w:sz w:val="28"/>
          <w:szCs w:val="28"/>
        </w:rPr>
        <w:t>7</w:t>
      </w:r>
      <w:r>
        <w:rPr>
          <w:rFonts w:ascii="宋体" w:hAnsi="宋体" w:cs="宋体" w:eastAsia="宋体" w:hint="default"/>
          <w:b/>
          <w:bCs/>
          <w:spacing w:val="-1"/>
          <w:w w:val="95"/>
          <w:sz w:val="28"/>
          <w:szCs w:val="28"/>
        </w:rPr>
        <w:t>、威富通资产盈利能力波动的</w:t>
      </w:r>
      <w:r>
        <w:rPr>
          <w:rFonts w:ascii="宋体" w:hAnsi="宋体" w:cs="宋体" w:eastAsia="宋体" w:hint="default"/>
          <w:b/>
          <w:bCs/>
          <w:spacing w:val="32"/>
          <w:w w:val="95"/>
          <w:sz w:val="28"/>
          <w:szCs w:val="28"/>
        </w:rPr>
        <w:t> </w:t>
      </w:r>
      <w:r>
        <w:rPr>
          <w:rFonts w:ascii="宋体" w:hAnsi="宋体" w:cs="宋体" w:eastAsia="宋体" w:hint="default"/>
          <w:b/>
          <w:bCs/>
          <w:spacing w:val="32"/>
          <w:w w:val="95"/>
          <w:sz w:val="28"/>
          <w:szCs w:val="28"/>
        </w:rPr>
      </w:r>
      <w:r>
        <w:rPr>
          <w:rFonts w:ascii="宋体" w:hAnsi="宋体" w:cs="宋体" w:eastAsia="宋体" w:hint="default"/>
          <w:b/>
          <w:bCs/>
          <w:spacing w:val="3"/>
          <w:w w:val="95"/>
          <w:sz w:val="28"/>
          <w:szCs w:val="28"/>
        </w:rPr>
        <w:t>风险作为移动支付软件服务的提供商，威富通未来的盈利能力除了受移动支付</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软件服务行业发展趋势变化的影响外，还受后续提供的移动支付软件服务的市</w:t>
      </w:r>
      <w:r>
        <w:rPr>
          <w:rFonts w:ascii="宋体" w:hAnsi="宋体" w:cs="宋体" w:eastAsia="宋体" w:hint="default"/>
          <w:b/>
          <w:bCs/>
          <w:spacing w:val="24"/>
          <w:w w:val="95"/>
          <w:sz w:val="28"/>
          <w:szCs w:val="28"/>
        </w:rPr>
        <w:t> </w:t>
      </w:r>
      <w:r>
        <w:rPr>
          <w:rFonts w:ascii="宋体" w:hAnsi="宋体" w:cs="宋体" w:eastAsia="宋体" w:hint="default"/>
          <w:b/>
          <w:bCs/>
          <w:spacing w:val="24"/>
          <w:w w:val="95"/>
          <w:sz w:val="28"/>
          <w:szCs w:val="28"/>
        </w:rPr>
      </w:r>
      <w:r>
        <w:rPr>
          <w:rFonts w:ascii="宋体" w:hAnsi="宋体" w:cs="宋体" w:eastAsia="宋体" w:hint="default"/>
          <w:b/>
          <w:bCs/>
          <w:spacing w:val="3"/>
          <w:w w:val="95"/>
          <w:sz w:val="28"/>
          <w:szCs w:val="28"/>
        </w:rPr>
        <w:t>场认可程度、自身运营能力等因素的影响。若后续服务未能延续目前得到的市</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场认可，用户体验度降低，威富通自身的资源整合和运营能力及市场地位出现</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不利变化的因素都将对威富通的盈利能力产生直接影响。提请投资者关注威富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通未来业绩可能较历史业绩产生较大变化的风险。</w:t>
      </w:r>
      <w:r>
        <w:rPr>
          <w:rFonts w:ascii="宋体" w:hAnsi="宋体" w:cs="宋体" w:eastAsia="宋体" w:hint="default"/>
          <w:sz w:val="28"/>
          <w:szCs w:val="28"/>
        </w:rPr>
      </w:r>
    </w:p>
    <w:p>
      <w:pPr>
        <w:spacing w:before="160"/>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3"/>
          <w:sz w:val="28"/>
          <w:szCs w:val="28"/>
        </w:rPr>
        <w:t> </w:t>
      </w:r>
      <w:r>
        <w:rPr>
          <w:rFonts w:ascii="Times New Roman" w:hAnsi="Times New Roman" w:cs="Times New Roman" w:eastAsia="Times New Roman" w:hint="default"/>
          <w:b/>
          <w:bCs/>
          <w:sz w:val="28"/>
          <w:szCs w:val="28"/>
        </w:rPr>
        <w:t>631,019,839</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6"/>
        <w:ind w:left="1133" w:right="0" w:firstLine="0"/>
        <w:jc w:val="both"/>
        <w:rPr>
          <w:rFonts w:ascii="宋体" w:hAnsi="宋体" w:cs="宋体" w:eastAsia="宋体" w:hint="default"/>
          <w:sz w:val="28"/>
          <w:szCs w:val="28"/>
        </w:rPr>
      </w:pP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0.50</w:t>
      </w:r>
      <w:r>
        <w:rPr>
          <w:rFonts w:ascii="Times New Roman" w:hAnsi="Times New Roman" w:cs="Times New Roman" w:eastAsia="Times New Roman" w:hint="default"/>
          <w:b/>
          <w:bCs/>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7"/>
        <w:ind w:left="1133" w:right="0" w:firstLine="0"/>
        <w:jc w:val="both"/>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8</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3403" w:right="340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0749"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148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0" w:right="0"/>
        </w:sectPr>
      </w:pPr>
    </w:p>
    <w:p>
      <w:pPr>
        <w:spacing w:before="946"/>
        <w:ind w:left="3403" w:right="340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317" w:hRule="exact"/>
        </w:trPr>
        <w:tc>
          <w:tcPr>
            <w:tcW w:w="3525"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超纤</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9" w:lineRule="auto" w:before="51"/>
              <w:ind w:left="16" w:right="22"/>
              <w:jc w:val="both"/>
              <w:rPr>
                <w:rFonts w:ascii="宋体" w:hAnsi="宋体" w:cs="宋体" w:eastAsia="宋体" w:hint="default"/>
                <w:sz w:val="18"/>
                <w:szCs w:val="18"/>
              </w:rPr>
            </w:pPr>
            <w:r>
              <w:rPr>
                <w:rFonts w:ascii="宋体" w:hAnsi="宋体" w:cs="宋体" w:eastAsia="宋体" w:hint="default"/>
                <w:spacing w:val="-2"/>
                <w:sz w:val="18"/>
                <w:szCs w:val="18"/>
              </w:rPr>
              <w:t>指超细纤维聚氨酯合成材料，是以拥有三维立体构造的超细纤维无纺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布作为基布，以聚氨酯（</w:t>
            </w:r>
            <w:r>
              <w:rPr>
                <w:rFonts w:ascii="Times New Roman" w:hAnsi="Times New Roman" w:cs="Times New Roman" w:eastAsia="Times New Roman" w:hint="default"/>
                <w:spacing w:val="-3"/>
                <w:sz w:val="18"/>
                <w:szCs w:val="18"/>
              </w:rPr>
              <w:t>PU</w:t>
            </w:r>
            <w:r>
              <w:rPr>
                <w:rFonts w:ascii="宋体" w:hAnsi="宋体" w:cs="宋体" w:eastAsia="宋体" w:hint="default"/>
                <w:spacing w:val="-3"/>
                <w:sz w:val="18"/>
                <w:szCs w:val="18"/>
              </w:rPr>
              <w:t>）树脂涂覆表层的具有束状超细纤维结构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新型材料</w:t>
            </w:r>
          </w:p>
        </w:tc>
      </w:tr>
      <w:tr>
        <w:trPr>
          <w:trHeight w:val="392" w:hRule="exact"/>
        </w:trPr>
        <w:tc>
          <w:tcPr>
            <w:tcW w:w="3525" w:type="dxa"/>
            <w:vMerge/>
            <w:tcBorders>
              <w:left w:val="single" w:sz="4" w:space="0" w:color="000000"/>
              <w:right w:val="single" w:sz="9" w:space="0" w:color="D2D2D2"/>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317" w:hRule="exact"/>
        </w:trPr>
        <w:tc>
          <w:tcPr>
            <w:tcW w:w="3525" w:type="dxa"/>
            <w:vMerge/>
            <w:tcBorders>
              <w:left w:val="single" w:sz="4" w:space="0" w:color="000000"/>
              <w:bottom w:val="single" w:sz="4" w:space="0" w:color="000000"/>
              <w:right w:val="single" w:sz="9"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江苏超纤</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江苏华峰超纤材料有限公司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江苏化学</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江苏华峰化学有限公司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威富通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威富通科技有限公司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624" w:right="0"/>
        <w:jc w:val="left"/>
        <w:rPr>
          <w:b w:val="0"/>
          <w:bCs w:val="0"/>
        </w:rPr>
      </w:pPr>
      <w:bookmarkStart w:name="_TOC_250010"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859336"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华峰超纤</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300180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上海华峰超纤材料股份有限公司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华峰超纤</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Huafon Microfibre (Shanghai) Co.,</w:t>
            </w:r>
            <w:r>
              <w:rPr>
                <w:rFonts w:ascii="Times New Roman"/>
                <w:spacing w:val="-8"/>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Huafon</w:t>
            </w:r>
            <w:r>
              <w:rPr>
                <w:rFonts w:ascii="Times New Roman"/>
                <w:spacing w:val="-2"/>
                <w:sz w:val="18"/>
              </w:rPr>
              <w:t> </w:t>
            </w:r>
            <w:r>
              <w:rPr>
                <w:rFonts w:ascii="Times New Roman"/>
                <w:sz w:val="18"/>
              </w:rPr>
              <w:t>Microfibre</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尤小平</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上海市金山区亭卫南路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888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201508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上海市金山区亭卫南路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888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201508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tabs>
                <w:tab w:pos="2555" w:val="left" w:leader="none"/>
              </w:tabs>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pacing w:val="-1"/>
                  <w:sz w:val="18"/>
                </w:rPr>
                <w:t>http://microfibre.huafeng.com</w:t>
              </w:r>
            </w:hyperlink>
            <w:r>
              <w:rPr>
                <w:rFonts w:ascii="Times New Roman"/>
                <w:spacing w:val="-1"/>
                <w:sz w:val="18"/>
              </w:rPr>
              <w:tab/>
            </w:r>
            <w:hyperlink r:id="rId10">
              <w:r>
                <w:rPr>
                  <w:rFonts w:ascii="Times New Roman"/>
                  <w:spacing w:val="-1"/>
                  <w:sz w:val="18"/>
                </w:rPr>
                <w:t>http://www.hfmicrofibre.com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1">
              <w:r>
                <w:rPr>
                  <w:rFonts w:ascii="Times New Roman"/>
                  <w:sz w:val="18"/>
                </w:rPr>
                <w:t>chengming2003@126.com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程鸣</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上海市金山区亭卫南路 </w:t>
            </w:r>
            <w:r>
              <w:rPr>
                <w:rFonts w:ascii="Times New Roman" w:hAnsi="Times New Roman" w:cs="Times New Roman" w:eastAsia="Times New Roman" w:hint="default"/>
                <w:sz w:val="18"/>
                <w:szCs w:val="18"/>
              </w:rPr>
              <w:t>888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021-57243140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021-57245968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chengming2003@126.com</w:t>
              </w:r>
            </w:hyperlink>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证券时报、中国证券报、上海证券报、证券日报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上海市金山区亭卫南路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888 </w:t>
            </w:r>
            <w:r>
              <w:rPr>
                <w:rFonts w:ascii="宋体" w:hAnsi="宋体" w:cs="宋体" w:eastAsia="宋体" w:hint="default"/>
                <w:sz w:val="18"/>
                <w:szCs w:val="18"/>
              </w:rPr>
              <w:t>号证券事务部</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朱伟、唐伟</w:t>
            </w:r>
          </w:p>
        </w:tc>
      </w:tr>
    </w:tbl>
    <w:p>
      <w:pPr>
        <w:pStyle w:val="BodyText"/>
        <w:spacing w:line="240" w:lineRule="auto" w:before="51"/>
        <w:ind w:left="1134" w:right="0"/>
        <w:jc w:val="left"/>
      </w:pPr>
      <w:r>
        <w:rPr/>
        <w:t>公司聘请的报告期内履行持续督导职责的保荐机构</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东方花旗证券有限公司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上海市黄浦区中山南路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朱剑、倪霆</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年底</w:t>
            </w:r>
          </w:p>
        </w:tc>
      </w:tr>
    </w:tbl>
    <w:p>
      <w:pPr>
        <w:pStyle w:val="BodyText"/>
        <w:spacing w:line="240" w:lineRule="auto" w:before="51"/>
        <w:ind w:left="1134" w:right="0"/>
        <w:jc w:val="left"/>
      </w:pPr>
      <w:r>
        <w:rPr/>
        <w:t>公司聘请的报告期内履行持续督导职责的财务顾问</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上海市广东路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郑渊、姚爽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年底</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2,505,593,912.49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1,439,082,922.42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74.11%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1,136,957,949.60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249,291,729.69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100,548,129.90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118,936,497.53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235,499,550.48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75,971,680.23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209.98%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121,226,967.66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178,259,277.17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-176,574,928.64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-200.95%</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107,400,111.60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6,621,061,858.52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3,842,902,917.90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2,643,849,402.58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4,864,742,156.12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2,632,180,177.98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84.82%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1,525,422,048.08</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18"/>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433,492,099.54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566,229,173.95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732,083,415.52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773,789,223.48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26,505,495.20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59,768,571.82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109,244,728.94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53,772,933.73</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23,376,316.66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54,782,719.88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100,257,115.51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57,083,398.43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-123,750,820.98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11,067,174.15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69,206,851.00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221,736,073.00</w:t>
            </w:r>
          </w:p>
        </w:tc>
      </w:tr>
    </w:tbl>
    <w:p>
      <w:pPr>
        <w:pStyle w:val="BodyText"/>
        <w:spacing w:line="240" w:lineRule="auto" w:before="51"/>
        <w:ind w:left="1134"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3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214,759.98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-1,561,883.70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-13,908,949.30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22,844,255.80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29,269,552.80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11,789,894.00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4,087,032.04</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-8,557,345.25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1,526,973.99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-388,356.05</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142,955.76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-269,205.68</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4,408,167.31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4,801,149.18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-97,790.85</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13,792,179.21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24,576,449.67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-2,290,470.13</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2" w:lineRule="auto" w:before="44"/>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_TOC_250009" w:id="15"/>
      <w:bookmarkStart w:name="第三节 公司业务概要" w:id="16"/>
      <w:r>
        <w:rPr>
          <w:b w:val="0"/>
          <w:bCs w:val="0"/>
        </w:rPr>
      </w:r>
      <w:r>
        <w:rPr/>
        <w:t>第三节</w:t>
      </w:r>
      <w:r>
        <w:rPr>
          <w:spacing w:val="-7"/>
        </w:rPr>
        <w:t> </w:t>
      </w:r>
      <w:r>
        <w:rPr/>
        <w:t>公司业务概要</w:t>
      </w:r>
      <w:bookmarkEnd w:id="15"/>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16" w:lineRule="auto" w:before="25"/>
        <w:ind w:left="1494" w:right="1162"/>
        <w:jc w:val="left"/>
      </w:pPr>
      <w:r>
        <w:rPr/>
        <w:t>（一）公司主要业务概要 公司自成立以来，一直专注于超纤材料的研发、生产和销售，拥有包括革用</w:t>
      </w:r>
      <w:r>
        <w:rPr>
          <w:rFonts w:ascii="Times New Roman" w:hAnsi="Times New Roman" w:cs="Times New Roman" w:eastAsia="Times New Roman" w:hint="default"/>
        </w:rPr>
        <w:t>PU</w:t>
      </w:r>
      <w:r>
        <w:rPr/>
        <w:t>树脂、超细束状纤维纺丝、无纺布、含</w:t>
      </w:r>
    </w:p>
    <w:p>
      <w:pPr>
        <w:pStyle w:val="BodyText"/>
        <w:spacing w:line="316" w:lineRule="auto"/>
        <w:ind w:left="1493" w:right="0" w:hanging="360"/>
        <w:jc w:val="left"/>
      </w:pPr>
      <w:r>
        <w:rPr/>
        <w:t>浸等以及贴面、染色等所有产品涉及的工艺研发、生产能力。公司是国内目前超纤材料产销规模最大的企业。 </w:t>
      </w:r>
      <w:r>
        <w:rPr>
          <w:spacing w:val="-2"/>
        </w:rPr>
        <w:t>公司以绿色生态为企业的发展理念，以技术创新不断开拓产品应用的新领域，贴近现实生活，打破传统消费理念，提高</w:t>
      </w:r>
    </w:p>
    <w:p>
      <w:pPr>
        <w:pStyle w:val="BodyText"/>
        <w:spacing w:line="316" w:lineRule="auto" w:before="19"/>
        <w:ind w:right="1130"/>
        <w:jc w:val="both"/>
      </w:pPr>
      <w:r>
        <w:rPr>
          <w:spacing w:val="-2"/>
        </w:rPr>
        <w:t>人类生活质量。公司生产的超纤材料可以最大限度的还原真皮优良的触感和舒适度，并在回弹性、强度、防水、防霉变、耐</w:t>
      </w:r>
      <w:r>
        <w:rPr>
          <w:spacing w:val="-67"/>
        </w:rPr>
        <w:t> </w:t>
      </w:r>
      <w:r>
        <w:rPr>
          <w:spacing w:val="-67"/>
        </w:rPr>
      </w:r>
      <w:r>
        <w:rPr>
          <w:spacing w:val="-2"/>
        </w:rPr>
        <w:t>寒、耐磨等性能上全面超越真皮，目前已广泛应用于运动、休闲生活和工业产品等众多领域，未来我们将立足于超纤本身的</w:t>
      </w:r>
      <w:r>
        <w:rPr>
          <w:spacing w:val="-66"/>
        </w:rPr>
        <w:t> </w:t>
      </w:r>
      <w:r>
        <w:rPr>
          <w:spacing w:val="-66"/>
        </w:rPr>
      </w:r>
      <w:r>
        <w:rPr/>
        <w:t>特点和优势，开发更多新的功能性应用领域，超纤材料的市场需求总量也将持续稳定增长。</w:t>
      </w:r>
    </w:p>
    <w:p>
      <w:pPr>
        <w:pStyle w:val="BodyText"/>
        <w:spacing w:line="309" w:lineRule="auto" w:before="19"/>
        <w:ind w:right="1033" w:firstLine="360"/>
        <w:jc w:val="left"/>
      </w:pPr>
      <w:r>
        <w:rPr>
          <w:spacing w:val="-2"/>
        </w:rPr>
        <w:t>报告期内，公司凭借已经具备的生产技术、客户资源以及质量品牌方面的优势，通过不断优化产品结构、通过不断优化</w:t>
      </w:r>
      <w:r>
        <w:rPr/>
        <w:t> 产品结构、完善产业链、拓展产业布局的方式实现了营业收入稳步增长。启东基地</w:t>
      </w:r>
      <w:r>
        <w:rPr>
          <w:rFonts w:ascii="Times New Roman" w:hAnsi="Times New Roman" w:cs="Times New Roman" w:eastAsia="Times New Roman" w:hint="default"/>
        </w:rPr>
        <w:t>7500</w:t>
      </w:r>
      <w:r>
        <w:rPr/>
        <w:t>万米项目一期工程已全部建成投产， </w:t>
      </w:r>
      <w:r>
        <w:rPr>
          <w:spacing w:val="-2"/>
        </w:rPr>
        <w:t>二期工程也将在</w:t>
      </w:r>
      <w:r>
        <w:rPr>
          <w:rFonts w:ascii="Times New Roman" w:hAnsi="Times New Roman" w:cs="Times New Roman" w:eastAsia="Times New Roman" w:hint="default"/>
          <w:spacing w:val="-2"/>
        </w:rPr>
        <w:t>2018</w:t>
      </w:r>
      <w:r>
        <w:rPr>
          <w:spacing w:val="-2"/>
        </w:rPr>
        <w:t>年全面投产，产能逐步释放。同时，公司进一步优化渠道，内外结合创造新的市场格局，不仅更多地走</w:t>
      </w:r>
      <w:r>
        <w:rPr>
          <w:spacing w:val="-62"/>
        </w:rPr>
        <w:t> </w:t>
      </w:r>
      <w:r>
        <w:rPr>
          <w:spacing w:val="-62"/>
        </w:rPr>
      </w:r>
      <w:r>
        <w:rPr>
          <w:spacing w:val="-2"/>
        </w:rPr>
        <w:t>出去参加国外展会，大大拉近公司与客户、与市场的距离，还特别重点加强了对终端品牌工厂、同行合作伙伴等新型营销渠</w:t>
      </w:r>
      <w:r>
        <w:rPr>
          <w:spacing w:val="-66"/>
        </w:rPr>
        <w:t> </w:t>
      </w:r>
      <w:r>
        <w:rPr>
          <w:spacing w:val="-66"/>
        </w:rPr>
      </w:r>
      <w:r>
        <w:rPr/>
        <w:t>道的构建，在超纤市场的市场占有率进一步提升，龙头优势凸显。</w:t>
      </w:r>
    </w:p>
    <w:p>
      <w:pPr>
        <w:pStyle w:val="BodyText"/>
        <w:spacing w:line="319" w:lineRule="auto" w:before="24"/>
        <w:ind w:left="1134" w:right="0" w:firstLine="360"/>
        <w:jc w:val="left"/>
      </w:pPr>
      <w:r>
        <w:rPr>
          <w:spacing w:val="-2"/>
        </w:rPr>
        <w:t>报告期内，公司完成了对威富通的并购重组，在原有主营业务外，向移动支付软件服务业务拓展，实行双主业发展，将</w:t>
      </w:r>
      <w:r>
        <w:rPr/>
        <w:t> 增加公司新的业绩增长点，使公司的资产质量和可持续经营能力，以及上市公司的盈利能力都得到有效的提升。</w:t>
      </w:r>
    </w:p>
    <w:p>
      <w:pPr>
        <w:pStyle w:val="BodyText"/>
        <w:spacing w:line="316" w:lineRule="auto" w:before="17"/>
        <w:ind w:left="1493" w:right="1033"/>
        <w:jc w:val="left"/>
      </w:pPr>
      <w:r>
        <w:rPr/>
        <w:t>（二）威富通的业务概要 威富通作为移动支付领域的技术服务提供商及增值业务服务商，业务范围涵盖移动支付接入服务、移动支付系统开发、</w:t>
      </w:r>
    </w:p>
    <w:p>
      <w:pPr>
        <w:pStyle w:val="BodyText"/>
        <w:spacing w:line="300" w:lineRule="auto" w:before="19"/>
        <w:ind w:left="1134" w:right="1131"/>
        <w:jc w:val="both"/>
      </w:pPr>
      <w:r>
        <w:rPr>
          <w:spacing w:val="-2"/>
        </w:rPr>
        <w:t>移动运营、移动商城以及行业定制化移动支付解决方案等，以其自主开发的云平台软件系统结合</w:t>
      </w:r>
      <w:r>
        <w:rPr>
          <w:rFonts w:ascii="Times New Roman" w:hAnsi="Times New Roman" w:cs="Times New Roman" w:eastAsia="Times New Roman" w:hint="default"/>
          <w:spacing w:val="-2"/>
        </w:rPr>
        <w:t>SaaS</w:t>
      </w:r>
      <w:r>
        <w:rPr>
          <w:spacing w:val="-2"/>
        </w:rPr>
        <w:t>商业模式，向银行、第</w:t>
      </w:r>
      <w:r>
        <w:rPr>
          <w:spacing w:val="-63"/>
        </w:rPr>
        <w:t> </w:t>
      </w:r>
      <w:r>
        <w:rPr>
          <w:spacing w:val="-63"/>
        </w:rPr>
      </w:r>
      <w:r>
        <w:rPr/>
        <w:t>三方支付公司、商户等移动支付行业的主要参与方提供技术加营销的一站式行业解决方案。</w:t>
      </w:r>
    </w:p>
    <w:p>
      <w:pPr>
        <w:pStyle w:val="BodyText"/>
        <w:spacing w:line="307" w:lineRule="auto" w:before="31"/>
        <w:ind w:left="1134" w:right="1030" w:firstLine="360"/>
        <w:jc w:val="left"/>
      </w:pPr>
      <w:r>
        <w:rPr>
          <w:spacing w:val="-2"/>
        </w:rPr>
        <w:t>威富通是微信支付首批签约受理机构、支付宝首批签约</w:t>
      </w:r>
      <w:r>
        <w:rPr>
          <w:rFonts w:ascii="Times New Roman" w:hAnsi="Times New Roman" w:cs="Times New Roman" w:eastAsia="Times New Roman" w:hint="default"/>
          <w:spacing w:val="-2"/>
        </w:rPr>
        <w:t>ISV</w:t>
      </w:r>
      <w:r>
        <w:rPr>
          <w:spacing w:val="-2"/>
        </w:rPr>
        <w:t>（独立软件开发商）合作伙伴、京东钱包签约支付合作伙伴、</w:t>
      </w:r>
      <w:r>
        <w:rPr/>
        <w:t> </w:t>
      </w:r>
      <w:r>
        <w:rPr>
          <w:rFonts w:ascii="Times New Roman" w:hAnsi="Times New Roman" w:cs="Times New Roman" w:eastAsia="Times New Roman" w:hint="default"/>
        </w:rPr>
        <w:t>QQ</w:t>
      </w:r>
      <w:r>
        <w:rPr/>
        <w:t>钱包首批签约受理机构等第三方支付公司签约合作伙伴，其合作的第三方支付公司已经覆盖目前国内主流移动支付软件 </w:t>
      </w:r>
      <w:r>
        <w:rPr>
          <w:spacing w:val="-2"/>
        </w:rPr>
        <w:t>客户端。威富通利用自身商户拓展团队和合作的渠道团队向银行、第三方支付公司导入商户资源，并且负责相关拓展商户的</w:t>
      </w:r>
      <w:r>
        <w:rPr>
          <w:spacing w:val="-66"/>
        </w:rPr>
        <w:t> </w:t>
      </w:r>
      <w:r>
        <w:rPr>
          <w:spacing w:val="-66"/>
        </w:rPr>
      </w:r>
      <w:r>
        <w:rPr/>
        <w:t>移动支付接入技术服务、交易系统的开发维护和后续营销增值服务。</w:t>
      </w:r>
    </w:p>
    <w:p>
      <w:pPr>
        <w:pStyle w:val="BodyText"/>
        <w:spacing w:line="309" w:lineRule="auto" w:before="26"/>
        <w:ind w:right="0" w:firstLine="360"/>
        <w:jc w:val="left"/>
      </w:pPr>
      <w:r>
        <w:rPr/>
        <w:t>根据中国证监会</w:t>
      </w:r>
      <w:r>
        <w:rPr>
          <w:rFonts w:ascii="Times New Roman" w:hAnsi="Times New Roman" w:cs="Times New Roman" w:eastAsia="Times New Roman" w:hint="default"/>
        </w:rPr>
        <w:t>2012</w:t>
      </w:r>
      <w:r>
        <w:rPr/>
        <w:t>年发布的《上市公司行业分类指引》，威富通所处行业属于软件和信息技术服务业（</w:t>
      </w:r>
      <w:r>
        <w:rPr>
          <w:rFonts w:ascii="Times New Roman" w:hAnsi="Times New Roman" w:cs="Times New Roman" w:eastAsia="Times New Roman" w:hint="default"/>
        </w:rPr>
        <w:t>I65</w:t>
      </w:r>
      <w:r>
        <w:rPr/>
        <w:t>）。威富 </w:t>
      </w:r>
      <w:r>
        <w:rPr>
          <w:spacing w:val="-2"/>
        </w:rPr>
        <w:t>通作为移动支付领域的云服务技术提供商及增值业务服务商，一方面处于第三方移动支付产业链中，其发展得益于行业近年</w:t>
      </w:r>
      <w:r>
        <w:rPr>
          <w:spacing w:val="-64"/>
        </w:rPr>
        <w:t> </w:t>
      </w:r>
      <w:r>
        <w:rPr>
          <w:spacing w:val="-64"/>
        </w:rPr>
      </w:r>
      <w:r>
        <w:rPr>
          <w:spacing w:val="-2"/>
        </w:rPr>
        <w:t>来的爆发式增长。另一方面，威富通同时属于行业垂直型</w:t>
      </w:r>
      <w:r>
        <w:rPr>
          <w:rFonts w:ascii="Times New Roman" w:hAnsi="Times New Roman" w:cs="Times New Roman" w:eastAsia="Times New Roman" w:hint="default"/>
          <w:spacing w:val="-2"/>
        </w:rPr>
        <w:t>SaaS</w:t>
      </w:r>
      <w:r>
        <w:rPr>
          <w:spacing w:val="-2"/>
        </w:rPr>
        <w:t>，通过自主研发的移动支付云平台软件系统为银行、第三方移</w:t>
      </w:r>
      <w:r>
        <w:rPr>
          <w:spacing w:val="-65"/>
        </w:rPr>
        <w:t> </w:t>
      </w:r>
      <w:r>
        <w:rPr>
          <w:spacing w:val="-65"/>
        </w:rPr>
      </w:r>
      <w:r>
        <w:rPr/>
        <w:t>动支付公司、终端商户等提供移动支付解决方案。因此威富通主营业务的发展不仅受到移动支付行业的影响，同时也受到 </w:t>
      </w:r>
      <w:r>
        <w:rPr>
          <w:rFonts w:ascii="Times New Roman" w:hAnsi="Times New Roman" w:cs="Times New Roman" w:eastAsia="Times New Roman" w:hint="default"/>
        </w:rPr>
        <w:t>SaaS</w:t>
      </w:r>
      <w:r>
        <w:rPr/>
        <w:t>行业的发展趋势与技术变迁的影响。</w:t>
      </w:r>
    </w:p>
    <w:p>
      <w:pPr>
        <w:pStyle w:val="BodyText"/>
        <w:spacing w:line="316" w:lineRule="auto" w:before="5"/>
        <w:ind w:left="1134" w:right="0" w:firstLine="360"/>
        <w:jc w:val="left"/>
      </w:pPr>
      <w:r>
        <w:rPr>
          <w:spacing w:val="-4"/>
        </w:rPr>
        <w:t>威富通在移动支付软件服务行业具有品牌影响力，是细分行业内的优势企业，在移动支付软件服务业方面具有技术优势。</w:t>
      </w:r>
      <w:r>
        <w:rPr/>
        <w:t> 由于威富通的先发优势和技术优势较为明显，威富通的在该细分市场的领先地位明显。</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052"/>
        <w:gridCol w:w="6517"/>
      </w:tblGrid>
      <w:tr>
        <w:trPr>
          <w:trHeight w:val="36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40" w:type="dxa"/>
        <w:tblLayout w:type="fixed"/>
        <w:tblCellMar>
          <w:top w:w="0" w:type="dxa"/>
          <w:left w:w="0" w:type="dxa"/>
          <w:bottom w:w="0" w:type="dxa"/>
          <w:right w:w="0" w:type="dxa"/>
        </w:tblCellMar>
        <w:tblLook w:val="01E0"/>
      </w:tblPr>
      <w:tblGrid>
        <w:gridCol w:w="3029"/>
        <w:gridCol w:w="6529"/>
      </w:tblGrid>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2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增加了子公司威富通</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溢价收购威富通形成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1,733,150,150.68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元商誉</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00" w:lineRule="auto" w:before="25"/>
        <w:ind w:left="1494" w:right="0"/>
        <w:jc w:val="left"/>
      </w:pPr>
      <w:r>
        <w:rPr>
          <w:rFonts w:ascii="Times New Roman" w:hAnsi="Times New Roman" w:cs="Times New Roman" w:eastAsia="Times New Roman" w:hint="default"/>
        </w:rPr>
        <w:t>1</w:t>
      </w:r>
      <w:r>
        <w:rPr/>
        <w:t>、领先的技术优势和持续的创新能力 </w:t>
      </w:r>
      <w:r>
        <w:rPr>
          <w:spacing w:val="-2"/>
        </w:rPr>
        <w:t>多年的持续技术创新成就了公司领先的技术水平。公司拥有</w:t>
      </w:r>
      <w:r>
        <w:rPr>
          <w:rFonts w:ascii="Times New Roman" w:hAnsi="Times New Roman" w:cs="Times New Roman" w:eastAsia="Times New Roman" w:hint="default"/>
          <w:spacing w:val="-2"/>
        </w:rPr>
        <w:t>30</w:t>
      </w:r>
      <w:r>
        <w:rPr>
          <w:spacing w:val="-2"/>
        </w:rPr>
        <w:t>余项发明专利及多项专有技术，</w:t>
      </w:r>
      <w:r>
        <w:rPr>
          <w:rFonts w:ascii="Times New Roman" w:hAnsi="Times New Roman" w:cs="Times New Roman" w:eastAsia="Times New Roman" w:hint="default"/>
          <w:spacing w:val="-2"/>
        </w:rPr>
        <w:t>2017</w:t>
      </w:r>
      <w:r>
        <w:rPr>
          <w:spacing w:val="-2"/>
        </w:rPr>
        <w:t>年公司完成了高新技</w:t>
      </w:r>
    </w:p>
    <w:p>
      <w:pPr>
        <w:pStyle w:val="BodyText"/>
        <w:spacing w:line="309" w:lineRule="auto" w:before="13"/>
        <w:ind w:right="1131"/>
        <w:jc w:val="both"/>
      </w:pPr>
      <w:r>
        <w:rPr>
          <w:spacing w:val="-2"/>
        </w:rPr>
        <w:t>术企业的复审、上海市企业技术中心复审、上海市专利试点单位的验收，并获得了工业和信息化部、中国工业经济联合会颁</w:t>
      </w:r>
      <w:r>
        <w:rPr>
          <w:spacing w:val="-66"/>
        </w:rPr>
        <w:t> </w:t>
      </w:r>
      <w:r>
        <w:rPr>
          <w:spacing w:val="-66"/>
        </w:rPr>
      </w:r>
      <w:r>
        <w:rPr/>
        <w:t>发的</w:t>
      </w:r>
      <w:r>
        <w:rPr>
          <w:rFonts w:ascii="Times New Roman" w:hAnsi="Times New Roman" w:cs="Times New Roman" w:eastAsia="Times New Roman" w:hint="default"/>
        </w:rPr>
        <w:t>“</w:t>
      </w:r>
      <w:r>
        <w:rPr/>
        <w:t>制造业单项冠军示范企业（</w:t>
      </w:r>
      <w:r>
        <w:rPr>
          <w:rFonts w:ascii="Times New Roman" w:hAnsi="Times New Roman" w:cs="Times New Roman" w:eastAsia="Times New Roman" w:hint="default"/>
        </w:rPr>
        <w:t>2018-2020</w:t>
      </w:r>
      <w:r>
        <w:rPr/>
        <w:t>年）</w:t>
      </w:r>
      <w:r>
        <w:rPr>
          <w:rFonts w:ascii="Times New Roman" w:hAnsi="Times New Roman" w:cs="Times New Roman" w:eastAsia="Times New Roman" w:hint="default"/>
        </w:rPr>
        <w:t>”</w:t>
      </w:r>
      <w:r>
        <w:rPr/>
        <w:t>证书，这是对公司长期专注于超纤材料市场，生产技术或工艺国际领先， 单项产品市场占有率居全球前列的认可。</w:t>
      </w:r>
    </w:p>
    <w:p>
      <w:pPr>
        <w:pStyle w:val="BodyText"/>
        <w:spacing w:line="312" w:lineRule="auto" w:before="24"/>
        <w:ind w:right="1131" w:firstLine="360"/>
        <w:jc w:val="both"/>
      </w:pPr>
      <w:r>
        <w:rPr>
          <w:spacing w:val="-2"/>
        </w:rPr>
        <w:t>公司拥有强大的创新能力。在</w:t>
      </w:r>
      <w:r>
        <w:rPr>
          <w:rFonts w:ascii="Times New Roman" w:hAnsi="Times New Roman" w:cs="Times New Roman" w:eastAsia="Times New Roman" w:hint="default"/>
          <w:spacing w:val="-2"/>
        </w:rPr>
        <w:t>10</w:t>
      </w:r>
      <w:r>
        <w:rPr>
          <w:spacing w:val="-2"/>
        </w:rPr>
        <w:t>多年的发展中，公司培养了一支活跃创新、学科分布合理的研发团队，并不断吸纳新鲜</w:t>
      </w:r>
      <w:r>
        <w:rPr/>
        <w:t> </w:t>
      </w:r>
      <w:r>
        <w:rPr>
          <w:spacing w:val="-2"/>
        </w:rPr>
        <w:t>血液、优秀高端人才充实研发队伍。公司管理层高度重视技术研发工作，在各方面对技术研发给予充分的支持，各部门配合</w:t>
      </w:r>
      <w:r>
        <w:rPr>
          <w:spacing w:val="-66"/>
        </w:rPr>
        <w:t> </w:t>
      </w:r>
      <w:r>
        <w:rPr>
          <w:spacing w:val="-66"/>
        </w:rPr>
      </w:r>
      <w:r>
        <w:rPr>
          <w:spacing w:val="-2"/>
        </w:rPr>
        <w:t>使公司研发团队在准确把握市场需求、调整产品研发思路方面具有领先优势，对国内外同行业的技术发展动态拥有较强的敏</w:t>
      </w:r>
      <w:r>
        <w:rPr>
          <w:spacing w:val="-64"/>
        </w:rPr>
        <w:t> </w:t>
      </w:r>
      <w:r>
        <w:rPr>
          <w:spacing w:val="-64"/>
        </w:rPr>
      </w:r>
      <w:r>
        <w:rPr/>
        <w:t>锐度和前瞻性。</w:t>
      </w:r>
    </w:p>
    <w:p>
      <w:pPr>
        <w:pStyle w:val="BodyText"/>
        <w:spacing w:line="300" w:lineRule="auto" w:before="22"/>
        <w:ind w:right="1139" w:firstLine="360"/>
        <w:jc w:val="both"/>
      </w:pPr>
      <w:r>
        <w:rPr>
          <w:rFonts w:ascii="Times New Roman" w:hAnsi="Times New Roman" w:cs="Times New Roman" w:eastAsia="Times New Roman" w:hint="default"/>
        </w:rPr>
        <w:t>2017</w:t>
      </w:r>
      <w:r>
        <w:rPr/>
        <w:t>年公司共申请专利</w:t>
      </w:r>
      <w:r>
        <w:rPr>
          <w:rFonts w:ascii="Times New Roman" w:hAnsi="Times New Roman" w:cs="Times New Roman" w:eastAsia="Times New Roman" w:hint="default"/>
        </w:rPr>
        <w:t>9</w:t>
      </w:r>
      <w:r>
        <w:rPr/>
        <w:t>项（其中发明专利申请</w:t>
      </w:r>
      <w:r>
        <w:rPr>
          <w:rFonts w:ascii="Times New Roman" w:hAnsi="Times New Roman" w:cs="Times New Roman" w:eastAsia="Times New Roman" w:hint="default"/>
        </w:rPr>
        <w:t>8</w:t>
      </w:r>
      <w:r>
        <w:rPr/>
        <w:t>项，实用新型专利申请</w:t>
      </w:r>
      <w:r>
        <w:rPr>
          <w:rFonts w:ascii="Times New Roman" w:hAnsi="Times New Roman" w:cs="Times New Roman" w:eastAsia="Times New Roman" w:hint="default"/>
        </w:rPr>
        <w:t>1</w:t>
      </w:r>
      <w:r>
        <w:rPr/>
        <w:t>项）。共获得授权</w:t>
      </w:r>
      <w:r>
        <w:rPr>
          <w:rFonts w:ascii="Times New Roman" w:hAnsi="Times New Roman" w:cs="Times New Roman" w:eastAsia="Times New Roman" w:hint="default"/>
        </w:rPr>
        <w:t>6</w:t>
      </w:r>
      <w:r>
        <w:rPr/>
        <w:t>项（其中发明专利</w:t>
      </w:r>
      <w:r>
        <w:rPr>
          <w:rFonts w:ascii="Times New Roman" w:hAnsi="Times New Roman" w:cs="Times New Roman" w:eastAsia="Times New Roman" w:hint="default"/>
        </w:rPr>
        <w:t>4</w:t>
      </w:r>
      <w:r>
        <w:rPr/>
        <w:t>项，实 用新型专利</w:t>
      </w:r>
      <w:r>
        <w:rPr>
          <w:rFonts w:ascii="Times New Roman" w:hAnsi="Times New Roman" w:cs="Times New Roman" w:eastAsia="Times New Roman" w:hint="default"/>
        </w:rPr>
        <w:t>2</w:t>
      </w:r>
      <w:r>
        <w:rPr/>
        <w:t>项）。</w:t>
      </w:r>
      <w:r>
        <w:rPr>
          <w:rFonts w:ascii="Times New Roman" w:hAnsi="Times New Roman" w:cs="Times New Roman" w:eastAsia="Times New Roman" w:hint="default"/>
        </w:rPr>
        <w:t>2017</w:t>
      </w:r>
      <w:r>
        <w:rPr/>
        <w:t>年，公司专利授权情况如下表：</w:t>
      </w:r>
    </w:p>
    <w:tbl>
      <w:tblPr>
        <w:tblW w:w="0" w:type="auto"/>
        <w:jc w:val="left"/>
        <w:tblInd w:w="1126" w:type="dxa"/>
        <w:tblLayout w:type="fixed"/>
        <w:tblCellMar>
          <w:top w:w="0" w:type="dxa"/>
          <w:left w:w="0" w:type="dxa"/>
          <w:bottom w:w="0" w:type="dxa"/>
          <w:right w:w="0" w:type="dxa"/>
        </w:tblCellMar>
        <w:tblLook w:val="01E0"/>
      </w:tblPr>
      <w:tblGrid>
        <w:gridCol w:w="622"/>
        <w:gridCol w:w="2790"/>
        <w:gridCol w:w="1689"/>
        <w:gridCol w:w="1262"/>
        <w:gridCol w:w="1431"/>
        <w:gridCol w:w="1051"/>
      </w:tblGrid>
      <w:tr>
        <w:trPr>
          <w:trHeight w:val="427" w:hRule="exact"/>
        </w:trPr>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申请号</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专利号</w:t>
            </w:r>
            <w:r>
              <w:rPr>
                <w:rFonts w:ascii="宋体" w:hAnsi="宋体" w:cs="宋体" w:eastAsia="宋体" w:hint="default"/>
                <w:sz w:val="18"/>
                <w:szCs w:val="18"/>
              </w:rPr>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61" w:right="0"/>
              <w:jc w:val="left"/>
              <w:rPr>
                <w:rFonts w:ascii="宋体" w:hAnsi="宋体" w:cs="宋体" w:eastAsia="宋体" w:hint="default"/>
                <w:sz w:val="18"/>
                <w:szCs w:val="18"/>
              </w:rPr>
            </w:pPr>
            <w:r>
              <w:rPr>
                <w:rFonts w:ascii="宋体" w:hAnsi="宋体" w:cs="宋体" w:eastAsia="宋体" w:hint="default"/>
                <w:b/>
                <w:bCs/>
                <w:sz w:val="18"/>
                <w:szCs w:val="18"/>
              </w:rPr>
              <w:t>申请日期</w:t>
            </w:r>
            <w:r>
              <w:rPr>
                <w:rFonts w:ascii="宋体" w:hAnsi="宋体" w:cs="宋体" w:eastAsia="宋体" w:hint="default"/>
                <w:sz w:val="18"/>
                <w:szCs w:val="18"/>
              </w:rPr>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46" w:right="0"/>
              <w:jc w:val="left"/>
              <w:rPr>
                <w:rFonts w:ascii="宋体" w:hAnsi="宋体" w:cs="宋体" w:eastAsia="宋体" w:hint="default"/>
                <w:sz w:val="18"/>
                <w:szCs w:val="18"/>
              </w:rPr>
            </w:pPr>
            <w:r>
              <w:rPr>
                <w:rFonts w:ascii="宋体" w:hAnsi="宋体" w:cs="宋体" w:eastAsia="宋体" w:hint="default"/>
                <w:b/>
                <w:bCs/>
                <w:sz w:val="18"/>
                <w:szCs w:val="18"/>
              </w:rPr>
              <w:t>授权日期</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专利类型</w:t>
            </w:r>
            <w:r>
              <w:rPr>
                <w:rFonts w:ascii="宋体" w:hAnsi="宋体" w:cs="宋体" w:eastAsia="宋体" w:hint="default"/>
                <w:sz w:val="18"/>
                <w:szCs w:val="18"/>
              </w:rPr>
            </w:r>
          </w:p>
        </w:tc>
      </w:tr>
      <w:tr>
        <w:trPr>
          <w:trHeight w:val="739" w:hRule="exact"/>
        </w:trPr>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462" w:right="36" w:hanging="425"/>
              <w:jc w:val="left"/>
              <w:rPr>
                <w:rFonts w:ascii="宋体" w:hAnsi="宋体" w:cs="宋体" w:eastAsia="宋体" w:hint="default"/>
                <w:sz w:val="18"/>
                <w:szCs w:val="18"/>
              </w:rPr>
            </w:pPr>
            <w:r>
              <w:rPr>
                <w:rFonts w:ascii="宋体" w:hAnsi="宋体" w:cs="宋体" w:eastAsia="宋体" w:hint="default"/>
                <w:sz w:val="18"/>
                <w:szCs w:val="18"/>
              </w:rPr>
              <w:t>使用添加型三防整理剂制备海岛超 细纤维</w:t>
            </w:r>
            <w:r>
              <w:rPr>
                <w:rFonts w:ascii="Times New Roman" w:hAnsi="Times New Roman" w:cs="Times New Roman" w:eastAsia="Times New Roman" w:hint="default"/>
                <w:sz w:val="18"/>
                <w:szCs w:val="18"/>
              </w:rPr>
              <w:t>PU</w:t>
            </w:r>
            <w:r>
              <w:rPr>
                <w:rFonts w:ascii="宋体" w:hAnsi="宋体" w:cs="宋体" w:eastAsia="宋体" w:hint="default"/>
                <w:sz w:val="18"/>
                <w:szCs w:val="18"/>
              </w:rPr>
              <w:t>革基布的方法</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ZL201510094996.1</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8" w:right="0"/>
              <w:jc w:val="left"/>
              <w:rPr>
                <w:rFonts w:ascii="Times New Roman" w:hAnsi="Times New Roman" w:cs="Times New Roman" w:eastAsia="Times New Roman" w:hint="default"/>
                <w:sz w:val="18"/>
                <w:szCs w:val="18"/>
              </w:rPr>
            </w:pPr>
            <w:r>
              <w:rPr>
                <w:rFonts w:ascii="Times New Roman"/>
                <w:sz w:val="18"/>
              </w:rPr>
              <w:t>2015.3.3</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92" w:right="0"/>
              <w:jc w:val="left"/>
              <w:rPr>
                <w:rFonts w:ascii="Times New Roman" w:hAnsi="Times New Roman" w:cs="Times New Roman" w:eastAsia="Times New Roman" w:hint="default"/>
                <w:sz w:val="18"/>
                <w:szCs w:val="18"/>
              </w:rPr>
            </w:pPr>
            <w:r>
              <w:rPr>
                <w:rFonts w:ascii="Times New Roman"/>
                <w:sz w:val="18"/>
              </w:rPr>
              <w:t>2017.3.1</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739" w:hRule="exact"/>
        </w:trPr>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1117" w:right="36" w:hanging="1080"/>
              <w:jc w:val="left"/>
              <w:rPr>
                <w:rFonts w:ascii="宋体" w:hAnsi="宋体" w:cs="宋体" w:eastAsia="宋体" w:hint="default"/>
                <w:sz w:val="18"/>
                <w:szCs w:val="18"/>
              </w:rPr>
            </w:pPr>
            <w:r>
              <w:rPr>
                <w:rFonts w:ascii="宋体" w:hAnsi="宋体" w:cs="宋体" w:eastAsia="宋体" w:hint="default"/>
                <w:sz w:val="18"/>
                <w:szCs w:val="18"/>
              </w:rPr>
              <w:t>仿真皮超细纤维合成革基布及其制 备方法</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ZL201510971519.9</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8" w:right="0"/>
              <w:jc w:val="left"/>
              <w:rPr>
                <w:rFonts w:ascii="Times New Roman" w:hAnsi="Times New Roman" w:cs="Times New Roman" w:eastAsia="Times New Roman" w:hint="default"/>
                <w:sz w:val="18"/>
                <w:szCs w:val="18"/>
              </w:rPr>
            </w:pPr>
            <w:r>
              <w:rPr>
                <w:rFonts w:ascii="Times New Roman"/>
                <w:sz w:val="18"/>
              </w:rPr>
              <w:t>2015.12.22</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92" w:right="0"/>
              <w:jc w:val="left"/>
              <w:rPr>
                <w:rFonts w:ascii="Times New Roman" w:hAnsi="Times New Roman" w:cs="Times New Roman" w:eastAsia="Times New Roman" w:hint="default"/>
                <w:sz w:val="18"/>
                <w:szCs w:val="18"/>
              </w:rPr>
            </w:pPr>
            <w:r>
              <w:rPr>
                <w:rFonts w:ascii="Times New Roman"/>
                <w:sz w:val="18"/>
              </w:rPr>
              <w:t>2017.9.5</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738" w:hRule="exact"/>
        </w:trPr>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3</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1207" w:right="36" w:hanging="1170"/>
              <w:jc w:val="left"/>
              <w:rPr>
                <w:rFonts w:ascii="宋体" w:hAnsi="宋体" w:cs="宋体" w:eastAsia="宋体" w:hint="default"/>
                <w:sz w:val="18"/>
                <w:szCs w:val="18"/>
              </w:rPr>
            </w:pPr>
            <w:r>
              <w:rPr>
                <w:rFonts w:ascii="宋体" w:hAnsi="宋体" w:cs="宋体" w:eastAsia="宋体" w:hint="default"/>
                <w:sz w:val="18"/>
                <w:szCs w:val="18"/>
              </w:rPr>
              <w:t>无卤革用阻燃聚氨酯树脂浆料及其 应用</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ZL201510706533.6</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18" w:right="0"/>
              <w:jc w:val="left"/>
              <w:rPr>
                <w:rFonts w:ascii="Times New Roman" w:hAnsi="Times New Roman" w:cs="Times New Roman" w:eastAsia="Times New Roman" w:hint="default"/>
                <w:sz w:val="18"/>
                <w:szCs w:val="18"/>
              </w:rPr>
            </w:pPr>
            <w:r>
              <w:rPr>
                <w:rFonts w:ascii="Times New Roman"/>
                <w:sz w:val="18"/>
              </w:rPr>
              <w:t>2015.10.27</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47" w:right="0"/>
              <w:jc w:val="left"/>
              <w:rPr>
                <w:rFonts w:ascii="Times New Roman" w:hAnsi="Times New Roman" w:cs="Times New Roman" w:eastAsia="Times New Roman" w:hint="default"/>
                <w:sz w:val="18"/>
                <w:szCs w:val="18"/>
              </w:rPr>
            </w:pPr>
            <w:r>
              <w:rPr>
                <w:rFonts w:ascii="Times New Roman"/>
                <w:sz w:val="18"/>
              </w:rPr>
              <w:t>2017.8.15</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27" w:hRule="exact"/>
        </w:trPr>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婴幼儿防水透湿超纤上衣</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ZL201621127061.5</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8" w:right="0"/>
              <w:jc w:val="left"/>
              <w:rPr>
                <w:rFonts w:ascii="Times New Roman" w:hAnsi="Times New Roman" w:cs="Times New Roman" w:eastAsia="Times New Roman" w:hint="default"/>
                <w:sz w:val="18"/>
                <w:szCs w:val="18"/>
              </w:rPr>
            </w:pPr>
            <w:r>
              <w:rPr>
                <w:rFonts w:ascii="Times New Roman"/>
                <w:sz w:val="18"/>
              </w:rPr>
              <w:t>2016.10.17</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92" w:right="0"/>
              <w:jc w:val="left"/>
              <w:rPr>
                <w:rFonts w:ascii="Times New Roman" w:hAnsi="Times New Roman" w:cs="Times New Roman" w:eastAsia="Times New Roman" w:hint="default"/>
                <w:sz w:val="18"/>
                <w:szCs w:val="18"/>
              </w:rPr>
            </w:pPr>
            <w:r>
              <w:rPr>
                <w:rFonts w:ascii="Times New Roman"/>
                <w:sz w:val="18"/>
              </w:rPr>
              <w:t>2017.5.3</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427" w:hRule="exact"/>
        </w:trPr>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婴幼儿防水透湿超纤裤子</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ZL201621129398.X</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8" w:right="0"/>
              <w:jc w:val="left"/>
              <w:rPr>
                <w:rFonts w:ascii="Times New Roman" w:hAnsi="Times New Roman" w:cs="Times New Roman" w:eastAsia="Times New Roman" w:hint="default"/>
                <w:sz w:val="18"/>
                <w:szCs w:val="18"/>
              </w:rPr>
            </w:pPr>
            <w:r>
              <w:rPr>
                <w:rFonts w:ascii="Times New Roman"/>
                <w:sz w:val="18"/>
              </w:rPr>
              <w:t>2016.10.17</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92" w:right="0"/>
              <w:jc w:val="left"/>
              <w:rPr>
                <w:rFonts w:ascii="Times New Roman" w:hAnsi="Times New Roman" w:cs="Times New Roman" w:eastAsia="Times New Roman" w:hint="default"/>
                <w:sz w:val="18"/>
                <w:szCs w:val="18"/>
              </w:rPr>
            </w:pPr>
            <w:r>
              <w:rPr>
                <w:rFonts w:ascii="Times New Roman"/>
                <w:sz w:val="18"/>
              </w:rPr>
              <w:t>2017.5.3</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740" w:hRule="exact"/>
        </w:trPr>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847" w:right="36" w:hanging="810"/>
              <w:jc w:val="left"/>
              <w:rPr>
                <w:rFonts w:ascii="宋体" w:hAnsi="宋体" w:cs="宋体" w:eastAsia="宋体" w:hint="default"/>
                <w:sz w:val="18"/>
                <w:szCs w:val="18"/>
              </w:rPr>
            </w:pPr>
            <w:r>
              <w:rPr>
                <w:rFonts w:ascii="宋体" w:hAnsi="宋体" w:cs="宋体" w:eastAsia="宋体" w:hint="default"/>
                <w:sz w:val="18"/>
                <w:szCs w:val="18"/>
              </w:rPr>
              <w:t>聚氨酯超细纤维合成革复合过滤材 料的生产方法</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ZL201410421019.3</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62" w:right="0"/>
              <w:jc w:val="left"/>
              <w:rPr>
                <w:rFonts w:ascii="Times New Roman" w:hAnsi="Times New Roman" w:cs="Times New Roman" w:eastAsia="Times New Roman" w:hint="default"/>
                <w:sz w:val="18"/>
                <w:szCs w:val="18"/>
              </w:rPr>
            </w:pPr>
            <w:r>
              <w:rPr>
                <w:rFonts w:ascii="Times New Roman"/>
                <w:sz w:val="18"/>
              </w:rPr>
              <w:t>2014.8.25</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47" w:right="0"/>
              <w:jc w:val="left"/>
              <w:rPr>
                <w:rFonts w:ascii="Times New Roman" w:hAnsi="Times New Roman" w:cs="Times New Roman" w:eastAsia="Times New Roman" w:hint="default"/>
                <w:sz w:val="18"/>
                <w:szCs w:val="18"/>
              </w:rPr>
            </w:pPr>
            <w:r>
              <w:rPr>
                <w:rFonts w:ascii="Times New Roman"/>
                <w:sz w:val="18"/>
              </w:rPr>
              <w:t>2017.9.29</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bl>
    <w:p>
      <w:pPr>
        <w:pStyle w:val="BodyText"/>
        <w:spacing w:line="300" w:lineRule="auto" w:before="13"/>
        <w:ind w:left="1494" w:right="0"/>
        <w:jc w:val="left"/>
      </w:pPr>
      <w:r>
        <w:rPr>
          <w:rFonts w:ascii="Times New Roman" w:hAnsi="Times New Roman" w:cs="Times New Roman" w:eastAsia="Times New Roman" w:hint="default"/>
        </w:rPr>
        <w:t>2</w:t>
      </w:r>
      <w:r>
        <w:rPr/>
        <w:t>、稳定可靠的产品品质和品牌竞争力 </w:t>
      </w:r>
      <w:r>
        <w:rPr>
          <w:spacing w:val="-2"/>
        </w:rPr>
        <w:t>在多年的发展中，公司产品品质稳定可靠，并已在行业内树立起了具有影响力的企业品牌形象，品牌优势带来市场竞争</w:t>
      </w:r>
    </w:p>
    <w:p>
      <w:pPr>
        <w:pStyle w:val="BodyText"/>
        <w:spacing w:line="240" w:lineRule="auto" w:before="31"/>
        <w:ind w:left="1134" w:right="0"/>
        <w:jc w:val="left"/>
      </w:pPr>
      <w:r>
        <w:rPr/>
        <w:t>力，近年来，公司产销量逐年增长，市场占有率不断提高，充分体现了客户对公司产品的认可程度。</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left="1494" w:right="0"/>
        <w:jc w:val="left"/>
      </w:pPr>
      <w:r>
        <w:rPr>
          <w:rFonts w:ascii="Times New Roman" w:hAnsi="Times New Roman" w:cs="Times New Roman" w:eastAsia="Times New Roman" w:hint="default"/>
        </w:rPr>
        <w:t>3</w:t>
      </w:r>
      <w:r>
        <w:rPr/>
        <w:t>、科学合理的经营管理体系 </w:t>
      </w:r>
      <w:r>
        <w:rPr>
          <w:spacing w:val="-4"/>
        </w:rPr>
        <w:t>通过多年的持续发展，公司已建立了适应公司发展的经营管理体系，并不断借鉴国内外先进的企业管理经验，营造和谐、</w:t>
      </w:r>
    </w:p>
    <w:p>
      <w:pPr>
        <w:pStyle w:val="BodyText"/>
        <w:spacing w:line="319" w:lineRule="auto" w:before="31"/>
        <w:ind w:left="1134" w:right="1032"/>
        <w:jc w:val="left"/>
      </w:pPr>
      <w:r>
        <w:rPr>
          <w:spacing w:val="-2"/>
        </w:rPr>
        <w:t>高效的企业氛围，积极实施精益生产、目标管理等先进的管理方法和现代化的管理技术，促进公司经营管理体系人性化、科</w:t>
      </w:r>
      <w:r>
        <w:rPr>
          <w:spacing w:val="-66"/>
        </w:rPr>
        <w:t> </w:t>
      </w:r>
      <w:r>
        <w:rPr>
          <w:spacing w:val="-66"/>
        </w:rPr>
      </w:r>
      <w:r>
        <w:rPr/>
        <w:t>学化、规范化。通过信息化手段和实干能干的管理理念，有效提高内部信息反馈速度，优化业务流程，提高快速反应能力， 充分有效地组织全公司资源为客户服务，提高客户满意度。</w:t>
      </w:r>
    </w:p>
    <w:p>
      <w:pPr>
        <w:pStyle w:val="BodyText"/>
        <w:spacing w:line="300" w:lineRule="auto" w:before="17"/>
        <w:ind w:left="1494" w:right="0"/>
        <w:jc w:val="left"/>
      </w:pPr>
      <w:r>
        <w:rPr>
          <w:rFonts w:ascii="Times New Roman" w:hAnsi="Times New Roman" w:cs="Times New Roman" w:eastAsia="Times New Roman" w:hint="default"/>
        </w:rPr>
        <w:t>4</w:t>
      </w:r>
      <w:r>
        <w:rPr/>
        <w:t>、威富通的竞争优势 </w:t>
      </w:r>
      <w:r>
        <w:rPr>
          <w:spacing w:val="-2"/>
        </w:rPr>
        <w:t>威富通自成立以来，对产品及服务质量有着严格的要求，在多年的运营中积累了大量宝贵的移动支付软件项目开发和运</w:t>
      </w:r>
    </w:p>
    <w:p>
      <w:pPr>
        <w:pStyle w:val="BodyText"/>
        <w:spacing w:line="304" w:lineRule="auto" w:before="31"/>
        <w:ind w:right="1131"/>
        <w:jc w:val="both"/>
      </w:pPr>
      <w:r>
        <w:rPr/>
        <w:t>营经验，与业内最主要的移动支付公司保持着紧密的合作关系。其竞争优势主要有：（</w:t>
      </w:r>
      <w:r>
        <w:rPr>
          <w:rFonts w:ascii="Times New Roman" w:hAnsi="Times New Roman" w:cs="Times New Roman" w:eastAsia="Times New Roman" w:hint="default"/>
        </w:rPr>
        <w:t>1</w:t>
      </w:r>
      <w:r>
        <w:rPr/>
        <w:t>）客户资源优势：尤其体现在威富 通的银行模式中，优质的客户资源使威富通拥有较高的竞争壁垒和先发优势；（</w:t>
      </w:r>
      <w:r>
        <w:rPr>
          <w:rFonts w:ascii="Times New Roman" w:hAnsi="Times New Roman" w:cs="Times New Roman" w:eastAsia="Times New Roman" w:hint="default"/>
        </w:rPr>
        <w:t>2</w:t>
      </w:r>
      <w:r>
        <w:rPr/>
        <w:t>）产品及服务优势：威富通不仅仅提供技 术服务产品，而且根据自身的项目开发和运营经验，协助客户进行市场拓展；（</w:t>
      </w:r>
      <w:r>
        <w:rPr>
          <w:rFonts w:ascii="Times New Roman" w:hAnsi="Times New Roman" w:cs="Times New Roman" w:eastAsia="Times New Roman" w:hint="default"/>
        </w:rPr>
        <w:t>3</w:t>
      </w:r>
      <w:r>
        <w:rPr/>
        <w:t>）研发团队优势：研发经验丰富，核心知 </w:t>
      </w:r>
      <w:r>
        <w:rPr>
          <w:spacing w:val="-2"/>
        </w:rPr>
        <w:t>识产权及技术壁垒有效保障了威富通的技术研发优势。前述优势使威富通在为银行提供支付技术服务的细分领域已经成为行</w:t>
      </w:r>
      <w:r>
        <w:rPr>
          <w:spacing w:val="-64"/>
        </w:rPr>
        <w:t> </w:t>
      </w:r>
      <w:r>
        <w:rPr>
          <w:spacing w:val="-64"/>
        </w:rPr>
      </w:r>
      <w:r>
        <w:rPr/>
        <w:t>业的龙头，在交易金额、交易笔数等关键指标上均处于行业领先地位。</w:t>
      </w:r>
    </w:p>
    <w:p>
      <w:pPr>
        <w:spacing w:after="0" w:line="304"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45" w:right="0"/>
        <w:jc w:val="left"/>
        <w:rPr>
          <w:b w:val="0"/>
          <w:bCs w:val="0"/>
        </w:rPr>
      </w:pPr>
      <w:bookmarkStart w:name="_TOC_250008" w:id="22"/>
      <w:bookmarkStart w:name="第四节 经营情况讨论与分析" w:id="23"/>
      <w:r>
        <w:rPr>
          <w:b w:val="0"/>
          <w:bCs w:val="0"/>
        </w:rPr>
      </w:r>
      <w:r>
        <w:rPr/>
        <w:t>第四节</w:t>
      </w:r>
      <w:r>
        <w:rPr>
          <w:spacing w:val="-10"/>
        </w:rPr>
        <w:t> </w:t>
      </w:r>
      <w:r>
        <w:rPr/>
        <w:t>经营情况讨论与分析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1123" w:firstLine="360"/>
        <w:jc w:val="left"/>
      </w:pPr>
      <w:r>
        <w:rPr>
          <w:rFonts w:ascii="Times New Roman" w:hAnsi="Times New Roman" w:cs="Times New Roman" w:eastAsia="Times New Roman" w:hint="default"/>
          <w:spacing w:val="-2"/>
        </w:rPr>
        <w:t>2017</w:t>
      </w:r>
      <w:r>
        <w:rPr>
          <w:spacing w:val="-2"/>
        </w:rPr>
        <w:t>年度，在国内外经济形势复杂严峻、市场竞争激烈、燃动力成本上涨、安全环保压力增大的不利情况下，公司按照</w:t>
      </w:r>
      <w:r>
        <w:rPr/>
        <w:t> </w:t>
      </w:r>
      <w:r>
        <w:rPr>
          <w:spacing w:val="-2"/>
        </w:rPr>
        <w:t>制定的年度经营计划，在董事会和管理层的正确领导下，以创新为基础，以市场需求为导向，积极应对困境，继续专注于主</w:t>
      </w:r>
      <w:r>
        <w:rPr>
          <w:spacing w:val="-66"/>
        </w:rPr>
        <w:t> </w:t>
      </w:r>
      <w:r>
        <w:rPr>
          <w:spacing w:val="-66"/>
        </w:rPr>
      </w:r>
      <w:r>
        <w:rPr>
          <w:spacing w:val="-2"/>
        </w:rPr>
        <w:t>营业务的发展，深化和巩固在超纤行业的领先地位，取得了较好的经营成果。报告期内，公司的市场占有率不断提高，实现</w:t>
      </w:r>
      <w:r>
        <w:rPr>
          <w:spacing w:val="-66"/>
        </w:rPr>
        <w:t> </w:t>
      </w:r>
      <w:r>
        <w:rPr>
          <w:spacing w:val="-66"/>
        </w:rPr>
      </w:r>
      <w:r>
        <w:rPr/>
        <w:t>销量同比增长约</w:t>
      </w:r>
      <w:r>
        <w:rPr>
          <w:rFonts w:ascii="Times New Roman" w:hAnsi="Times New Roman" w:cs="Times New Roman" w:eastAsia="Times New Roman" w:hint="default"/>
        </w:rPr>
        <w:t>66%</w:t>
      </w:r>
      <w:r>
        <w:rPr/>
        <w:t>，其中内贸销量同比增长约</w:t>
      </w:r>
      <w:r>
        <w:rPr>
          <w:rFonts w:ascii="Times New Roman" w:hAnsi="Times New Roman" w:cs="Times New Roman" w:eastAsia="Times New Roman" w:hint="default"/>
        </w:rPr>
        <w:t>73%</w:t>
      </w:r>
      <w:r>
        <w:rPr/>
        <w:t>，外贸销量同比增长约</w:t>
      </w:r>
      <w:r>
        <w:rPr>
          <w:rFonts w:ascii="Times New Roman" w:hAnsi="Times New Roman" w:cs="Times New Roman" w:eastAsia="Times New Roman" w:hint="default"/>
        </w:rPr>
        <w:t>38%</w:t>
      </w:r>
      <w:r>
        <w:rPr/>
        <w:t>，市场占有率进一步提升，提升了公司在超 纤市场的话语权。同时，完成了对威富通的并购重组，初步实现公司双轮驱动的战略发展目标。鉴于威富通于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月开 始并表，</w:t>
      </w:r>
      <w:r>
        <w:rPr>
          <w:rFonts w:ascii="Times New Roman" w:hAnsi="Times New Roman" w:cs="Times New Roman" w:eastAsia="Times New Roman" w:hint="default"/>
        </w:rPr>
        <w:t>2017</w:t>
      </w:r>
      <w:r>
        <w:rPr/>
        <w:t>年全年公司实现营业收入</w:t>
      </w:r>
      <w:r>
        <w:rPr>
          <w:rFonts w:ascii="Times New Roman" w:hAnsi="Times New Roman" w:cs="Times New Roman" w:eastAsia="Times New Roman" w:hint="default"/>
        </w:rPr>
        <w:t>2,505,593,912.49</w:t>
      </w:r>
      <w:r>
        <w:rPr/>
        <w:t>元，同比增长</w:t>
      </w:r>
      <w:r>
        <w:rPr>
          <w:rFonts w:ascii="Times New Roman" w:hAnsi="Times New Roman" w:cs="Times New Roman" w:eastAsia="Times New Roman" w:hint="default"/>
        </w:rPr>
        <w:t>74.11%</w:t>
      </w:r>
      <w:r>
        <w:rPr/>
        <w:t>，实现归属于上市公司股东的净利润 </w:t>
      </w:r>
      <w:r>
        <w:rPr>
          <w:rFonts w:ascii="Times New Roman" w:hAnsi="Times New Roman" w:cs="Times New Roman" w:eastAsia="Times New Roman" w:hint="default"/>
        </w:rPr>
        <w:t>249,291,729.69</w:t>
      </w:r>
      <w:r>
        <w:rPr/>
        <w:t>元，同比增长</w:t>
      </w:r>
      <w:r>
        <w:rPr>
          <w:rFonts w:ascii="Times New Roman" w:hAnsi="Times New Roman" w:cs="Times New Roman" w:eastAsia="Times New Roman" w:hint="default"/>
        </w:rPr>
        <w:t>147.93%</w:t>
      </w:r>
      <w:r>
        <w:rPr/>
        <w:t>。</w:t>
      </w:r>
    </w:p>
    <w:p>
      <w:pPr>
        <w:pStyle w:val="BodyText"/>
        <w:spacing w:line="240" w:lineRule="auto" w:before="7"/>
        <w:ind w:left="1493" w:right="0"/>
        <w:jc w:val="left"/>
      </w:pPr>
      <w:r>
        <w:rPr/>
        <w:t>报告期内，公司的经营情况主要如下：</w:t>
      </w:r>
    </w:p>
    <w:p>
      <w:pPr>
        <w:pStyle w:val="BodyText"/>
        <w:spacing w:line="240" w:lineRule="auto" w:before="76"/>
        <w:ind w:left="1493" w:right="0"/>
        <w:jc w:val="left"/>
      </w:pPr>
      <w:r>
        <w:rPr/>
        <w:t>（一）启东基地产能持续释放</w:t>
      </w:r>
    </w:p>
    <w:p>
      <w:pPr>
        <w:pStyle w:val="BodyText"/>
        <w:spacing w:line="300" w:lineRule="auto" w:before="76"/>
        <w:ind w:right="1118" w:firstLine="360"/>
        <w:jc w:val="left"/>
      </w:pPr>
      <w:r>
        <w:rPr>
          <w:rFonts w:ascii="Times New Roman" w:hAnsi="Times New Roman" w:cs="Times New Roman" w:eastAsia="Times New Roman" w:hint="default"/>
          <w:spacing w:val="-2"/>
        </w:rPr>
        <w:t>2017</w:t>
      </w:r>
      <w:r>
        <w:rPr>
          <w:spacing w:val="-2"/>
        </w:rPr>
        <w:t>年，启东一期项目已建成投产，二期项目都在稳步推进中，产能逐步释放，进一步提升了公司的生产能力，规模效</w:t>
      </w:r>
      <w:r>
        <w:rPr/>
        <w:t> 益日益凸显。</w:t>
      </w:r>
    </w:p>
    <w:p>
      <w:pPr>
        <w:pStyle w:val="BodyText"/>
        <w:spacing w:line="240" w:lineRule="auto" w:before="31"/>
        <w:ind w:left="1493" w:right="0"/>
        <w:jc w:val="left"/>
      </w:pPr>
      <w:r>
        <w:rPr/>
        <w:t>（二）成功完成对威富通的并购重组</w:t>
      </w:r>
    </w:p>
    <w:p>
      <w:pPr>
        <w:pStyle w:val="BodyText"/>
        <w:spacing w:line="309" w:lineRule="auto" w:before="76"/>
        <w:ind w:right="1130"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日，公司收到中国证券监督管理委员会（以下简称</w:t>
      </w:r>
      <w:r>
        <w:rPr>
          <w:rFonts w:ascii="Times New Roman" w:hAnsi="Times New Roman" w:cs="Times New Roman" w:eastAsia="Times New Roman" w:hint="default"/>
        </w:rPr>
        <w:t>“</w:t>
      </w:r>
      <w:r>
        <w:rPr/>
        <w:t>中国证监会</w:t>
      </w:r>
      <w:r>
        <w:rPr>
          <w:rFonts w:ascii="Times New Roman" w:hAnsi="Times New Roman" w:cs="Times New Roman" w:eastAsia="Times New Roman" w:hint="default"/>
        </w:rPr>
        <w:t>”</w:t>
      </w:r>
      <w:r>
        <w:rPr/>
        <w:t>）出具的《关于核准上海华峰超纤材料股 </w:t>
      </w:r>
      <w:r>
        <w:rPr>
          <w:spacing w:val="-1"/>
        </w:rPr>
        <w:t>份有限公司向鲜丹等发行股份购买资产并募集配套资金的批复》（证监许可</w:t>
      </w:r>
      <w:r>
        <w:rPr>
          <w:rFonts w:ascii="Times New Roman" w:hAnsi="Times New Roman" w:cs="Times New Roman" w:eastAsia="Times New Roman" w:hint="default"/>
          <w:spacing w:val="-1"/>
        </w:rPr>
        <w:t>[2017]855</w:t>
      </w:r>
      <w:r>
        <w:rPr>
          <w:spacing w:val="-1"/>
        </w:rPr>
        <w:t>号）。</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23</w:t>
      </w:r>
      <w:r>
        <w:rPr>
          <w:spacing w:val="-1"/>
        </w:rPr>
        <w:t>日，威富通取得了</w:t>
      </w:r>
      <w:r>
        <w:rPr>
          <w:spacing w:val="-52"/>
        </w:rPr>
        <w:t> </w:t>
      </w:r>
      <w:r>
        <w:rPr>
          <w:spacing w:val="-52"/>
        </w:rPr>
      </w:r>
      <w:r>
        <w:rPr>
          <w:spacing w:val="-2"/>
        </w:rPr>
        <w:t>深圳市市场监督管理局颁发的《变更（备案）通知书》及新的营业执照，股权过户手续及相关工商登记已经完成。这一历时</w:t>
      </w:r>
      <w:r>
        <w:rPr>
          <w:spacing w:val="-69"/>
        </w:rPr>
        <w:t> </w:t>
      </w:r>
      <w:r>
        <w:rPr>
          <w:spacing w:val="-69"/>
        </w:rPr>
      </w:r>
      <w:r>
        <w:rPr>
          <w:spacing w:val="-2"/>
        </w:rPr>
        <w:t>近一年，经七次董事会参与内部集中决策与评估的重大资产重组正式尘埃落定。此举有利于提高公司的资产质量、持续经营</w:t>
      </w:r>
      <w:r>
        <w:rPr>
          <w:spacing w:val="-66"/>
        </w:rPr>
        <w:t> </w:t>
      </w:r>
      <w:r>
        <w:rPr>
          <w:spacing w:val="-66"/>
        </w:rPr>
      </w:r>
      <w:r>
        <w:rPr/>
        <w:t>能力和抗风险能力，并使其成为公司重要的利润增长点。</w:t>
      </w:r>
    </w:p>
    <w:p>
      <w:pPr>
        <w:pStyle w:val="BodyText"/>
        <w:spacing w:line="240" w:lineRule="auto" w:before="24"/>
        <w:ind w:left="1494" w:right="0"/>
        <w:jc w:val="left"/>
      </w:pPr>
      <w:r>
        <w:rPr/>
        <w:t>（三）进一步优化渠道，创造市场新格局</w:t>
      </w:r>
    </w:p>
    <w:p>
      <w:pPr>
        <w:pStyle w:val="BodyText"/>
        <w:spacing w:line="309" w:lineRule="auto" w:before="76"/>
        <w:ind w:left="1134" w:right="1131" w:firstLine="360"/>
        <w:jc w:val="both"/>
      </w:pPr>
      <w:r>
        <w:rPr>
          <w:rFonts w:ascii="Times New Roman" w:hAnsi="Times New Roman" w:cs="Times New Roman" w:eastAsia="Times New Roman" w:hint="default"/>
          <w:spacing w:val="-2"/>
        </w:rPr>
        <w:t>2017</w:t>
      </w:r>
      <w:r>
        <w:rPr>
          <w:spacing w:val="-2"/>
        </w:rPr>
        <w:t>年，公司进一步优化渠道。一方面，更多地走出去，通过参加更多的优质展会、实地拜访客户、当面洽谈，拉近公</w:t>
      </w:r>
      <w:r>
        <w:rPr/>
        <w:t> </w:t>
      </w:r>
      <w:r>
        <w:rPr>
          <w:spacing w:val="-2"/>
        </w:rPr>
        <w:t>司与客户、华峰与市场的距离，让公司更加准确地了解市场信息、对潜在市场的挖掘更有方向，对国外市场的布局重新细分</w:t>
      </w:r>
      <w:r>
        <w:rPr>
          <w:spacing w:val="-66"/>
        </w:rPr>
        <w:t> </w:t>
      </w:r>
      <w:r>
        <w:rPr>
          <w:spacing w:val="-66"/>
        </w:rPr>
      </w:r>
      <w:r>
        <w:rPr/>
        <w:t>定位，还特别重点加强了对终端品牌工厂、同行的合作伙伴等新型营销渠道构建。</w:t>
      </w:r>
    </w:p>
    <w:p>
      <w:pPr>
        <w:pStyle w:val="BodyText"/>
        <w:spacing w:line="316" w:lineRule="auto" w:before="24"/>
        <w:ind w:left="1494" w:right="0"/>
        <w:jc w:val="left"/>
      </w:pPr>
      <w:r>
        <w:rPr/>
        <w:t>（四）强力推进技术创新，捕捉技术储备与市场需求的共振点 </w:t>
      </w:r>
      <w:r>
        <w:rPr>
          <w:spacing w:val="-2"/>
        </w:rPr>
        <w:t>公司在研发与自主创新方面，不断加大投入，巩固和提升现有的技术优势，并在产品技术应用的开发上紧密与市场需求</w:t>
      </w:r>
    </w:p>
    <w:p>
      <w:pPr>
        <w:pStyle w:val="BodyText"/>
        <w:spacing w:line="300" w:lineRule="auto" w:before="19"/>
        <w:ind w:right="1131"/>
        <w:jc w:val="both"/>
      </w:pPr>
      <w:r>
        <w:rPr>
          <w:spacing w:val="-2"/>
        </w:rPr>
        <w:t>相结合，持续推出新产品，创造新的业绩增长点。</w:t>
      </w:r>
      <w:r>
        <w:rPr>
          <w:rFonts w:ascii="Times New Roman" w:hAnsi="Times New Roman" w:cs="Times New Roman" w:eastAsia="Times New Roman" w:hint="default"/>
          <w:spacing w:val="-2"/>
        </w:rPr>
        <w:t>2017</w:t>
      </w:r>
      <w:r>
        <w:rPr>
          <w:spacing w:val="-2"/>
        </w:rPr>
        <w:t>年我们成功申报</w:t>
      </w:r>
      <w:r>
        <w:rPr>
          <w:rFonts w:ascii="Times New Roman" w:hAnsi="Times New Roman" w:cs="Times New Roman" w:eastAsia="Times New Roman" w:hint="default"/>
          <w:spacing w:val="-2"/>
        </w:rPr>
        <w:t>“</w:t>
      </w:r>
      <w:r>
        <w:rPr>
          <w:spacing w:val="-2"/>
        </w:rPr>
        <w:t>第二批中国制造业单项冠军示范（培育）企业</w:t>
      </w:r>
      <w:r>
        <w:rPr>
          <w:rFonts w:ascii="Times New Roman" w:hAnsi="Times New Roman" w:cs="Times New Roman" w:eastAsia="Times New Roman" w:hint="default"/>
          <w:spacing w:val="-2"/>
        </w:rPr>
        <w:t>”</w:t>
      </w:r>
      <w:r>
        <w:rPr>
          <w:spacing w:val="-2"/>
        </w:rPr>
        <w:t>，入</w:t>
      </w:r>
      <w:r>
        <w:rPr>
          <w:spacing w:val="-51"/>
        </w:rPr>
        <w:t> </w:t>
      </w:r>
      <w:r>
        <w:rPr>
          <w:spacing w:val="-2"/>
        </w:rPr>
        <w:t>选</w:t>
      </w:r>
      <w:r>
        <w:rPr>
          <w:rFonts w:ascii="Times New Roman" w:hAnsi="Times New Roman" w:cs="Times New Roman" w:eastAsia="Times New Roman" w:hint="default"/>
          <w:spacing w:val="-2"/>
        </w:rPr>
        <w:t>“</w:t>
      </w:r>
      <w:r>
        <w:rPr>
          <w:spacing w:val="-2"/>
        </w:rPr>
        <w:t>单项冠军示范企业</w:t>
      </w:r>
      <w:r>
        <w:rPr>
          <w:rFonts w:ascii="Times New Roman" w:hAnsi="Times New Roman" w:cs="Times New Roman" w:eastAsia="Times New Roman" w:hint="default"/>
          <w:spacing w:val="-2"/>
        </w:rPr>
        <w:t>”</w:t>
      </w:r>
      <w:r>
        <w:rPr>
          <w:spacing w:val="-2"/>
        </w:rPr>
        <w:t>。制造业单项冠军是制造业创新发展的基石，国家工信部在全国范围内进行评选，旨在引导企业树立</w:t>
      </w:r>
      <w:r>
        <w:rPr>
          <w:spacing w:val="-45"/>
        </w:rPr>
        <w:t> </w:t>
      </w:r>
      <w:r>
        <w:rPr>
          <w:spacing w:val="-45"/>
        </w:rPr>
      </w:r>
      <w:r>
        <w:rPr>
          <w:rFonts w:ascii="Times New Roman" w:hAnsi="Times New Roman" w:cs="Times New Roman" w:eastAsia="Times New Roman" w:hint="default"/>
          <w:spacing w:val="-1"/>
        </w:rPr>
        <w:t>“</w:t>
      </w:r>
      <w:r>
        <w:rPr>
          <w:spacing w:val="-1"/>
        </w:rPr>
        <w:t>十年磨一剑</w:t>
      </w:r>
      <w:r>
        <w:rPr>
          <w:rFonts w:ascii="Times New Roman" w:hAnsi="Times New Roman" w:cs="Times New Roman" w:eastAsia="Times New Roman" w:hint="default"/>
          <w:spacing w:val="-1"/>
        </w:rPr>
        <w:t>”</w:t>
      </w:r>
      <w:r>
        <w:rPr>
          <w:spacing w:val="-1"/>
        </w:rPr>
        <w:t>的精神，长期专注于企业擅长的领域，走</w:t>
      </w:r>
      <w:r>
        <w:rPr>
          <w:rFonts w:ascii="Times New Roman" w:hAnsi="Times New Roman" w:cs="Times New Roman" w:eastAsia="Times New Roman" w:hint="default"/>
          <w:spacing w:val="-1"/>
        </w:rPr>
        <w:t>“</w:t>
      </w:r>
      <w:r>
        <w:rPr>
          <w:spacing w:val="-1"/>
        </w:rPr>
        <w:t>专精特新</w:t>
      </w:r>
      <w:r>
        <w:rPr>
          <w:rFonts w:ascii="Times New Roman" w:hAnsi="Times New Roman" w:cs="Times New Roman" w:eastAsia="Times New Roman" w:hint="default"/>
          <w:spacing w:val="-1"/>
        </w:rPr>
        <w:t>”</w:t>
      </w:r>
      <w:r>
        <w:rPr>
          <w:spacing w:val="-1"/>
        </w:rPr>
        <w:t>发展道路，这正是与公司的发展不谋而合。未来，公司也</w:t>
      </w:r>
      <w:r>
        <w:rPr>
          <w:spacing w:val="-80"/>
        </w:rPr>
        <w:t> </w:t>
      </w:r>
      <w:r>
        <w:rPr>
          <w:spacing w:val="-80"/>
        </w:rPr>
      </w:r>
      <w:r>
        <w:rPr/>
        <w:t>将继续努力在超纤领域做大做强。</w:t>
      </w:r>
    </w:p>
    <w:p>
      <w:pPr>
        <w:pStyle w:val="BodyText"/>
        <w:spacing w:line="316" w:lineRule="auto" w:before="31"/>
        <w:ind w:left="1493" w:right="0"/>
        <w:jc w:val="left"/>
      </w:pPr>
      <w:r>
        <w:rPr/>
        <w:t>（五）持续推进产业信息化工作，有效支撑公司运营管理 </w:t>
      </w:r>
      <w:r>
        <w:rPr>
          <w:spacing w:val="-2"/>
        </w:rPr>
        <w:t>信息化建设作为一项长期性、系统性的工程，不仅是技术问题，更多的是管理问题。我们要始终把提高业务运营水平和</w:t>
      </w:r>
    </w:p>
    <w:p>
      <w:pPr>
        <w:pStyle w:val="BodyText"/>
        <w:spacing w:line="304" w:lineRule="auto" w:before="19"/>
        <w:ind w:right="1120"/>
        <w:jc w:val="left"/>
      </w:pPr>
      <w:r>
        <w:rPr>
          <w:spacing w:val="-2"/>
        </w:rPr>
        <w:t>实现管理创新作为信息化工作的出发点和落脚点，立足于企业实际需求，建设实用高效的信息系统，真正形成对企业管理决</w:t>
      </w:r>
      <w:r>
        <w:rPr>
          <w:spacing w:val="-65"/>
        </w:rPr>
        <w:t> </w:t>
      </w:r>
      <w:r>
        <w:rPr>
          <w:spacing w:val="-65"/>
        </w:rPr>
      </w:r>
      <w:r>
        <w:rPr/>
        <w:t>策和业务发展的全方位信息化支撑。</w:t>
      </w:r>
      <w:r>
        <w:rPr>
          <w:rFonts w:ascii="Times New Roman" w:hAnsi="Times New Roman" w:cs="Times New Roman" w:eastAsia="Times New Roman" w:hint="default"/>
        </w:rPr>
        <w:t>MES</w:t>
      </w:r>
      <w:r>
        <w:rPr/>
        <w:t>项目</w:t>
      </w:r>
      <w:r>
        <w:rPr>
          <w:rFonts w:ascii="Times New Roman" w:hAnsi="Times New Roman" w:cs="Times New Roman" w:eastAsia="Times New Roman" w:hint="default"/>
        </w:rPr>
        <w:t>2016</w:t>
      </w:r>
      <w:r>
        <w:rPr/>
        <w:t>年已经在公司生产系统落地上线，报告期内，</w:t>
      </w:r>
      <w:r>
        <w:rPr>
          <w:rFonts w:ascii="Times New Roman" w:hAnsi="Times New Roman" w:cs="Times New Roman" w:eastAsia="Times New Roman" w:hint="default"/>
        </w:rPr>
        <w:t>MES</w:t>
      </w:r>
      <w:r>
        <w:rPr/>
        <w:t>经过不断的优化，成 </w:t>
      </w:r>
      <w:r>
        <w:rPr>
          <w:spacing w:val="-1"/>
        </w:rPr>
        <w:t>效更加明显。</w:t>
      </w:r>
      <w:r>
        <w:rPr>
          <w:rFonts w:ascii="Times New Roman" w:hAnsi="Times New Roman" w:cs="Times New Roman" w:eastAsia="Times New Roman" w:hint="default"/>
          <w:spacing w:val="-1"/>
        </w:rPr>
        <w:t>2017</w:t>
      </w:r>
      <w:r>
        <w:rPr>
          <w:spacing w:val="-1"/>
        </w:rPr>
        <w:t>年底，公司还启动了</w:t>
      </w:r>
      <w:r>
        <w:rPr>
          <w:rFonts w:ascii="Times New Roman" w:hAnsi="Times New Roman" w:cs="Times New Roman" w:eastAsia="Times New Roman" w:hint="default"/>
          <w:spacing w:val="-1"/>
        </w:rPr>
        <w:t>ERP</w:t>
      </w:r>
      <w:r>
        <w:rPr>
          <w:spacing w:val="-1"/>
        </w:rPr>
        <w:t>及产业链平台项目，希望借助信息化手段，重点打通生产、销售、财务、物流等</w:t>
      </w:r>
      <w:r>
        <w:rPr/>
        <w:t> 核心业务环节的数据流通和流程节点，提高运营效率，优化管理模式。</w:t>
      </w:r>
    </w:p>
    <w:p>
      <w:pPr>
        <w:pStyle w:val="BodyText"/>
        <w:spacing w:line="319" w:lineRule="auto" w:before="28"/>
        <w:ind w:left="1494" w:right="1032"/>
        <w:jc w:val="left"/>
      </w:pPr>
      <w:r>
        <w:rPr/>
        <w:t>（六）持续完善治理结构，提升管理的效率和质量 公司进一步优化人力资源结构，完善考核指标，激发骨干员工的潜力，促进公司科学发展。面对激烈的市场竞争环境，</w:t>
      </w:r>
    </w:p>
    <w:p>
      <w:pPr>
        <w:pStyle w:val="BodyText"/>
        <w:spacing w:line="316" w:lineRule="auto" w:before="17"/>
        <w:ind w:left="1134" w:right="0"/>
        <w:jc w:val="left"/>
      </w:pPr>
      <w:r>
        <w:rPr>
          <w:spacing w:val="-2"/>
        </w:rPr>
        <w:t>公司适时地进行了人员结构的调整，加大人力资源体系建设，尤其是对技术、生产、销售等重要岗位的人员构成进行优势劣</w:t>
      </w:r>
      <w:r>
        <w:rPr>
          <w:spacing w:val="-66"/>
        </w:rPr>
        <w:t> </w:t>
      </w:r>
      <w:r>
        <w:rPr>
          <w:spacing w:val="-66"/>
        </w:rPr>
      </w:r>
      <w:r>
        <w:rPr/>
        <w:t>汰，引进优秀人才、高端人才，促进公司的快速发展。</w:t>
      </w:r>
    </w:p>
    <w:p>
      <w:pPr>
        <w:pStyle w:val="BodyText"/>
        <w:spacing w:line="240" w:lineRule="auto" w:before="19"/>
        <w:ind w:left="1494" w:right="0"/>
        <w:jc w:val="left"/>
      </w:pPr>
      <w:r>
        <w:rPr/>
        <w:t>报告期内，公司通过强化内控、优化流程，持续提升管理水平和决策效率。在财务管理、销售管理、生产管理、采购管</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理、人力资源管理、项目管理等方面不断推出各种适宜的实施细则，使得公司的管理水平得到了有效提升。</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133" w:right="6473"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6973"/>
        <w:jc w:val="left"/>
      </w:pPr>
      <w:r>
        <w:rPr/>
        <w:t>公司是否需要遵守光伏产业链相关业的披露要求 否</w:t>
      </w:r>
    </w:p>
    <w:p>
      <w:pPr>
        <w:pStyle w:val="BodyText"/>
        <w:spacing w:line="338" w:lineRule="auto" w:before="26"/>
        <w:ind w:right="1395"/>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3"/>
        <w:ind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2"/>
        <w:ind w:right="1136"/>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0"/>
        <w:ind w:right="1664"/>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43"/>
        <w:ind w:left="1134" w:right="0"/>
        <w:jc w:val="left"/>
      </w:pPr>
      <w:r>
        <w:rPr/>
        <w:t>营业收入整体情况</w:t>
      </w:r>
    </w:p>
    <w:p>
      <w:pPr>
        <w:pStyle w:val="BodyText"/>
        <w:spacing w:line="240" w:lineRule="auto" w:before="116"/>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2,505,593,912.49</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1,439,082,922.42</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74.11%</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2,290,149,769.19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91.40%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1,439,082,922.42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59.14%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215,444,143.30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超细纤维合成革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514,939,056.44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20.55%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418,828,840.84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29.10%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22.95%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超细纤维底坯</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1,051,948,306.87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41.98%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531,481,965.10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36.93%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97.93%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绒面革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567,406,035.34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22.65%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421,332,540.73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29.28%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34.67%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155,856,370.54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67,439,575.75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4.69%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131.11%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215,444,143.30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超纤国内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1,902,346,845.71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75.92%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1,145,193,074.65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79.58%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66.12%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超纤国外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387,802,923.48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15.48%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293,889,847.77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20.42%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215,444,143.30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4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113" w:right="1112"/>
        <w:jc w:val="center"/>
      </w:pPr>
      <w:r>
        <w:rPr/>
        <w:t>单位：元</w:t>
      </w:r>
    </w:p>
    <w:p>
      <w:pPr>
        <w:spacing w:after="0" w:line="240" w:lineRule="auto"/>
        <w:jc w:val="center"/>
        <w:sectPr>
          <w:type w:val="continuous"/>
          <w:pgSz w:w="11910" w:h="16840"/>
          <w:pgMar w:top="1060" w:bottom="1160" w:left="0" w:right="0"/>
          <w:cols w:num="2" w:equalWidth="0">
            <w:col w:w="4195" w:space="4725"/>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2,134,293,398.65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1,682,056,741.18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54.72%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215,444,143.30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40,552,631.51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超细纤维合成革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514,939,056.44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471,095,044.71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超细纤维底坯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1,051,948,306.87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788,048,104.36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90.86%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绒面革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567,406,035.34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422,913,592.11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215,444,143.30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40,552,631.51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超纤国内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1,746,490,475.17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1,447,528,800.02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超纤国外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387,802,923.48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234,527,941.16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-5.71%</w:t>
            </w:r>
          </w:p>
        </w:tc>
      </w:tr>
    </w:tbl>
    <w:p>
      <w:pPr>
        <w:pStyle w:val="BodyText"/>
        <w:spacing w:line="240" w:lineRule="auto" w:before="51"/>
        <w:ind w:left="1134"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2,132,583,820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1,439,082,922.42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48.19%</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2,329,464,310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1,467,049,954.26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58.79%</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152,642,820.1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100,040,027.84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52.58%</w:t>
            </w:r>
          </w:p>
        </w:tc>
      </w:tr>
    </w:tbl>
    <w:p>
      <w:pPr>
        <w:pStyle w:val="BodyText"/>
        <w:spacing w:line="240" w:lineRule="auto" w:before="51"/>
        <w:ind w:left="113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3"/>
        <w:ind w:right="4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由于市场开发情况良好，超纤用途扩大，本报告期公司超纤业务产销量大幅增长。</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行业和产品分类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超纤产品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1,132,617,104.50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676,528,983.48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超纤产品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燃动费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289,775,803.53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194,054,995.26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超纤产品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70,509,945.03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70,664,283.98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超纤产品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189,153,888.13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145,894,567.87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移动支付分润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39,057,332.51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1,055,045.08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440,253.92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before="77"/>
        <w:ind w:left="1133" w:right="0" w:firstLine="0"/>
        <w:jc w:val="left"/>
        <w:rPr>
          <w:rFonts w:ascii="宋体" w:hAnsi="宋体" w:cs="宋体" w:eastAsia="宋体" w:hint="default"/>
          <w:sz w:val="21"/>
          <w:szCs w:val="21"/>
        </w:rPr>
      </w:pPr>
      <w:r>
        <w:rPr>
          <w:rFonts w:ascii="宋体" w:hAnsi="宋体" w:cs="宋体" w:eastAsia="宋体" w:hint="default"/>
          <w:sz w:val="21"/>
          <w:szCs w:val="21"/>
        </w:rPr>
        <w:t>因收购威富通，截止</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日，本公司增加合并财务报表范围内子公司如下：</w:t>
      </w:r>
    </w:p>
    <w:p>
      <w:pPr>
        <w:spacing w:line="240" w:lineRule="auto" w:before="10"/>
        <w:rPr>
          <w:rFonts w:ascii="宋体" w:hAnsi="宋体" w:cs="宋体" w:eastAsia="宋体" w:hint="default"/>
          <w:sz w:val="2"/>
          <w:szCs w:val="2"/>
        </w:rPr>
      </w:pPr>
    </w:p>
    <w:p>
      <w:pPr>
        <w:spacing w:line="20" w:lineRule="exact"/>
        <w:ind w:left="1126" w:right="0" w:firstLine="0"/>
        <w:rPr>
          <w:rFonts w:ascii="宋体" w:hAnsi="宋体" w:cs="宋体" w:eastAsia="宋体" w:hint="default"/>
          <w:sz w:val="2"/>
          <w:szCs w:val="2"/>
        </w:rPr>
      </w:pPr>
      <w:r>
        <w:rPr>
          <w:rFonts w:ascii="宋体" w:hAnsi="宋体" w:cs="宋体" w:eastAsia="宋体" w:hint="default"/>
          <w:sz w:val="2"/>
          <w:szCs w:val="2"/>
        </w:rPr>
        <w:pict>
          <v:group style="width:426.9pt;height:.75pt;mso-position-horizontal-relative:char;mso-position-vertical-relative:line" coordorigin="0,0" coordsize="8538,15">
            <v:group style="position:absolute;left:7;top:7;width:8524;height:2" coordorigin="7,7" coordsize="8524,2">
              <v:shape style="position:absolute;left:7;top:7;width:8524;height:2" coordorigin="7,7" coordsize="8524,0" path="m7,7l8531,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15"/>
        <w:ind w:left="2289" w:right="3403"/>
        <w:jc w:val="center"/>
      </w:pPr>
      <w:r>
        <w:rPr/>
        <w:t>子公司名称</w:t>
      </w:r>
    </w:p>
    <w:p>
      <w:pPr>
        <w:spacing w:line="240" w:lineRule="auto" w:before="10"/>
        <w:rPr>
          <w:rFonts w:ascii="宋体" w:hAnsi="宋体" w:cs="宋体" w:eastAsia="宋体" w:hint="default"/>
          <w:sz w:val="5"/>
          <w:szCs w:val="5"/>
        </w:rPr>
      </w:pPr>
    </w:p>
    <w:tbl>
      <w:tblPr>
        <w:tblW w:w="0" w:type="auto"/>
        <w:jc w:val="left"/>
        <w:tblInd w:w="1134" w:type="dxa"/>
        <w:tblLayout w:type="fixed"/>
        <w:tblCellMar>
          <w:top w:w="0" w:type="dxa"/>
          <w:left w:w="0" w:type="dxa"/>
          <w:bottom w:w="0" w:type="dxa"/>
          <w:right w:w="0" w:type="dxa"/>
        </w:tblCellMar>
        <w:tblLook w:val="01E0"/>
      </w:tblPr>
      <w:tblGrid>
        <w:gridCol w:w="8533"/>
      </w:tblGrid>
      <w:tr>
        <w:trPr>
          <w:trHeight w:val="359" w:hRule="exact"/>
        </w:trPr>
        <w:tc>
          <w:tcPr>
            <w:tcW w:w="8533" w:type="dxa"/>
            <w:tcBorders>
              <w:top w:val="single" w:sz="16" w:space="0" w:color="000000"/>
              <w:left w:val="nil" w:sz="6" w:space="0" w:color="auto"/>
              <w:bottom w:val="single" w:sz="6" w:space="0" w:color="000000"/>
              <w:right w:val="nil" w:sz="6" w:space="0" w:color="auto"/>
            </w:tcBorders>
          </w:tcPr>
          <w:p>
            <w:pPr>
              <w:pStyle w:val="TableParagraph"/>
              <w:spacing w:line="240" w:lineRule="auto" w:before="21"/>
              <w:ind w:left="20" w:right="0"/>
              <w:jc w:val="left"/>
              <w:rPr>
                <w:rFonts w:ascii="宋体" w:hAnsi="宋体" w:cs="宋体" w:eastAsia="宋体" w:hint="default"/>
                <w:sz w:val="18"/>
                <w:szCs w:val="18"/>
              </w:rPr>
            </w:pPr>
            <w:r>
              <w:rPr>
                <w:rFonts w:ascii="宋体" w:hAnsi="宋体" w:cs="宋体" w:eastAsia="宋体" w:hint="default"/>
                <w:sz w:val="18"/>
                <w:szCs w:val="18"/>
              </w:rPr>
              <w:t>深圳市威富通科技有限公司（以下简称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威富通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7" w:hRule="exact"/>
        </w:trPr>
        <w:tc>
          <w:tcPr>
            <w:tcW w:w="8533"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20" w:right="0"/>
              <w:jc w:val="left"/>
              <w:rPr>
                <w:rFonts w:ascii="宋体" w:hAnsi="宋体" w:cs="宋体" w:eastAsia="宋体" w:hint="default"/>
                <w:sz w:val="18"/>
                <w:szCs w:val="18"/>
              </w:rPr>
            </w:pPr>
            <w:r>
              <w:rPr>
                <w:rFonts w:ascii="宋体" w:hAnsi="宋体" w:cs="宋体" w:eastAsia="宋体" w:hint="default"/>
                <w:sz w:val="18"/>
                <w:szCs w:val="18"/>
              </w:rPr>
              <w:t>深圳市购购通电商科技有限公司（以下简称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购购通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7" w:hRule="exact"/>
        </w:trPr>
        <w:tc>
          <w:tcPr>
            <w:tcW w:w="8533"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20" w:right="0"/>
              <w:jc w:val="left"/>
              <w:rPr>
                <w:rFonts w:ascii="宋体" w:hAnsi="宋体" w:cs="宋体" w:eastAsia="宋体" w:hint="default"/>
                <w:sz w:val="18"/>
                <w:szCs w:val="18"/>
              </w:rPr>
            </w:pPr>
            <w:r>
              <w:rPr>
                <w:rFonts w:ascii="宋体" w:hAnsi="宋体" w:cs="宋体" w:eastAsia="宋体" w:hint="default"/>
                <w:sz w:val="18"/>
                <w:szCs w:val="18"/>
              </w:rPr>
              <w:t>跨境通移动科技有限公司（以下简称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跨境通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7" w:hRule="exact"/>
        </w:trPr>
        <w:tc>
          <w:tcPr>
            <w:tcW w:w="8533"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20" w:right="0"/>
              <w:jc w:val="left"/>
              <w:rPr>
                <w:rFonts w:ascii="宋体" w:hAnsi="宋体" w:cs="宋体" w:eastAsia="宋体" w:hint="default"/>
                <w:sz w:val="18"/>
                <w:szCs w:val="18"/>
              </w:rPr>
            </w:pPr>
            <w:r>
              <w:rPr>
                <w:rFonts w:ascii="宋体" w:hAnsi="宋体" w:cs="宋体" w:eastAsia="宋体" w:hint="default"/>
                <w:sz w:val="18"/>
                <w:szCs w:val="18"/>
              </w:rPr>
              <w:t>深圳市智付通信息服务有限公司（以下简称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智付通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8" w:hRule="exact"/>
        </w:trPr>
        <w:tc>
          <w:tcPr>
            <w:tcW w:w="8533"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20" w:right="0"/>
              <w:jc w:val="left"/>
              <w:rPr>
                <w:rFonts w:ascii="宋体" w:hAnsi="宋体" w:cs="宋体" w:eastAsia="宋体" w:hint="default"/>
                <w:sz w:val="18"/>
                <w:szCs w:val="18"/>
              </w:rPr>
            </w:pPr>
            <w:r>
              <w:rPr>
                <w:rFonts w:ascii="宋体" w:hAnsi="宋体" w:cs="宋体" w:eastAsia="宋体" w:hint="default"/>
                <w:sz w:val="18"/>
                <w:szCs w:val="18"/>
              </w:rPr>
              <w:t>深圳市白龙移动科技有限公司（以下简称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白龙移动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9" w:hRule="exact"/>
        </w:trPr>
        <w:tc>
          <w:tcPr>
            <w:tcW w:w="8533" w:type="dxa"/>
            <w:tcBorders>
              <w:top w:val="single" w:sz="6" w:space="0" w:color="000000"/>
              <w:left w:val="nil" w:sz="6" w:space="0" w:color="auto"/>
              <w:bottom w:val="single" w:sz="16" w:space="0" w:color="000000"/>
              <w:right w:val="nil" w:sz="6" w:space="0" w:color="auto"/>
            </w:tcBorders>
          </w:tcPr>
          <w:p>
            <w:pPr>
              <w:pStyle w:val="TableParagraph"/>
              <w:spacing w:line="240" w:lineRule="auto" w:before="20"/>
              <w:ind w:left="20" w:right="0"/>
              <w:jc w:val="left"/>
              <w:rPr>
                <w:rFonts w:ascii="宋体" w:hAnsi="宋体" w:cs="宋体" w:eastAsia="宋体" w:hint="default"/>
                <w:sz w:val="18"/>
                <w:szCs w:val="18"/>
              </w:rPr>
            </w:pPr>
            <w:r>
              <w:rPr>
                <w:rFonts w:ascii="宋体" w:hAnsi="宋体" w:cs="宋体" w:eastAsia="宋体" w:hint="default"/>
                <w:sz w:val="18"/>
                <w:szCs w:val="18"/>
              </w:rPr>
              <w:t>深圳市智易信息服务有限公司（以下简称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智易信息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Style w:val="BodyText"/>
        <w:spacing w:line="300" w:lineRule="auto" w:before="20"/>
        <w:ind w:left="1143" w:right="0"/>
        <w:jc w:val="left"/>
      </w:pPr>
      <w:r>
        <w:rPr>
          <w:spacing w:val="-2"/>
        </w:rPr>
        <w:t>其中重要子公司威富通</w:t>
      </w:r>
      <w:r>
        <w:rPr>
          <w:rFonts w:ascii="Times New Roman" w:hAnsi="Times New Roman" w:cs="Times New Roman" w:eastAsia="Times New Roman" w:hint="default"/>
          <w:spacing w:val="-2"/>
        </w:rPr>
        <w:t>2017</w:t>
      </w:r>
      <w:r>
        <w:rPr>
          <w:spacing w:val="-2"/>
        </w:rPr>
        <w:t>年全年实现销售收入</w:t>
      </w:r>
      <w:r>
        <w:rPr>
          <w:rFonts w:ascii="Times New Roman" w:hAnsi="Times New Roman" w:cs="Times New Roman" w:eastAsia="Times New Roman" w:hint="default"/>
          <w:spacing w:val="-2"/>
        </w:rPr>
        <w:t>386,836,315.78</w:t>
      </w:r>
      <w:r>
        <w:rPr>
          <w:spacing w:val="-2"/>
        </w:rPr>
        <w:t>元，同比增长</w:t>
      </w:r>
      <w:r>
        <w:rPr>
          <w:rFonts w:ascii="Times New Roman" w:hAnsi="Times New Roman" w:cs="Times New Roman" w:eastAsia="Times New Roman" w:hint="default"/>
          <w:spacing w:val="-2"/>
        </w:rPr>
        <w:t>1%</w:t>
      </w:r>
      <w:r>
        <w:rPr>
          <w:spacing w:val="-2"/>
        </w:rPr>
        <w:t>，实现归属于母公司股东的净</w:t>
      </w:r>
      <w:r>
        <w:rPr>
          <w:spacing w:val="-41"/>
        </w:rPr>
        <w:t> </w:t>
      </w:r>
      <w:r>
        <w:rPr>
          <w:spacing w:val="-41"/>
        </w:rPr>
      </w:r>
      <w:r>
        <w:rPr/>
        <w:t>利润</w:t>
      </w:r>
      <w:r>
        <w:rPr>
          <w:rFonts w:ascii="Times New Roman" w:hAnsi="Times New Roman" w:cs="Times New Roman" w:eastAsia="Times New Roman" w:hint="default"/>
        </w:rPr>
        <w:t>183,608,018.79</w:t>
      </w:r>
      <w:r>
        <w:rPr/>
        <w:t>元，同比增长</w:t>
      </w:r>
      <w:r>
        <w:rPr>
          <w:rFonts w:ascii="Times New Roman" w:hAnsi="Times New Roman" w:cs="Times New Roman" w:eastAsia="Times New Roman" w:hint="default"/>
        </w:rPr>
        <w:t>16.87%</w:t>
      </w:r>
      <w:r>
        <w:rPr/>
        <w:t>。</w:t>
      </w:r>
    </w:p>
    <w:p>
      <w:pPr>
        <w:spacing w:line="20" w:lineRule="exact"/>
        <w:ind w:left="1112" w:right="0" w:firstLine="0"/>
        <w:rPr>
          <w:rFonts w:ascii="宋体" w:hAnsi="宋体" w:cs="宋体" w:eastAsia="宋体" w:hint="default"/>
          <w:sz w:val="2"/>
          <w:szCs w:val="2"/>
        </w:rPr>
      </w:pPr>
      <w:r>
        <w:rPr>
          <w:rFonts w:ascii="宋体" w:hAnsi="宋体" w:cs="宋体" w:eastAsia="宋体" w:hint="default"/>
          <w:sz w:val="2"/>
          <w:szCs w:val="2"/>
        </w:rPr>
        <w:pict>
          <v:group style="width:427.65pt;height:.75pt;mso-position-horizontal-relative:char;mso-position-vertical-relative:line" coordorigin="0,0" coordsize="8553,15">
            <v:group style="position:absolute;left:7;top:7;width:8538;height:2" coordorigin="7,7" coordsize="8538,2">
              <v:shape style="position:absolute;left:7;top:7;width:8538;height:2" coordorigin="7,7" coordsize="8538,0" path="m7,7l8545,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9"/>
          <w:szCs w:val="19"/>
        </w:rPr>
      </w:pPr>
    </w:p>
    <w:p>
      <w:pPr>
        <w:pStyle w:val="Heading3"/>
        <w:spacing w:line="240" w:lineRule="auto" w:before="35"/>
        <w:ind w:left="1134"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58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报告期公司新增子公司威富通，威富通</w:t>
      </w:r>
      <w:r>
        <w:rPr>
          <w:rFonts w:ascii="Times New Roman" w:hAnsi="Times New Roman" w:cs="Times New Roman" w:eastAsia="Times New Roman" w:hint="default"/>
        </w:rPr>
        <w:t>2017</w:t>
      </w:r>
      <w:r>
        <w:rPr/>
        <w:t>年经营情况如下： </w:t>
      </w:r>
      <w:r>
        <w:rPr>
          <w:rFonts w:ascii="宋体" w:hAnsi="宋体" w:cs="宋体" w:eastAsia="宋体" w:hint="default"/>
        </w:rPr>
        <w:t>1</w:t>
      </w:r>
      <w:r>
        <w:rPr/>
        <w:t>、夯实基础支付业务</w:t>
      </w:r>
    </w:p>
    <w:p>
      <w:pPr>
        <w:pStyle w:val="BodyText"/>
        <w:spacing w:line="316" w:lineRule="auto" w:before="17"/>
        <w:ind w:left="1134" w:right="1122" w:firstLine="360"/>
        <w:jc w:val="left"/>
      </w:pPr>
      <w:r>
        <w:rPr>
          <w:spacing w:val="-2"/>
        </w:rPr>
        <w:t>威富通作为全球领先的移动支付解决方案提供商，通过银行及非银支付机构向全球商户提供移动支付技术与服务。</w:t>
      </w:r>
      <w:r>
        <w:rPr>
          <w:rFonts w:ascii="宋体" w:hAnsi="宋体" w:cs="宋体" w:eastAsia="宋体" w:hint="default"/>
          <w:spacing w:val="-2"/>
        </w:rPr>
        <w:t>2017</w:t>
      </w:r>
      <w:r>
        <w:rPr>
          <w:rFonts w:ascii="宋体" w:hAnsi="宋体" w:cs="宋体" w:eastAsia="宋体" w:hint="default"/>
        </w:rPr>
        <w:t> </w:t>
      </w:r>
      <w:r>
        <w:rPr/>
        <w:t>年，威富通新增合作银行及非银支付机构</w:t>
      </w:r>
      <w:r>
        <w:rPr>
          <w:rFonts w:ascii="宋体" w:hAnsi="宋体" w:cs="宋体" w:eastAsia="宋体" w:hint="default"/>
        </w:rPr>
        <w:t>38</w:t>
      </w:r>
      <w:r>
        <w:rPr/>
        <w:t>家，增长率为</w:t>
      </w:r>
      <w:r>
        <w:rPr>
          <w:rFonts w:ascii="宋体" w:hAnsi="宋体" w:cs="宋体" w:eastAsia="宋体" w:hint="default"/>
        </w:rPr>
        <w:t>54%</w:t>
      </w:r>
      <w:r>
        <w:rPr/>
        <w:t>；新增重点渠道合作伙伴</w:t>
      </w:r>
      <w:r>
        <w:rPr>
          <w:rFonts w:ascii="宋体" w:hAnsi="宋体" w:cs="宋体" w:eastAsia="宋体" w:hint="default"/>
        </w:rPr>
        <w:t>213</w:t>
      </w:r>
      <w:r>
        <w:rPr/>
        <w:t>家，增长率</w:t>
      </w:r>
      <w:r>
        <w:rPr>
          <w:rFonts w:ascii="宋体" w:hAnsi="宋体" w:cs="宋体" w:eastAsia="宋体" w:hint="default"/>
        </w:rPr>
        <w:t>85%</w:t>
      </w:r>
      <w:r>
        <w:rPr/>
        <w:t>；累计服务全球超</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29"/>
        <w:jc w:val="both"/>
      </w:pPr>
      <w:r>
        <w:rPr/>
        <w:t>过</w:t>
      </w:r>
      <w:r>
        <w:rPr>
          <w:rFonts w:ascii="宋体" w:hAnsi="宋体" w:cs="宋体" w:eastAsia="宋体" w:hint="default"/>
        </w:rPr>
        <w:t>100</w:t>
      </w:r>
      <w:r>
        <w:rPr/>
        <w:t>家银行及非银金融机构与</w:t>
      </w:r>
      <w:r>
        <w:rPr>
          <w:rFonts w:ascii="宋体" w:hAnsi="宋体" w:cs="宋体" w:eastAsia="宋体" w:hint="default"/>
        </w:rPr>
        <w:t>2000</w:t>
      </w:r>
      <w:r>
        <w:rPr/>
        <w:t>万户海内外商户。截至</w:t>
      </w:r>
      <w:r>
        <w:rPr>
          <w:rFonts w:ascii="宋体" w:hAnsi="宋体" w:cs="宋体" w:eastAsia="宋体" w:hint="default"/>
        </w:rPr>
        <w:t>2017</w:t>
      </w:r>
      <w:r>
        <w:rPr/>
        <w:t>年年底，威富通累计受理移动支付交易笔数达</w:t>
      </w:r>
      <w:r>
        <w:rPr>
          <w:rFonts w:ascii="宋体" w:hAnsi="宋体" w:cs="宋体" w:eastAsia="宋体" w:hint="default"/>
        </w:rPr>
        <w:t>77</w:t>
      </w:r>
      <w:r>
        <w:rPr/>
        <w:t>亿笔，累计</w:t>
      </w:r>
      <w:r>
        <w:rPr>
          <w:spacing w:val="-83"/>
        </w:rPr>
        <w:t> </w:t>
      </w:r>
      <w:r>
        <w:rPr/>
        <w:t>受理移动支付交易金额超过</w:t>
      </w:r>
      <w:r>
        <w:rPr>
          <w:rFonts w:ascii="宋体" w:hAnsi="宋体" w:cs="宋体" w:eastAsia="宋体" w:hint="default"/>
        </w:rPr>
        <w:t>10000</w:t>
      </w:r>
      <w:r>
        <w:rPr/>
        <w:t>亿元人民币，日交易金额峰值过</w:t>
      </w:r>
      <w:r>
        <w:rPr>
          <w:rFonts w:ascii="宋体" w:hAnsi="宋体" w:cs="宋体" w:eastAsia="宋体" w:hint="default"/>
        </w:rPr>
        <w:t>30</w:t>
      </w:r>
      <w:r>
        <w:rPr/>
        <w:t>亿元，日交易笔数峰值过</w:t>
      </w:r>
      <w:r>
        <w:rPr>
          <w:rFonts w:ascii="宋体" w:hAnsi="宋体" w:cs="宋体" w:eastAsia="宋体" w:hint="default"/>
        </w:rPr>
        <w:t>3000</w:t>
      </w:r>
      <w:r>
        <w:rPr/>
        <w:t>万笔。系统继续扩容与升</w:t>
      </w:r>
      <w:r>
        <w:rPr>
          <w:spacing w:val="-83"/>
        </w:rPr>
        <w:t> </w:t>
      </w:r>
      <w:r>
        <w:rPr>
          <w:spacing w:val="-83"/>
        </w:rPr>
      </w:r>
      <w:r>
        <w:rPr/>
        <w:t>级，支持每天交易笔数</w:t>
      </w:r>
      <w:r>
        <w:rPr>
          <w:rFonts w:ascii="宋体" w:hAnsi="宋体" w:cs="宋体" w:eastAsia="宋体" w:hint="default"/>
        </w:rPr>
        <w:t>1</w:t>
      </w:r>
      <w:r>
        <w:rPr/>
        <w:t>亿笔，系统可用率达到</w:t>
      </w:r>
      <w:r>
        <w:rPr>
          <w:rFonts w:ascii="宋体" w:hAnsi="宋体" w:cs="宋体" w:eastAsia="宋体" w:hint="default"/>
        </w:rPr>
        <w:t>99.98%</w:t>
      </w:r>
      <w:r>
        <w:rPr/>
        <w:t>，无故障清分率达</w:t>
      </w:r>
      <w:r>
        <w:rPr>
          <w:rFonts w:ascii="宋体" w:hAnsi="宋体" w:cs="宋体" w:eastAsia="宋体" w:hint="default"/>
        </w:rPr>
        <w:t>99.99%</w:t>
      </w:r>
      <w:r>
        <w:rPr/>
        <w:t>；运维与服务能力提升，全年受理客服近</w:t>
      </w:r>
      <w:r>
        <w:rPr>
          <w:rFonts w:ascii="宋体" w:hAnsi="宋体" w:cs="宋体" w:eastAsia="宋体" w:hint="default"/>
        </w:rPr>
        <w:t>20</w:t>
      </w:r>
      <w:r>
        <w:rPr>
          <w:rFonts w:ascii="宋体" w:hAnsi="宋体" w:cs="宋体" w:eastAsia="宋体" w:hint="default"/>
          <w:spacing w:val="-86"/>
        </w:rPr>
        <w:t> </w:t>
      </w:r>
      <w:r>
        <w:rPr/>
        <w:t>万单。</w:t>
      </w:r>
    </w:p>
    <w:p>
      <w:pPr>
        <w:pStyle w:val="BodyText"/>
        <w:spacing w:line="240" w:lineRule="auto" w:before="19"/>
        <w:ind w:right="0"/>
        <w:jc w:val="left"/>
      </w:pPr>
      <w:r>
        <w:rPr>
          <w:rFonts w:ascii="宋体" w:hAnsi="宋体" w:cs="宋体" w:eastAsia="宋体" w:hint="default"/>
        </w:rPr>
        <w:t>2</w:t>
      </w:r>
      <w:r>
        <w:rPr/>
        <w:t>、 荣誉与资质升级</w:t>
      </w:r>
    </w:p>
    <w:p>
      <w:pPr>
        <w:pStyle w:val="BodyText"/>
        <w:spacing w:line="316" w:lineRule="auto" w:before="76"/>
        <w:ind w:right="1049" w:firstLine="360"/>
        <w:jc w:val="left"/>
      </w:pPr>
      <w:r>
        <w:rPr>
          <w:rFonts w:ascii="宋体" w:hAnsi="宋体" w:cs="宋体" w:eastAsia="宋体" w:hint="default"/>
        </w:rPr>
        <w:t>2017</w:t>
      </w:r>
      <w:r>
        <w:rPr/>
        <w:t>年威富通继续获得各界认可，获得多个荣誉，各项资质进一步升级，获得微信支付合作伙伴大会“业务突破奖”、 </w:t>
      </w:r>
      <w:r>
        <w:rPr>
          <w:spacing w:val="-2"/>
        </w:rPr>
        <w:t>蚂蚁金服“保障之星”奖、跻身深圳市软件收入百强企业、南山区纳税百强企业，并获得南山区总部企业认证。威富通自主</w:t>
      </w:r>
      <w:r>
        <w:rPr>
          <w:spacing w:val="-67"/>
        </w:rPr>
        <w:t> </w:t>
      </w:r>
      <w:r>
        <w:rPr>
          <w:spacing w:val="-67"/>
        </w:rPr>
      </w:r>
      <w:r>
        <w:rPr>
          <w:spacing w:val="-2"/>
        </w:rPr>
        <w:t>研发的技术平台获得</w:t>
      </w:r>
      <w:r>
        <w:rPr>
          <w:rFonts w:ascii="宋体" w:hAnsi="宋体" w:cs="宋体" w:eastAsia="宋体" w:hint="default"/>
          <w:spacing w:val="-2"/>
        </w:rPr>
        <w:t>PCI-DSS</w:t>
      </w:r>
      <w:r>
        <w:rPr>
          <w:spacing w:val="-2"/>
        </w:rPr>
        <w:t>权威认证、</w:t>
      </w:r>
      <w:r>
        <w:rPr>
          <w:rFonts w:ascii="宋体" w:hAnsi="宋体" w:cs="宋体" w:eastAsia="宋体" w:hint="default"/>
          <w:spacing w:val="-2"/>
        </w:rPr>
        <w:t>ISO9001</w:t>
      </w:r>
      <w:r>
        <w:rPr>
          <w:spacing w:val="-2"/>
        </w:rPr>
        <w:t>质量管理体系认证、</w:t>
      </w:r>
      <w:r>
        <w:rPr>
          <w:rFonts w:ascii="宋体" w:hAnsi="宋体" w:cs="宋体" w:eastAsia="宋体" w:hint="default"/>
          <w:spacing w:val="-2"/>
        </w:rPr>
        <w:t>ISO20000IT</w:t>
      </w:r>
      <w:r>
        <w:rPr>
          <w:spacing w:val="-2"/>
        </w:rPr>
        <w:t>服务管理体系认证、</w:t>
      </w:r>
      <w:r>
        <w:rPr>
          <w:rFonts w:ascii="宋体" w:hAnsi="宋体" w:cs="宋体" w:eastAsia="宋体" w:hint="default"/>
          <w:spacing w:val="-2"/>
        </w:rPr>
        <w:t>ISO27001</w:t>
      </w:r>
      <w:r>
        <w:rPr>
          <w:spacing w:val="-2"/>
        </w:rPr>
        <w:t>信息安全管理</w:t>
      </w:r>
      <w:r>
        <w:rPr>
          <w:spacing w:val="-34"/>
        </w:rPr>
        <w:t> </w:t>
      </w:r>
      <w:r>
        <w:rPr/>
        <w:t>体系认证，新增</w:t>
      </w:r>
      <w:r>
        <w:rPr>
          <w:rFonts w:ascii="宋体" w:hAnsi="宋体" w:cs="宋体" w:eastAsia="宋体" w:hint="default"/>
        </w:rPr>
        <w:t>2</w:t>
      </w:r>
      <w:r>
        <w:rPr/>
        <w:t>项专利技术，新增</w:t>
      </w:r>
      <w:r>
        <w:rPr>
          <w:rFonts w:ascii="宋体" w:hAnsi="宋体" w:cs="宋体" w:eastAsia="宋体" w:hint="default"/>
        </w:rPr>
        <w:t>14</w:t>
      </w:r>
      <w:r>
        <w:rPr/>
        <w:t>项注册商标，新增</w:t>
      </w:r>
      <w:r>
        <w:rPr>
          <w:rFonts w:ascii="宋体" w:hAnsi="宋体" w:cs="宋体" w:eastAsia="宋体" w:hint="default"/>
        </w:rPr>
        <w:t>9</w:t>
      </w:r>
      <w:r>
        <w:rPr/>
        <w:t>项软件注册权。</w:t>
      </w:r>
    </w:p>
    <w:p>
      <w:pPr>
        <w:pStyle w:val="BodyText"/>
        <w:spacing w:line="316" w:lineRule="auto" w:before="19"/>
        <w:ind w:left="1494" w:right="0" w:hanging="360"/>
        <w:jc w:val="left"/>
      </w:pPr>
      <w:r>
        <w:rPr>
          <w:rFonts w:ascii="宋体" w:hAnsi="宋体" w:cs="宋体" w:eastAsia="宋体" w:hint="default"/>
        </w:rPr>
        <w:t>3</w:t>
      </w:r>
      <w:r>
        <w:rPr/>
        <w:t>、布局增值与创新业务 </w:t>
      </w:r>
      <w:r>
        <w:rPr>
          <w:spacing w:val="-4"/>
        </w:rPr>
        <w:t>除了基础的聚合支付，威富通还提供电子会员卡、电子发票、移动广告等增值与创新服务，并在零售百货、交通、物业、</w:t>
      </w:r>
    </w:p>
    <w:p>
      <w:pPr>
        <w:pStyle w:val="BodyText"/>
        <w:spacing w:line="316" w:lineRule="auto" w:before="19"/>
        <w:ind w:right="1027"/>
        <w:jc w:val="left"/>
      </w:pPr>
      <w:r>
        <w:rPr>
          <w:spacing w:val="-4"/>
        </w:rPr>
        <w:t>缴费行业等多个行业形成解决方案，从</w:t>
      </w:r>
      <w:r>
        <w:rPr>
          <w:rFonts w:ascii="宋体" w:hAnsi="宋体" w:cs="宋体" w:eastAsia="宋体" w:hint="default"/>
          <w:spacing w:val="-4"/>
        </w:rPr>
        <w:t>2017</w:t>
      </w:r>
      <w:r>
        <w:rPr>
          <w:spacing w:val="-4"/>
        </w:rPr>
        <w:t>年起将增值业务作为新的重点业务发展方向。</w:t>
      </w:r>
      <w:r>
        <w:rPr>
          <w:rFonts w:ascii="宋体" w:hAnsi="宋体" w:cs="宋体" w:eastAsia="宋体" w:hint="default"/>
          <w:spacing w:val="-4"/>
        </w:rPr>
        <w:t>2017</w:t>
      </w:r>
      <w:r>
        <w:rPr>
          <w:spacing w:val="-4"/>
        </w:rPr>
        <w:t>年电子卡业务交易金额</w:t>
      </w:r>
      <w:r>
        <w:rPr/>
        <w:t> </w:t>
      </w:r>
      <w:r>
        <w:rPr>
          <w:rFonts w:ascii="宋体" w:hAnsi="宋体" w:cs="宋体" w:eastAsia="宋体" w:hint="default"/>
        </w:rPr>
        <w:t>82,259</w:t>
      </w:r>
      <w:r>
        <w:rPr>
          <w:rFonts w:ascii="宋体" w:hAnsi="宋体" w:cs="宋体" w:eastAsia="宋体" w:hint="default"/>
          <w:spacing w:val="-43"/>
        </w:rPr>
        <w:t> </w:t>
      </w:r>
      <w:r>
        <w:rPr>
          <w:spacing w:val="-3"/>
        </w:rPr>
        <w:t>万元，交易笔数 </w:t>
      </w:r>
      <w:r>
        <w:rPr>
          <w:rFonts w:ascii="宋体" w:hAnsi="宋体" w:cs="宋体" w:eastAsia="宋体" w:hint="default"/>
        </w:rPr>
        <w:t>388 </w:t>
      </w:r>
      <w:r>
        <w:rPr>
          <w:spacing w:val="-3"/>
        </w:rPr>
        <w:t>万笔，上线门店</w:t>
      </w:r>
      <w:r>
        <w:rPr>
          <w:spacing w:val="-39"/>
        </w:rPr>
        <w:t> </w:t>
      </w:r>
      <w:r>
        <w:rPr>
          <w:rFonts w:ascii="宋体" w:hAnsi="宋体" w:cs="宋体" w:eastAsia="宋体" w:hint="default"/>
        </w:rPr>
        <w:t>1,029</w:t>
      </w:r>
      <w:r>
        <w:rPr/>
        <w:t>家，同比增长</w:t>
      </w:r>
      <w:r>
        <w:rPr>
          <w:rFonts w:ascii="宋体" w:hAnsi="宋体" w:cs="宋体" w:eastAsia="宋体" w:hint="default"/>
        </w:rPr>
        <w:t>214%</w:t>
      </w:r>
      <w:r>
        <w:rPr/>
        <w:t>；联邦快递等重要客户开始使用威富通的电子发票解决方案； 交通业务售票</w:t>
      </w:r>
      <w:r>
        <w:rPr>
          <w:rFonts w:ascii="宋体" w:hAnsi="宋体" w:cs="宋体" w:eastAsia="宋体" w:hint="default"/>
        </w:rPr>
        <w:t>396</w:t>
      </w:r>
      <w:r>
        <w:rPr/>
        <w:t>万张，售票金额</w:t>
      </w:r>
      <w:r>
        <w:rPr>
          <w:rFonts w:ascii="宋体" w:hAnsi="宋体" w:cs="宋体" w:eastAsia="宋体" w:hint="default"/>
        </w:rPr>
        <w:t>4.4</w:t>
      </w:r>
      <w:r>
        <w:rPr/>
        <w:t>亿元；其他增值收入</w:t>
      </w:r>
      <w:r>
        <w:rPr>
          <w:rFonts w:ascii="宋体" w:hAnsi="宋体" w:cs="宋体" w:eastAsia="宋体" w:hint="default"/>
        </w:rPr>
        <w:t>610</w:t>
      </w:r>
      <w:r>
        <w:rPr/>
        <w:t>万元。</w:t>
      </w:r>
    </w:p>
    <w:p>
      <w:pPr>
        <w:pStyle w:val="BodyText"/>
        <w:spacing w:line="240" w:lineRule="auto" w:before="19"/>
        <w:ind w:right="0"/>
        <w:jc w:val="left"/>
      </w:pPr>
      <w:r>
        <w:rPr>
          <w:rFonts w:ascii="宋体" w:hAnsi="宋体" w:cs="宋体" w:eastAsia="宋体" w:hint="default"/>
        </w:rPr>
        <w:t>4</w:t>
      </w:r>
      <w:r>
        <w:rPr/>
        <w:t>、海外业务迅速发展</w:t>
      </w:r>
    </w:p>
    <w:p>
      <w:pPr>
        <w:pStyle w:val="BodyText"/>
        <w:spacing w:line="316" w:lineRule="auto" w:before="76"/>
        <w:ind w:right="1129" w:firstLine="360"/>
        <w:jc w:val="both"/>
      </w:pPr>
      <w:r>
        <w:rPr>
          <w:rFonts w:ascii="宋体" w:hAnsi="宋体" w:cs="宋体" w:eastAsia="宋体" w:hint="default"/>
          <w:spacing w:val="-2"/>
        </w:rPr>
        <w:t>2017</w:t>
      </w:r>
      <w:r>
        <w:rPr>
          <w:spacing w:val="-2"/>
        </w:rPr>
        <w:t>年威富通成立海外事业部，重点进攻海外市场，迈向全球化。自主研发的海外平台正式上线。截止年底，业务拓展</w:t>
      </w:r>
      <w:r>
        <w:rPr/>
        <w:t> 到</w:t>
      </w:r>
      <w:r>
        <w:rPr>
          <w:rFonts w:ascii="宋体" w:hAnsi="宋体" w:cs="宋体" w:eastAsia="宋体" w:hint="default"/>
        </w:rPr>
        <w:t>4</w:t>
      </w:r>
      <w:r>
        <w:rPr/>
        <w:t>大洲、</w:t>
      </w:r>
      <w:r>
        <w:rPr>
          <w:rFonts w:ascii="宋体" w:hAnsi="宋体" w:cs="宋体" w:eastAsia="宋体" w:hint="default"/>
        </w:rPr>
        <w:t>14</w:t>
      </w:r>
      <w:r>
        <w:rPr/>
        <w:t>个国家与地区。签约银行和非银机构</w:t>
      </w:r>
      <w:r>
        <w:rPr>
          <w:rFonts w:ascii="宋体" w:hAnsi="宋体" w:cs="宋体" w:eastAsia="宋体" w:hint="default"/>
        </w:rPr>
        <w:t>16</w:t>
      </w:r>
      <w:r>
        <w:rPr/>
        <w:t>家，渠道</w:t>
      </w:r>
      <w:r>
        <w:rPr>
          <w:rFonts w:ascii="宋体" w:hAnsi="宋体" w:cs="宋体" w:eastAsia="宋体" w:hint="default"/>
        </w:rPr>
        <w:t>22</w:t>
      </w:r>
      <w:r>
        <w:rPr/>
        <w:t>家。</w:t>
      </w:r>
      <w:r>
        <w:rPr>
          <w:rFonts w:ascii="宋体" w:hAnsi="宋体" w:cs="宋体" w:eastAsia="宋体" w:hint="default"/>
        </w:rPr>
        <w:t>2017</w:t>
      </w:r>
      <w:r>
        <w:rPr/>
        <w:t>年底海外市场月交易金额达</w:t>
      </w:r>
      <w:r>
        <w:rPr>
          <w:rFonts w:ascii="宋体" w:hAnsi="宋体" w:cs="宋体" w:eastAsia="宋体" w:hint="default"/>
        </w:rPr>
        <w:t>9205</w:t>
      </w:r>
      <w:r>
        <w:rPr/>
        <w:t>万元，较年初增长</w:t>
      </w:r>
      <w:r>
        <w:rPr>
          <w:spacing w:val="-83"/>
        </w:rPr>
        <w:t> </w:t>
      </w:r>
      <w:r>
        <w:rPr>
          <w:spacing w:val="-83"/>
        </w:rPr>
      </w:r>
      <w:r>
        <w:rPr>
          <w:rFonts w:ascii="宋体" w:hAnsi="宋体" w:cs="宋体" w:eastAsia="宋体" w:hint="default"/>
        </w:rPr>
        <w:t>27</w:t>
      </w:r>
      <w:r>
        <w:rPr/>
        <w:t>倍，月交易笔数</w:t>
      </w:r>
      <w:r>
        <w:rPr>
          <w:rFonts w:ascii="宋体" w:hAnsi="宋体" w:cs="宋体" w:eastAsia="宋体" w:hint="default"/>
        </w:rPr>
        <w:t>12</w:t>
      </w:r>
      <w:r>
        <w:rPr/>
        <w:t>万笔，较年初增长</w:t>
      </w:r>
      <w:r>
        <w:rPr>
          <w:rFonts w:ascii="宋体" w:hAnsi="宋体" w:cs="宋体" w:eastAsia="宋体" w:hint="default"/>
        </w:rPr>
        <w:t>41</w:t>
      </w:r>
      <w:r>
        <w:rPr/>
        <w:t>倍。</w:t>
      </w:r>
    </w:p>
    <w:p>
      <w:pPr>
        <w:pStyle w:val="BodyText"/>
        <w:spacing w:line="316" w:lineRule="auto" w:before="19"/>
        <w:ind w:left="1493" w:right="1118" w:hanging="360"/>
        <w:jc w:val="left"/>
      </w:pPr>
      <w:r>
        <w:rPr>
          <w:rFonts w:ascii="宋体" w:hAnsi="宋体" w:cs="宋体" w:eastAsia="宋体" w:hint="default"/>
        </w:rPr>
        <w:t>5</w:t>
      </w:r>
      <w:r>
        <w:rPr/>
        <w:t>、投资外延式发展 </w:t>
      </w:r>
      <w:r>
        <w:rPr>
          <w:spacing w:val="-2"/>
        </w:rPr>
        <w:t>除了自主经营之外，威富通还在持续孵化新业务，创新新产品，通过投资与重组的方式，形成专业化的方案与产品，并</w:t>
      </w:r>
    </w:p>
    <w:p>
      <w:pPr>
        <w:pStyle w:val="BodyText"/>
        <w:spacing w:line="319" w:lineRule="auto" w:before="19"/>
        <w:ind w:right="0"/>
        <w:jc w:val="left"/>
      </w:pPr>
      <w:r>
        <w:rPr>
          <w:spacing w:val="-4"/>
        </w:rPr>
        <w:t>成立了战略发展部，筛选行业上下游的优质专业化公司进行投资。截止到</w:t>
      </w:r>
      <w:r>
        <w:rPr>
          <w:rFonts w:ascii="宋体" w:hAnsi="宋体" w:cs="宋体" w:eastAsia="宋体" w:hint="default"/>
          <w:spacing w:val="-4"/>
        </w:rPr>
        <w:t>2017</w:t>
      </w:r>
      <w:r>
        <w:rPr>
          <w:spacing w:val="-4"/>
        </w:rPr>
        <w:t>年年底，威富通战略投资飞猪网络、白龙跨境、</w:t>
      </w:r>
      <w:r>
        <w:rPr>
          <w:spacing w:val="-38"/>
        </w:rPr>
        <w:t> </w:t>
      </w:r>
      <w:r>
        <w:rPr>
          <w:spacing w:val="-38"/>
        </w:rPr>
      </w:r>
      <w:r>
        <w:rPr>
          <w:spacing w:val="-2"/>
        </w:rPr>
        <w:t>世明科技、汇商通盈、十方网络等</w:t>
      </w:r>
      <w:r>
        <w:rPr>
          <w:rFonts w:ascii="宋体" w:hAnsi="宋体" w:cs="宋体" w:eastAsia="宋体" w:hint="default"/>
          <w:spacing w:val="-2"/>
        </w:rPr>
        <w:t>15</w:t>
      </w:r>
      <w:r>
        <w:rPr>
          <w:spacing w:val="-2"/>
        </w:rPr>
        <w:t>家公司，实现了在跨境交通、商户普惠金融、移动广告、电子卡等多个细分行业的产业</w:t>
      </w:r>
      <w:r>
        <w:rPr>
          <w:spacing w:val="-66"/>
        </w:rPr>
        <w:t> </w:t>
      </w:r>
      <w:r>
        <w:rPr>
          <w:spacing w:val="-66"/>
        </w:rPr>
      </w:r>
      <w:r>
        <w:rPr/>
        <w:t>链投资与布局。</w:t>
      </w:r>
    </w:p>
    <w:p>
      <w:pPr>
        <w:spacing w:line="240" w:lineRule="auto" w:before="5"/>
        <w:rPr>
          <w:rFonts w:ascii="宋体" w:hAnsi="宋体" w:cs="宋体" w:eastAsia="宋体" w:hint="default"/>
          <w:sz w:val="22"/>
          <w:szCs w:val="22"/>
        </w:rPr>
      </w:pPr>
    </w:p>
    <w:p>
      <w:pPr>
        <w:pStyle w:val="Heading3"/>
        <w:spacing w:line="240" w:lineRule="auto"/>
        <w:ind w:left="1134"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434,189,848.53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17.33%</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118,415,441.97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94,351,389.99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87,955,576.92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69,783,474.69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63,683,964.96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2.54%</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434,189,848.53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17.33%</w:t>
            </w:r>
          </w:p>
        </w:tc>
      </w:tr>
    </w:tbl>
    <w:p>
      <w:pPr>
        <w:pStyle w:val="BodyText"/>
        <w:spacing w:line="240" w:lineRule="auto" w:before="51"/>
        <w:ind w:left="1134" w:right="0"/>
        <w:jc w:val="left"/>
      </w:pPr>
      <w:r>
        <w:rPr/>
        <w:t>主要客户其他情况说明</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公司主要供应商情况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646,210,551.13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33.86%</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158,833,677.51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145,966,598.60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130,491,704.15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118,063,322.23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92,855,248.63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646,210,551.13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33.86%</w:t>
            </w:r>
          </w:p>
        </w:tc>
      </w:tr>
    </w:tbl>
    <w:p>
      <w:pPr>
        <w:pStyle w:val="BodyText"/>
        <w:spacing w:line="240" w:lineRule="auto" w:before="51"/>
        <w:ind w:left="1134" w:right="0"/>
        <w:jc w:val="left"/>
      </w:pPr>
      <w:r>
        <w:rPr/>
        <w:t>主要供应商其他情况说明</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49,533,616.69</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30,525,844.06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62.27%</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增加了子公司威富通工资福利费增 加较多</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283,760,363.85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161,823,974.12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75.35%</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增加了子公司威富通研究开发费增 加较多</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57" w:right="0"/>
              <w:jc w:val="left"/>
              <w:rPr>
                <w:rFonts w:ascii="Times New Roman" w:hAnsi="Times New Roman" w:cs="Times New Roman" w:eastAsia="Times New Roman" w:hint="default"/>
                <w:sz w:val="18"/>
                <w:szCs w:val="18"/>
              </w:rPr>
            </w:pPr>
            <w:r>
              <w:rPr>
                <w:rFonts w:ascii="Times New Roman"/>
                <w:sz w:val="18"/>
              </w:rPr>
              <w:t>30,483,884.74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-1,984,264.79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7" w:right="0"/>
              <w:jc w:val="left"/>
              <w:rPr>
                <w:rFonts w:ascii="Times New Roman" w:hAnsi="Times New Roman" w:cs="Times New Roman" w:eastAsia="Times New Roman" w:hint="default"/>
                <w:sz w:val="18"/>
                <w:szCs w:val="18"/>
              </w:rPr>
            </w:pPr>
            <w:r>
              <w:rPr>
                <w:rFonts w:ascii="Times New Roman"/>
                <w:sz w:val="18"/>
              </w:rPr>
              <w:t>-1,636.28%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本期汇兑损益较大</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both"/>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49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为了保证公司产品具有卓越的性能及较强的市场竞争力，适应未来超纤材料市场的发展趋势，满足客户的需求及确保公</w:t>
      </w:r>
    </w:p>
    <w:p>
      <w:pPr>
        <w:pStyle w:val="BodyText"/>
        <w:spacing w:line="316" w:lineRule="auto" w:before="2"/>
        <w:ind w:right="1131"/>
        <w:jc w:val="both"/>
      </w:pPr>
      <w:r>
        <w:rPr>
          <w:spacing w:val="-2"/>
        </w:rPr>
        <w:t>司的可持续发展，一直以来，公司都非常重视研发工作，根据公司的发展战略及实际需求，每年投入大量资金、人员及其他</w:t>
      </w:r>
      <w:r>
        <w:rPr>
          <w:spacing w:val="-66"/>
        </w:rPr>
        <w:t> </w:t>
      </w:r>
      <w:r>
        <w:rPr>
          <w:spacing w:val="-66"/>
        </w:rPr>
      </w:r>
      <w:r>
        <w:rPr>
          <w:spacing w:val="-2"/>
        </w:rPr>
        <w:t>资源用于技术研究、技术创新、新产品开发等工作，以持续提高公司的技术创新能力，确保公司在超纤材料行业的技术领先</w:t>
      </w:r>
      <w:r>
        <w:rPr>
          <w:spacing w:val="-66"/>
        </w:rPr>
        <w:t> </w:t>
      </w:r>
      <w:r>
        <w:rPr>
          <w:spacing w:val="-66"/>
        </w:rPr>
      </w:r>
      <w:r>
        <w:rPr/>
        <w:t>地位。</w:t>
      </w:r>
    </w:p>
    <w:p>
      <w:pPr>
        <w:pStyle w:val="BodyText"/>
        <w:spacing w:line="309" w:lineRule="auto" w:before="19"/>
        <w:ind w:right="1132" w:firstLine="360"/>
        <w:jc w:val="both"/>
      </w:pPr>
      <w:r>
        <w:rPr>
          <w:spacing w:val="-1"/>
        </w:rPr>
        <w:t>报告期内，公司研发投入</w:t>
      </w:r>
      <w:r>
        <w:rPr>
          <w:rFonts w:ascii="Times New Roman" w:hAnsi="Times New Roman" w:cs="Times New Roman" w:eastAsia="Times New Roman" w:hint="default"/>
          <w:spacing w:val="-1"/>
        </w:rPr>
        <w:t>118,333,115.40</w:t>
      </w:r>
      <w:r>
        <w:rPr>
          <w:spacing w:val="-1"/>
        </w:rPr>
        <w:t>元，占营业收入的</w:t>
      </w:r>
      <w:r>
        <w:rPr>
          <w:rFonts w:ascii="Times New Roman" w:hAnsi="Times New Roman" w:cs="Times New Roman" w:eastAsia="Times New Roman" w:hint="default"/>
          <w:spacing w:val="-1"/>
        </w:rPr>
        <w:t>4.72%</w:t>
      </w:r>
      <w:r>
        <w:rPr>
          <w:spacing w:val="-1"/>
        </w:rPr>
        <w:t>。与</w:t>
      </w:r>
      <w:r>
        <w:rPr>
          <w:rFonts w:ascii="Times New Roman" w:hAnsi="Times New Roman" w:cs="Times New Roman" w:eastAsia="Times New Roman" w:hint="default"/>
          <w:spacing w:val="-1"/>
        </w:rPr>
        <w:t>2016</w:t>
      </w:r>
      <w:r>
        <w:rPr>
          <w:spacing w:val="-1"/>
        </w:rPr>
        <w:t>年的研发投入相比，有大幅增加。这一方面是</w:t>
      </w:r>
      <w:r>
        <w:rPr/>
        <w:t> </w:t>
      </w:r>
      <w:r>
        <w:rPr>
          <w:spacing w:val="-5"/>
        </w:rPr>
        <w:t>因为本期增加了子公司威富通，威富通作为互联网开发企业，研发投入较大；另一方面是因为公司在报告期内在绒面产品（可</w:t>
      </w:r>
      <w:r>
        <w:rPr>
          <w:spacing w:val="-82"/>
        </w:rPr>
        <w:t> </w:t>
      </w:r>
      <w:r>
        <w:rPr>
          <w:spacing w:val="-82"/>
        </w:rPr>
      </w:r>
      <w:r>
        <w:rPr/>
        <w:t>用于服装、鞋、手套内里、汽车座椅、汽车内饰、家居、文具配件等）、镂空工艺等新项目的研发上也加大了投入力度。</w:t>
      </w:r>
    </w:p>
    <w:p>
      <w:pPr>
        <w:pStyle w:val="BodyText"/>
        <w:spacing w:line="316" w:lineRule="auto" w:before="24"/>
        <w:ind w:right="1050" w:firstLine="360"/>
        <w:jc w:val="both"/>
      </w:pPr>
      <w:r>
        <w:rPr/>
        <w:t>报告期内，公司个项目研发基本实现了预期目标，提高了现有产品品质，还在各个技术应用领域均取得了一定的突破， 为公司业务的发展打下了良好的基础。</w:t>
      </w:r>
    </w:p>
    <w:p>
      <w:pPr>
        <w:pStyle w:val="BodyText"/>
        <w:spacing w:line="240" w:lineRule="auto" w:before="59"/>
        <w:ind w:right="0"/>
        <w:jc w:val="both"/>
      </w:pPr>
      <w:r>
        <w:rPr/>
        <w:t>近三年公司研发投入金额及占营业收入的比例</w:t>
      </w:r>
    </w:p>
    <w:p>
      <w:pPr>
        <w:spacing w:after="0" w:line="240" w:lineRule="auto"/>
        <w:jc w:val="both"/>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118,333,115.40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39,869,588.19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37,282,948.48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研发投入总额占营业收入的比重较上年发生显著变化的原因</w:t>
      </w:r>
    </w:p>
    <w:p>
      <w:pPr>
        <w:pStyle w:val="BodyText"/>
        <w:spacing w:line="348" w:lineRule="auto" w:before="117"/>
        <w:ind w:right="4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本期增加了子公司威富通，威富通作为互联网软件开发企业，研发投入较大。 研发投入资本化率大幅变动的原因及其合理性说明</w:t>
      </w:r>
    </w:p>
    <w:p>
      <w:pPr>
        <w:pStyle w:val="BodyText"/>
        <w:spacing w:line="240" w:lineRule="auto" w:before="3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1,711,612,636.41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1,149,120,918.95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48.95%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1,533,353,359.24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1,325,695,847.59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178,259,277.17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-176,574,928.64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-200.95%</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1,031,165,812.97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216,580,573.49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376.11%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1,822,866,452.39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955,415,403.88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90.79%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-791,700,639.42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-738,834,830.39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1,417,211,526.36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1,683,795,500.00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-15.83%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674,072,533.89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747,436,583.74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743,138,992.47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936,358,916.26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-20.64%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121,072,444.76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23,857,657.23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407.48%</w:t>
            </w:r>
          </w:p>
        </w:tc>
      </w:tr>
    </w:tbl>
    <w:p>
      <w:pPr>
        <w:pStyle w:val="BodyText"/>
        <w:spacing w:line="240" w:lineRule="auto" w:before="51"/>
        <w:ind w:left="1134" w:right="0"/>
        <w:jc w:val="left"/>
      </w:pPr>
      <w:r>
        <w:rPr/>
        <w:t>相关数据同比发生重大变动的主要影响因素说明</w:t>
      </w:r>
    </w:p>
    <w:p>
      <w:pPr>
        <w:pStyle w:val="BodyText"/>
        <w:spacing w:line="338" w:lineRule="auto" w:before="116"/>
        <w:ind w:right="1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本年度公司通过向特定对象发行股票及配套募集资金购买威富通</w:t>
      </w:r>
      <w:r>
        <w:rPr>
          <w:rFonts w:ascii="Times New Roman" w:hAnsi="Times New Roman" w:cs="Times New Roman" w:eastAsia="Times New Roman" w:hint="default"/>
        </w:rPr>
        <w:t>100%</w:t>
      </w:r>
      <w:r>
        <w:rPr/>
        <w:t>股权，造成现金流量表部分数字变动幅度较大。 报告期内公司经营活动产生的现金净流量与本年度净利润存在重大差异的原因说明</w:t>
      </w:r>
    </w:p>
    <w:p>
      <w:pPr>
        <w:spacing w:after="0" w:line="338"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512"/>
        <w:gridCol w:w="1916"/>
        <w:gridCol w:w="1623"/>
        <w:gridCol w:w="2166"/>
        <w:gridCol w:w="2340"/>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-3,522,433.87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-3,518,534.90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14,973,442.69</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5.13%</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主要为坏账损失和存货跌 价损失</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800,191.42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816,383.29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46"/>
        <w:gridCol w:w="1175"/>
        <w:gridCol w:w="1063"/>
        <w:gridCol w:w="1196"/>
        <w:gridCol w:w="1063"/>
        <w:gridCol w:w="798"/>
        <w:gridCol w:w="2918"/>
      </w:tblGrid>
      <w:tr>
        <w:trPr>
          <w:trHeight w:val="379"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303,846,223.5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4.59%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260,559,050.89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6.78%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-2.19%</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281,096,178.6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4.25%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192,218,258.25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-0.75%</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464,157,537.1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7.01%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321,242,796.88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8.36%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-1.35%</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75"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7,171,268.81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2,292,372,679.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34.62%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2,007,987,613.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52.25%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-17.63%</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总资产增加较快</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258,096,296.5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3.90%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257,930,642.81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6.71%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-2.81%</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602,086,000.0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9.09%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296,020,500.00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7.70%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1.39%</w:t>
            </w:r>
          </w:p>
        </w:tc>
        <w:tc>
          <w:tcPr>
            <w:tcW w:w="2918" w:type="dxa"/>
            <w:vMerge w:val="restart"/>
            <w:tcBorders>
              <w:top w:val="single" w:sz="4" w:space="0" w:color="000000"/>
              <w:left w:val="single" w:sz="4" w:space="0" w:color="000000"/>
              <w:right w:val="single" w:sz="4" w:space="0" w:color="000000"/>
            </w:tcBorders>
          </w:tcPr>
          <w:p>
            <w:pPr/>
          </w:p>
        </w:tc>
      </w:tr>
      <w:tr>
        <w:trPr>
          <w:trHeight w:val="393"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268,325,000.0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4.05%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142,625,000.00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3.71%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0.34%</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2"/>
              <w:jc w:val="right"/>
              <w:rPr>
                <w:rFonts w:ascii="Times New Roman" w:hAnsi="Times New Roman" w:cs="Times New Roman" w:eastAsia="Times New Roman" w:hint="default"/>
                <w:sz w:val="18"/>
                <w:szCs w:val="18"/>
              </w:rPr>
            </w:pPr>
            <w:r>
              <w:rPr>
                <w:rFonts w:ascii="Times New Roman"/>
                <w:spacing w:val="-1"/>
                <w:sz w:val="18"/>
              </w:rPr>
              <w:t>1,733,150,150.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26.18%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收购威富通形成商誉</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69"/>
        <w:gridCol w:w="1167"/>
        <w:gridCol w:w="1149"/>
        <w:gridCol w:w="1154"/>
        <w:gridCol w:w="1148"/>
        <w:gridCol w:w="1161"/>
        <w:gridCol w:w="1153"/>
        <w:gridCol w:w="1154"/>
      </w:tblGrid>
      <w:tr>
        <w:trPr>
          <w:trHeight w:val="161" w:hRule="exact"/>
        </w:trPr>
        <w:tc>
          <w:tcPr>
            <w:tcW w:w="1469" w:type="dxa"/>
            <w:vMerge w:val="restart"/>
            <w:tcBorders>
              <w:top w:val="single" w:sz="4" w:space="0" w:color="000000"/>
              <w:left w:val="single" w:sz="4" w:space="0" w:color="000000"/>
              <w:right w:val="single" w:sz="4" w:space="0" w:color="000000"/>
            </w:tcBorders>
            <w:shd w:val="clear" w:color="auto" w:fill="D2D2D2"/>
          </w:tcPr>
          <w:p>
            <w:pPr/>
          </w:p>
        </w:tc>
        <w:tc>
          <w:tcPr>
            <w:tcW w:w="1167" w:type="dxa"/>
            <w:vMerge w:val="restart"/>
            <w:tcBorders>
              <w:top w:val="single" w:sz="4" w:space="0" w:color="000000"/>
              <w:left w:val="single" w:sz="4" w:space="0" w:color="000000"/>
              <w:right w:val="single" w:sz="4" w:space="0" w:color="000000"/>
            </w:tcBorders>
            <w:shd w:val="clear" w:color="auto" w:fill="D2D2D2"/>
          </w:tcPr>
          <w:p>
            <w:pPr/>
          </w:p>
        </w:tc>
        <w:tc>
          <w:tcPr>
            <w:tcW w:w="11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 w:right="30"/>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1" w:type="dxa"/>
            <w:vMerge w:val="restart"/>
            <w:tcBorders>
              <w:top w:val="single" w:sz="4" w:space="0" w:color="000000"/>
              <w:left w:val="single" w:sz="4" w:space="0" w:color="000000"/>
              <w:right w:val="single" w:sz="4" w:space="0" w:color="000000"/>
            </w:tcBorders>
            <w:shd w:val="clear" w:color="auto" w:fill="D2D2D2"/>
          </w:tcPr>
          <w:p>
            <w:pPr/>
          </w:p>
        </w:tc>
        <w:tc>
          <w:tcPr>
            <w:tcW w:w="1153" w:type="dxa"/>
            <w:vMerge w:val="restart"/>
            <w:tcBorders>
              <w:top w:val="single" w:sz="4" w:space="0" w:color="000000"/>
              <w:left w:val="single" w:sz="4" w:space="0" w:color="000000"/>
              <w:right w:val="single" w:sz="4" w:space="0" w:color="000000"/>
            </w:tcBorders>
            <w:shd w:val="clear" w:color="auto" w:fill="D2D2D2"/>
          </w:tcPr>
          <w:p>
            <w:pPr/>
          </w:p>
        </w:tc>
        <w:tc>
          <w:tcPr>
            <w:tcW w:w="1154"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469" w:type="dxa"/>
            <w:vMerge/>
            <w:tcBorders>
              <w:left w:val="single" w:sz="4" w:space="0" w:color="000000"/>
              <w:bottom w:val="nil" w:sz="6" w:space="0" w:color="auto"/>
              <w:right w:val="single" w:sz="4" w:space="0" w:color="000000"/>
            </w:tcBorders>
            <w:shd w:val="clear" w:color="auto" w:fill="D2D2D2"/>
          </w:tcPr>
          <w:p>
            <w:pPr/>
          </w:p>
        </w:tc>
        <w:tc>
          <w:tcPr>
            <w:tcW w:w="1167" w:type="dxa"/>
            <w:vMerge/>
            <w:tcBorders>
              <w:left w:val="single" w:sz="4" w:space="0" w:color="000000"/>
              <w:bottom w:val="nil" w:sz="6" w:space="0" w:color="auto"/>
              <w:right w:val="single" w:sz="4" w:space="0" w:color="000000"/>
            </w:tcBorders>
            <w:shd w:val="clear" w:color="auto" w:fill="D2D2D2"/>
          </w:tcPr>
          <w:p>
            <w:pPr/>
          </w:p>
        </w:tc>
        <w:tc>
          <w:tcPr>
            <w:tcW w:w="114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5" w:right="3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54" w:type="dxa"/>
            <w:vMerge/>
            <w:tcBorders>
              <w:left w:val="single" w:sz="4" w:space="0" w:color="000000"/>
              <w:right w:val="single" w:sz="4" w:space="0" w:color="000000"/>
            </w:tcBorders>
            <w:shd w:val="clear" w:color="auto" w:fill="D2D2D2"/>
          </w:tcPr>
          <w:p>
            <w:pPr/>
          </w:p>
        </w:tc>
        <w:tc>
          <w:tcPr>
            <w:tcW w:w="114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81" w:right="25"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161" w:type="dxa"/>
            <w:vMerge/>
            <w:tcBorders>
              <w:left w:val="single" w:sz="4" w:space="0" w:color="000000"/>
              <w:bottom w:val="nil" w:sz="6" w:space="0" w:color="auto"/>
              <w:right w:val="single" w:sz="4" w:space="0" w:color="000000"/>
            </w:tcBorders>
            <w:shd w:val="clear" w:color="auto" w:fill="D2D2D2"/>
          </w:tcPr>
          <w:p>
            <w:pPr/>
          </w:p>
        </w:tc>
        <w:tc>
          <w:tcPr>
            <w:tcW w:w="1153" w:type="dxa"/>
            <w:vMerge/>
            <w:tcBorders>
              <w:left w:val="single" w:sz="4" w:space="0" w:color="000000"/>
              <w:bottom w:val="nil" w:sz="6" w:space="0" w:color="auto"/>
              <w:right w:val="single" w:sz="4" w:space="0" w:color="000000"/>
            </w:tcBorders>
            <w:shd w:val="clear" w:color="auto" w:fill="D2D2D2"/>
          </w:tcPr>
          <w:p>
            <w:pPr/>
          </w:p>
        </w:tc>
        <w:tc>
          <w:tcPr>
            <w:tcW w:w="1154"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4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49" w:type="dxa"/>
            <w:vMerge/>
            <w:tcBorders>
              <w:left w:val="single" w:sz="4" w:space="0" w:color="000000"/>
              <w:right w:val="single" w:sz="4" w:space="0" w:color="000000"/>
            </w:tcBorders>
            <w:shd w:val="clear" w:color="auto" w:fill="D2D2D2"/>
          </w:tcPr>
          <w:p>
            <w:pPr/>
          </w:p>
        </w:tc>
        <w:tc>
          <w:tcPr>
            <w:tcW w:w="1154"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right w:val="single" w:sz="4" w:space="0" w:color="000000"/>
            </w:tcBorders>
            <w:shd w:val="clear" w:color="auto" w:fill="D2D2D2"/>
          </w:tcPr>
          <w:p>
            <w:pPr/>
          </w:p>
        </w:tc>
        <w:tc>
          <w:tcPr>
            <w:tcW w:w="11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469" w:type="dxa"/>
            <w:vMerge w:val="restart"/>
            <w:tcBorders>
              <w:top w:val="nil" w:sz="6" w:space="0" w:color="auto"/>
              <w:left w:val="single" w:sz="4" w:space="0" w:color="000000"/>
              <w:right w:val="single" w:sz="4" w:space="0" w:color="000000"/>
            </w:tcBorders>
            <w:shd w:val="clear" w:color="auto" w:fill="D2D2D2"/>
          </w:tcPr>
          <w:p>
            <w:pPr/>
          </w:p>
        </w:tc>
        <w:tc>
          <w:tcPr>
            <w:tcW w:w="1167" w:type="dxa"/>
            <w:vMerge w:val="restart"/>
            <w:tcBorders>
              <w:top w:val="nil" w:sz="6" w:space="0" w:color="auto"/>
              <w:left w:val="single" w:sz="4" w:space="0" w:color="000000"/>
              <w:right w:val="single" w:sz="4" w:space="0" w:color="000000"/>
            </w:tcBorders>
            <w:shd w:val="clear" w:color="auto" w:fill="D2D2D2"/>
          </w:tcPr>
          <w:p>
            <w:pPr/>
          </w:p>
        </w:tc>
        <w:tc>
          <w:tcPr>
            <w:tcW w:w="1149" w:type="dxa"/>
            <w:vMerge/>
            <w:tcBorders>
              <w:left w:val="single" w:sz="4" w:space="0" w:color="000000"/>
              <w:bottom w:val="nil" w:sz="6" w:space="0" w:color="auto"/>
              <w:right w:val="single" w:sz="4" w:space="0" w:color="000000"/>
            </w:tcBorders>
            <w:shd w:val="clear" w:color="auto" w:fill="D2D2D2"/>
          </w:tcPr>
          <w:p>
            <w:pPr/>
          </w:p>
        </w:tc>
        <w:tc>
          <w:tcPr>
            <w:tcW w:w="1154"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bottom w:val="nil" w:sz="6" w:space="0" w:color="auto"/>
              <w:right w:val="single" w:sz="4" w:space="0" w:color="000000"/>
            </w:tcBorders>
            <w:shd w:val="clear" w:color="auto" w:fill="D2D2D2"/>
          </w:tcPr>
          <w:p>
            <w:pPr/>
          </w:p>
        </w:tc>
        <w:tc>
          <w:tcPr>
            <w:tcW w:w="1161" w:type="dxa"/>
            <w:vMerge w:val="restart"/>
            <w:tcBorders>
              <w:top w:val="nil" w:sz="6" w:space="0" w:color="auto"/>
              <w:left w:val="single" w:sz="4" w:space="0" w:color="000000"/>
              <w:right w:val="single" w:sz="4" w:space="0" w:color="000000"/>
            </w:tcBorders>
            <w:shd w:val="clear" w:color="auto" w:fill="D2D2D2"/>
          </w:tcPr>
          <w:p>
            <w:pPr/>
          </w:p>
        </w:tc>
        <w:tc>
          <w:tcPr>
            <w:tcW w:w="1153" w:type="dxa"/>
            <w:vMerge w:val="restart"/>
            <w:tcBorders>
              <w:top w:val="nil" w:sz="6" w:space="0" w:color="auto"/>
              <w:left w:val="single" w:sz="4" w:space="0" w:color="000000"/>
              <w:right w:val="single" w:sz="4" w:space="0" w:color="000000"/>
            </w:tcBorders>
            <w:shd w:val="clear" w:color="auto" w:fill="D2D2D2"/>
          </w:tcPr>
          <w:p>
            <w:pPr/>
          </w:p>
        </w:tc>
        <w:tc>
          <w:tcPr>
            <w:tcW w:w="1154"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469"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c>
          <w:tcPr>
            <w:tcW w:w="11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1" w:type="dxa"/>
            <w:vMerge/>
            <w:tcBorders>
              <w:left w:val="single" w:sz="4" w:space="0" w:color="000000"/>
              <w:bottom w:val="single" w:sz="4" w:space="0" w:color="000000"/>
              <w:right w:val="single" w:sz="4" w:space="0" w:color="000000"/>
            </w:tcBorders>
            <w:shd w:val="clear" w:color="auto" w:fill="D2D2D2"/>
          </w:tcPr>
          <w:p>
            <w:pPr/>
          </w:p>
        </w:tc>
        <w:tc>
          <w:tcPr>
            <w:tcW w:w="1153" w:type="dxa"/>
            <w:vMerge/>
            <w:tcBorders>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0.00</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0.00</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3,518,534.90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3,518,534.90</w:t>
            </w:r>
          </w:p>
        </w:tc>
      </w:tr>
    </w:tbl>
    <w:p>
      <w:pPr>
        <w:pStyle w:val="BodyText"/>
        <w:spacing w:line="240" w:lineRule="auto" w:before="51"/>
        <w:ind w:left="1134" w:right="0"/>
        <w:jc w:val="left"/>
      </w:pPr>
      <w:r>
        <w:rPr/>
        <w:t>报告期内公司主要资产计量属性是否发生重大变化</w:t>
      </w:r>
    </w:p>
    <w:p>
      <w:pPr>
        <w:pStyle w:val="BodyText"/>
        <w:spacing w:line="240" w:lineRule="auto" w:before="117"/>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）截止</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日，公司货币资金中使用受限制的金额有</w:t>
      </w:r>
      <w:r>
        <w:rPr>
          <w:spacing w:val="-47"/>
        </w:rPr>
        <w:t> </w:t>
      </w:r>
      <w:r>
        <w:rPr>
          <w:rFonts w:ascii="Times New Roman" w:hAnsi="Times New Roman" w:cs="Times New Roman" w:eastAsia="Times New Roman" w:hint="default"/>
        </w:rPr>
        <w:t>80,855,030.00</w:t>
      </w:r>
      <w:r>
        <w:rPr>
          <w:rFonts w:ascii="Times New Roman" w:hAnsi="Times New Roman" w:cs="Times New Roman" w:eastAsia="Times New Roman" w:hint="default"/>
          <w:spacing w:val="-1"/>
        </w:rPr>
        <w:t> </w:t>
      </w:r>
      <w:r>
        <w:rPr/>
        <w:t>元；其中：信用证保证金</w:t>
      </w:r>
      <w:r>
        <w:rPr>
          <w:spacing w:val="-47"/>
        </w:rPr>
        <w:t> </w:t>
      </w:r>
      <w:r>
        <w:rPr>
          <w:rFonts w:ascii="Times New Roman" w:hAnsi="Times New Roman" w:cs="Times New Roman" w:eastAsia="Times New Roman" w:hint="default"/>
        </w:rPr>
        <w:t>17,800,000.00</w:t>
      </w:r>
    </w:p>
    <w:p>
      <w:pPr>
        <w:pStyle w:val="BodyText"/>
        <w:spacing w:line="240" w:lineRule="auto" w:before="64"/>
        <w:ind w:right="0"/>
        <w:jc w:val="left"/>
      </w:pPr>
      <w:r>
        <w:rPr/>
        <w:t>元，利率掉期质押的美元存款</w:t>
      </w:r>
      <w:r>
        <w:rPr>
          <w:spacing w:val="-46"/>
        </w:rPr>
        <w:t> </w:t>
      </w:r>
      <w:r>
        <w:rPr>
          <w:rFonts w:ascii="Times New Roman" w:hAnsi="Times New Roman" w:cs="Times New Roman" w:eastAsia="Times New Roman" w:hint="default"/>
        </w:rPr>
        <w:t>9,650,000.00</w:t>
      </w:r>
      <w:r>
        <w:rPr>
          <w:rFonts w:ascii="Times New Roman" w:hAnsi="Times New Roman" w:cs="Times New Roman" w:eastAsia="Times New Roman" w:hint="default"/>
          <w:spacing w:val="-2"/>
        </w:rPr>
        <w:t> </w:t>
      </w:r>
      <w:r>
        <w:rPr/>
        <w:t>美元。</w:t>
      </w:r>
    </w:p>
    <w:p>
      <w:pPr>
        <w:pStyle w:val="BodyText"/>
        <w:spacing w:line="240" w:lineRule="auto" w:before="101"/>
        <w:ind w:left="1134"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spacing w:val="-86"/>
        </w:rPr>
        <w:t>）</w:t>
      </w:r>
      <w:r>
        <w:rPr/>
        <w:t>截止</w:t>
      </w:r>
      <w:r>
        <w:rPr>
          <w:spacing w:val="-46"/>
        </w:rPr>
        <w:t> </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spacing w:val="-85"/>
        </w:rPr>
        <w:t>，</w:t>
      </w:r>
      <w:r>
        <w:rPr/>
        <w:t>公司以原值为</w:t>
      </w:r>
      <w:r>
        <w:rPr>
          <w:spacing w:val="-46"/>
        </w:rPr>
        <w:t> </w:t>
      </w:r>
      <w:r>
        <w:rPr>
          <w:rFonts w:ascii="Times New Roman" w:hAnsi="Times New Roman" w:cs="Times New Roman" w:eastAsia="Times New Roman" w:hint="default"/>
        </w:rPr>
        <w:t>86,494,</w:t>
      </w:r>
      <w:r>
        <w:rPr>
          <w:rFonts w:ascii="Times New Roman" w:hAnsi="Times New Roman" w:cs="Times New Roman" w:eastAsia="Times New Roman" w:hint="default"/>
          <w:spacing w:val="-8"/>
        </w:rPr>
        <w:t>1</w:t>
      </w:r>
      <w:r>
        <w:rPr>
          <w:rFonts w:ascii="Times New Roman" w:hAnsi="Times New Roman" w:cs="Times New Roman" w:eastAsia="Times New Roman" w:hint="default"/>
        </w:rPr>
        <w:t>19.90 </w:t>
      </w:r>
      <w:r>
        <w:rPr>
          <w:spacing w:val="-2"/>
        </w:rPr>
        <w:t>元</w:t>
      </w:r>
      <w:r>
        <w:rPr>
          <w:spacing w:val="-86"/>
        </w:rPr>
        <w:t>、</w:t>
      </w:r>
      <w:r>
        <w:rPr/>
        <w:t>净值为</w:t>
      </w:r>
      <w:r>
        <w:rPr>
          <w:spacing w:val="-46"/>
        </w:rPr>
        <w:t> </w:t>
      </w:r>
      <w:r>
        <w:rPr>
          <w:rFonts w:ascii="Times New Roman" w:hAnsi="Times New Roman" w:cs="Times New Roman" w:eastAsia="Times New Roman" w:hint="default"/>
        </w:rPr>
        <w:t>35,032,579.88 </w:t>
      </w:r>
      <w:r>
        <w:rPr/>
        <w:t>元的房屋及建筑物及原值为</w:t>
      </w:r>
      <w:r>
        <w:rPr>
          <w:spacing w:val="-46"/>
        </w:rPr>
        <w:t> </w:t>
      </w:r>
      <w:r>
        <w:rPr>
          <w:rFonts w:ascii="Times New Roman" w:hAnsi="Times New Roman" w:cs="Times New Roman" w:eastAsia="Times New Roman" w:hint="default"/>
        </w:rPr>
        <w:t>9,165,6</w:t>
      </w:r>
      <w:r>
        <w:rPr>
          <w:rFonts w:ascii="Times New Roman" w:hAnsi="Times New Roman" w:cs="Times New Roman" w:eastAsia="Times New Roman" w:hint="default"/>
          <w:spacing w:val="-2"/>
        </w:rPr>
        <w:t>5</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1</w:t>
      </w:r>
    </w:p>
    <w:p>
      <w:pPr>
        <w:pStyle w:val="BodyText"/>
        <w:spacing w:line="240" w:lineRule="auto" w:before="63"/>
        <w:ind w:right="0"/>
        <w:jc w:val="left"/>
      </w:pPr>
      <w:r>
        <w:rPr>
          <w:spacing w:val="-8"/>
        </w:rPr>
        <w:t>元、净值为</w:t>
      </w:r>
      <w:r>
        <w:rPr>
          <w:spacing w:val="-46"/>
        </w:rPr>
        <w:t> </w:t>
      </w:r>
      <w:r>
        <w:rPr>
          <w:rFonts w:ascii="Times New Roman" w:hAnsi="Times New Roman" w:cs="Times New Roman" w:eastAsia="Times New Roman" w:hint="default"/>
        </w:rPr>
        <w:t>6,522,888.17 </w:t>
      </w:r>
      <w:r>
        <w:rPr/>
        <w:t>元的土地使用权为公司在中国银行上海市金山支行自</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日起至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日止签</w:t>
      </w:r>
    </w:p>
    <w:p>
      <w:pPr>
        <w:pStyle w:val="BodyText"/>
        <w:spacing w:line="240" w:lineRule="auto" w:before="64"/>
        <w:ind w:right="0"/>
        <w:jc w:val="left"/>
      </w:pPr>
      <w:r>
        <w:rPr/>
        <w:t>署的不高于人民币</w:t>
      </w:r>
      <w:r>
        <w:rPr>
          <w:spacing w:val="-47"/>
        </w:rPr>
        <w:t> </w:t>
      </w:r>
      <w:r>
        <w:rPr>
          <w:rFonts w:ascii="Times New Roman" w:hAnsi="Times New Roman" w:cs="Times New Roman" w:eastAsia="Times New Roman" w:hint="default"/>
        </w:rPr>
        <w:t>230,000,000.00</w:t>
      </w:r>
      <w:r>
        <w:rPr>
          <w:rFonts w:ascii="Times New Roman" w:hAnsi="Times New Roman" w:cs="Times New Roman" w:eastAsia="Times New Roman" w:hint="default"/>
          <w:spacing w:val="-1"/>
        </w:rPr>
        <w:t> </w:t>
      </w:r>
      <w:r>
        <w:rPr/>
        <w:t>元的全部债务提供抵押担保。</w:t>
      </w:r>
    </w:p>
    <w:p>
      <w:pPr>
        <w:pStyle w:val="BodyText"/>
        <w:spacing w:line="240" w:lineRule="auto" w:before="101"/>
        <w:ind w:right="0"/>
        <w:jc w:val="left"/>
      </w:pPr>
      <w:r>
        <w:rPr/>
        <w:t>截至</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日，公司在上述抵押合同项下借款总金额为</w:t>
      </w:r>
      <w:r>
        <w:rPr>
          <w:spacing w:val="-47"/>
        </w:rPr>
        <w:t> </w:t>
      </w:r>
      <w:r>
        <w:rPr>
          <w:rFonts w:ascii="Times New Roman" w:hAnsi="Times New Roman" w:cs="Times New Roman" w:eastAsia="Times New Roman" w:hint="default"/>
        </w:rPr>
        <w:t>160,000,000.00</w:t>
      </w:r>
      <w:r>
        <w:rPr>
          <w:rFonts w:ascii="Times New Roman" w:hAnsi="Times New Roman" w:cs="Times New Roman" w:eastAsia="Times New Roman" w:hint="default"/>
          <w:spacing w:val="-1"/>
        </w:rPr>
        <w:t> </w:t>
      </w:r>
      <w:r>
        <w:rPr/>
        <w:t>元，其中：</w:t>
      </w:r>
      <w:r>
        <w:rPr>
          <w:rFonts w:ascii="Times New Roman" w:hAnsi="Times New Roman" w:cs="Times New Roman" w:eastAsia="Times New Roman" w:hint="default"/>
        </w:rPr>
        <w:t>50,000,000.00</w:t>
      </w:r>
      <w:r>
        <w:rPr>
          <w:rFonts w:ascii="Times New Roman" w:hAnsi="Times New Roman" w:cs="Times New Roman" w:eastAsia="Times New Roman" w:hint="default"/>
          <w:spacing w:val="-2"/>
        </w:rPr>
        <w:t> </w:t>
      </w:r>
      <w:r>
        <w:rPr/>
        <w:t>元的借款期限为</w:t>
      </w:r>
    </w:p>
    <w:p>
      <w:pPr>
        <w:pStyle w:val="BodyText"/>
        <w:spacing w:line="240" w:lineRule="auto" w:before="63"/>
        <w:ind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日至</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40,000,000.00</w:t>
      </w:r>
      <w:r>
        <w:rPr>
          <w:rFonts w:ascii="Times New Roman" w:hAnsi="Times New Roman" w:cs="Times New Roman" w:eastAsia="Times New Roman" w:hint="default"/>
          <w:spacing w:val="-2"/>
        </w:rPr>
        <w:t> </w:t>
      </w:r>
      <w:r>
        <w:rPr/>
        <w:t>元的借款期限为</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日至</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30,000,000.00</w:t>
      </w:r>
      <w:r>
        <w:rPr>
          <w:rFonts w:ascii="Times New Roman" w:hAnsi="Times New Roman" w:cs="Times New Roman" w:eastAsia="Times New Roman" w:hint="default"/>
          <w:spacing w:val="-1"/>
        </w:rPr>
        <w:t> </w:t>
      </w:r>
      <w:r>
        <w:rPr/>
        <w:t>元</w:t>
      </w:r>
    </w:p>
    <w:p>
      <w:pPr>
        <w:pStyle w:val="BodyText"/>
        <w:spacing w:line="240" w:lineRule="auto" w:before="63"/>
        <w:ind w:left="1134" w:right="0"/>
        <w:jc w:val="left"/>
        <w:rPr>
          <w:rFonts w:ascii="Times New Roman" w:hAnsi="Times New Roman" w:cs="Times New Roman" w:eastAsia="Times New Roman" w:hint="default"/>
        </w:rPr>
      </w:pPr>
      <w:r>
        <w:rPr/>
        <w:t>的借款期限为</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日至</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15,000,000.00</w:t>
      </w:r>
      <w:r>
        <w:rPr>
          <w:rFonts w:ascii="Times New Roman" w:hAnsi="Times New Roman" w:cs="Times New Roman" w:eastAsia="Times New Roman" w:hint="default"/>
          <w:spacing w:val="-1"/>
        </w:rPr>
        <w:t> </w:t>
      </w:r>
      <w:r>
        <w:rPr/>
        <w:t>元的借款期限为</w:t>
      </w:r>
      <w:r>
        <w:rPr>
          <w:spacing w:val="-47"/>
        </w:rPr>
        <w:t> </w:t>
      </w:r>
      <w:r>
        <w:rPr>
          <w:rFonts w:ascii="Times New Roman" w:hAnsi="Times New Roman" w:cs="Times New Roman" w:eastAsia="Times New Roman" w:hint="default"/>
        </w:rPr>
        <w:t>2017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27</w:t>
      </w:r>
    </w:p>
    <w:p>
      <w:pPr>
        <w:pStyle w:val="BodyText"/>
        <w:spacing w:line="240" w:lineRule="auto" w:before="64"/>
        <w:ind w:left="1134" w:right="0"/>
        <w:jc w:val="left"/>
      </w:pPr>
      <w:r>
        <w:rPr/>
        <w:t>日；</w:t>
      </w:r>
      <w:r>
        <w:rPr>
          <w:rFonts w:ascii="Times New Roman" w:hAnsi="Times New Roman" w:cs="Times New Roman" w:eastAsia="Times New Roman" w:hint="default"/>
        </w:rPr>
        <w:t>25,000,000.00</w:t>
      </w:r>
      <w:r>
        <w:rPr>
          <w:rFonts w:ascii="Times New Roman" w:hAnsi="Times New Roman" w:cs="Times New Roman" w:eastAsia="Times New Roman" w:hint="default"/>
          <w:spacing w:val="-1"/>
        </w:rPr>
        <w:t> </w:t>
      </w:r>
      <w:r>
        <w:rPr/>
        <w:t>元的借款期限为</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日至</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日。</w:t>
      </w:r>
    </w:p>
    <w:p>
      <w:pPr>
        <w:pStyle w:val="BodyText"/>
        <w:spacing w:line="240" w:lineRule="auto" w:before="102"/>
        <w:ind w:left="1134" w:right="0"/>
        <w:jc w:val="left"/>
      </w:pPr>
      <w:r>
        <w:rPr/>
        <w:t>截至</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日，公司在上述抵押合同下已开立未到期的信用证金额为</w:t>
      </w:r>
      <w:r>
        <w:rPr>
          <w:spacing w:val="-48"/>
        </w:rPr>
        <w:t> </w:t>
      </w:r>
      <w:r>
        <w:rPr>
          <w:rFonts w:ascii="Times New Roman" w:hAnsi="Times New Roman" w:cs="Times New Roman" w:eastAsia="Times New Roman" w:hint="default"/>
        </w:rPr>
        <w:t>3,737,148.00</w:t>
      </w:r>
      <w:r>
        <w:rPr>
          <w:rFonts w:ascii="Times New Roman" w:hAnsi="Times New Roman" w:cs="Times New Roman" w:eastAsia="Times New Roman" w:hint="default"/>
          <w:spacing w:val="-2"/>
        </w:rPr>
        <w:t> </w:t>
      </w:r>
      <w:r>
        <w:rPr>
          <w:spacing w:val="-3"/>
        </w:rPr>
        <w:t>美元，</w:t>
      </w:r>
      <w:r>
        <w:rPr>
          <w:rFonts w:ascii="Times New Roman" w:hAnsi="Times New Roman" w:cs="Times New Roman" w:eastAsia="Times New Roman" w:hint="default"/>
          <w:spacing w:val="-3"/>
        </w:rPr>
        <w:t>629,000.00 </w:t>
      </w:r>
      <w:r>
        <w:rPr>
          <w:spacing w:val="-5"/>
        </w:rPr>
        <w:t>欧元；已开具</w:t>
      </w:r>
    </w:p>
    <w:p>
      <w:pPr>
        <w:pStyle w:val="BodyText"/>
        <w:spacing w:line="240" w:lineRule="auto" w:before="64"/>
        <w:ind w:right="0"/>
        <w:jc w:val="left"/>
      </w:pPr>
      <w:r>
        <w:rPr/>
        <w:t>未到期的银行承兑汇票金额为</w:t>
      </w:r>
      <w:r>
        <w:rPr>
          <w:spacing w:val="-47"/>
        </w:rPr>
        <w:t> </w:t>
      </w:r>
      <w:r>
        <w:rPr>
          <w:rFonts w:ascii="Times New Roman" w:hAnsi="Times New Roman" w:cs="Times New Roman" w:eastAsia="Times New Roman" w:hint="default"/>
        </w:rPr>
        <w:t>11,920,000.00</w:t>
      </w:r>
      <w:r>
        <w:rPr>
          <w:rFonts w:ascii="Times New Roman" w:hAnsi="Times New Roman" w:cs="Times New Roman" w:eastAsia="Times New Roman" w:hint="default"/>
          <w:spacing w:val="-1"/>
        </w:rPr>
        <w:t> </w:t>
      </w:r>
      <w:r>
        <w:rPr/>
        <w:t>元，期限为</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日至</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日。</w:t>
      </w:r>
    </w:p>
    <w:p>
      <w:pPr>
        <w:pStyle w:val="BodyText"/>
        <w:spacing w:line="240" w:lineRule="auto" w:before="101"/>
        <w:ind w:left="1134"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3</w:t>
      </w:r>
      <w:r>
        <w:rPr>
          <w:spacing w:val="-90"/>
        </w:rPr>
        <w:t>）</w:t>
      </w:r>
      <w:r>
        <w:rPr/>
        <w:t>截止</w:t>
      </w:r>
      <w:r>
        <w:rPr>
          <w:spacing w:val="-6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t>日</w:t>
      </w:r>
      <w:r>
        <w:rPr>
          <w:spacing w:val="-90"/>
        </w:rPr>
        <w:t>，</w:t>
      </w:r>
      <w:r>
        <w:rPr/>
        <w:t>公司以原值为</w:t>
      </w:r>
      <w:r>
        <w:rPr>
          <w:spacing w:val="-60"/>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14,784,10</w:t>
      </w:r>
      <w:r>
        <w:rPr>
          <w:rFonts w:ascii="Times New Roman" w:hAnsi="Times New Roman" w:cs="Times New Roman" w:eastAsia="Times New Roman" w:hint="default"/>
          <w:spacing w:val="-2"/>
        </w:rPr>
        <w:t>9</w:t>
      </w:r>
      <w:r>
        <w:rPr>
          <w:rFonts w:ascii="Times New Roman" w:hAnsi="Times New Roman" w:cs="Times New Roman" w:eastAsia="Times New Roman" w:hint="default"/>
        </w:rPr>
        <w:t>.46</w:t>
      </w:r>
      <w:r>
        <w:rPr>
          <w:rFonts w:ascii="Times New Roman" w:hAnsi="Times New Roman" w:cs="Times New Roman" w:eastAsia="Times New Roman" w:hint="default"/>
          <w:spacing w:val="-16"/>
        </w:rPr>
        <w:t> </w:t>
      </w:r>
      <w:r>
        <w:rPr/>
        <w:t>元</w:t>
      </w:r>
      <w:r>
        <w:rPr>
          <w:spacing w:val="-90"/>
        </w:rPr>
        <w:t>、</w:t>
      </w:r>
      <w:r>
        <w:rPr/>
        <w:t>净值为</w:t>
      </w:r>
      <w:r>
        <w:rPr>
          <w:spacing w:val="-60"/>
        </w:rPr>
        <w:t> </w:t>
      </w:r>
      <w:r>
        <w:rPr>
          <w:rFonts w:ascii="Times New Roman" w:hAnsi="Times New Roman" w:cs="Times New Roman" w:eastAsia="Times New Roman" w:hint="default"/>
        </w:rPr>
        <w:t>87,</w:t>
      </w:r>
      <w:r>
        <w:rPr>
          <w:rFonts w:ascii="Times New Roman" w:hAnsi="Times New Roman" w:cs="Times New Roman" w:eastAsia="Times New Roman" w:hint="default"/>
          <w:spacing w:val="-2"/>
        </w:rPr>
        <w:t>5</w:t>
      </w:r>
      <w:r>
        <w:rPr>
          <w:rFonts w:ascii="Times New Roman" w:hAnsi="Times New Roman" w:cs="Times New Roman" w:eastAsia="Times New Roman" w:hint="default"/>
        </w:rPr>
        <w:t>05,027.31</w:t>
      </w:r>
      <w:r>
        <w:rPr>
          <w:rFonts w:ascii="Times New Roman" w:hAnsi="Times New Roman" w:cs="Times New Roman" w:eastAsia="Times New Roman" w:hint="default"/>
          <w:spacing w:val="-15"/>
        </w:rPr>
        <w:t> </w:t>
      </w:r>
      <w:r>
        <w:rPr/>
        <w:t>元</w:t>
      </w:r>
      <w:r>
        <w:rPr>
          <w:spacing w:val="-2"/>
        </w:rPr>
        <w:t>的</w:t>
      </w:r>
      <w:r>
        <w:rPr/>
        <w:t>房屋及建筑物及原值为</w:t>
      </w:r>
      <w:r>
        <w:rPr>
          <w:spacing w:val="-60"/>
        </w:rPr>
        <w:t> </w:t>
      </w:r>
      <w:r>
        <w:rPr>
          <w:rFonts w:ascii="Times New Roman" w:hAnsi="Times New Roman" w:cs="Times New Roman" w:eastAsia="Times New Roman" w:hint="default"/>
        </w:rPr>
        <w:t>51,3</w:t>
      </w:r>
      <w:r>
        <w:rPr>
          <w:rFonts w:ascii="Times New Roman" w:hAnsi="Times New Roman" w:cs="Times New Roman" w:eastAsia="Times New Roman" w:hint="default"/>
          <w:spacing w:val="-2"/>
        </w:rPr>
        <w:t>2</w:t>
      </w:r>
      <w:r>
        <w:rPr>
          <w:rFonts w:ascii="Times New Roman" w:hAnsi="Times New Roman" w:cs="Times New Roman" w:eastAsia="Times New Roman" w:hint="default"/>
        </w:rPr>
        <w:t>4,774.</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p>
    <w:p>
      <w:pPr>
        <w:pStyle w:val="BodyText"/>
        <w:spacing w:line="240" w:lineRule="auto" w:before="63"/>
        <w:ind w:right="0"/>
        <w:jc w:val="left"/>
      </w:pPr>
      <w:r>
        <w:rPr/>
        <w:t>元、净值为</w:t>
      </w:r>
      <w:r>
        <w:rPr>
          <w:spacing w:val="-47"/>
        </w:rPr>
        <w:t> </w:t>
      </w:r>
      <w:r>
        <w:rPr>
          <w:rFonts w:ascii="Times New Roman" w:hAnsi="Times New Roman" w:cs="Times New Roman" w:eastAsia="Times New Roman" w:hint="default"/>
        </w:rPr>
        <w:t>43,797,140.48</w:t>
      </w:r>
      <w:r>
        <w:rPr>
          <w:rFonts w:ascii="Times New Roman" w:hAnsi="Times New Roman" w:cs="Times New Roman" w:eastAsia="Times New Roman" w:hint="default"/>
          <w:spacing w:val="-1"/>
        </w:rPr>
        <w:t> </w:t>
      </w:r>
      <w:r>
        <w:rPr/>
        <w:t>元的土地使用权为公司在中国工商银行上海市金山支行自</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日至</w:t>
      </w:r>
      <w:r>
        <w:rPr>
          <w:spacing w:val="-47"/>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w:t>
      </w:r>
    </w:p>
    <w:p>
      <w:pPr>
        <w:pStyle w:val="BodyText"/>
        <w:spacing w:line="240" w:lineRule="auto" w:before="64"/>
        <w:ind w:right="0"/>
        <w:jc w:val="left"/>
      </w:pPr>
      <w:r>
        <w:rPr/>
        <w:t>发生的不高于人民币</w:t>
      </w:r>
      <w:r>
        <w:rPr>
          <w:spacing w:val="-47"/>
        </w:rPr>
        <w:t> </w:t>
      </w:r>
      <w:r>
        <w:rPr>
          <w:rFonts w:ascii="Times New Roman" w:hAnsi="Times New Roman" w:cs="Times New Roman" w:eastAsia="Times New Roman" w:hint="default"/>
        </w:rPr>
        <w:t>168,490,000.00</w:t>
      </w:r>
      <w:r>
        <w:rPr>
          <w:rFonts w:ascii="Times New Roman" w:hAnsi="Times New Roman" w:cs="Times New Roman" w:eastAsia="Times New Roman" w:hint="default"/>
          <w:spacing w:val="-2"/>
        </w:rPr>
        <w:t> </w:t>
      </w:r>
      <w:r>
        <w:rPr/>
        <w:t>元的全部债务提供抵押担保。</w:t>
      </w:r>
    </w:p>
    <w:p>
      <w:pPr>
        <w:pStyle w:val="BodyText"/>
        <w:spacing w:line="240" w:lineRule="auto" w:before="101"/>
        <w:ind w:right="0"/>
        <w:jc w:val="left"/>
      </w:pPr>
      <w:r>
        <w:rPr/>
        <w:t>截至</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日，公司在中国工商银行上海市金山支行借款总金额为</w:t>
      </w:r>
      <w:r>
        <w:rPr>
          <w:spacing w:val="-47"/>
        </w:rPr>
        <w:t> </w:t>
      </w:r>
      <w:r>
        <w:rPr>
          <w:rFonts w:ascii="Times New Roman" w:hAnsi="Times New Roman" w:cs="Times New Roman" w:eastAsia="Times New Roman" w:hint="default"/>
        </w:rPr>
        <w:t>100,000,000.00</w:t>
      </w:r>
      <w:r>
        <w:rPr>
          <w:rFonts w:ascii="Times New Roman" w:hAnsi="Times New Roman" w:cs="Times New Roman" w:eastAsia="Times New Roman" w:hint="default"/>
          <w:spacing w:val="-1"/>
        </w:rPr>
        <w:t> </w:t>
      </w:r>
      <w:r>
        <w:rPr/>
        <w:t>元，其中：</w:t>
      </w:r>
      <w:r>
        <w:rPr>
          <w:rFonts w:ascii="Times New Roman" w:hAnsi="Times New Roman" w:cs="Times New Roman" w:eastAsia="Times New Roman" w:hint="default"/>
        </w:rPr>
        <w:t>25,000,000.00</w:t>
      </w:r>
      <w:r>
        <w:rPr>
          <w:rFonts w:ascii="Times New Roman" w:hAnsi="Times New Roman" w:cs="Times New Roman" w:eastAsia="Times New Roman" w:hint="default"/>
          <w:spacing w:val="-2"/>
        </w:rPr>
        <w:t> </w:t>
      </w:r>
      <w:r>
        <w:rPr/>
        <w:t>元的</w:t>
      </w:r>
    </w:p>
    <w:p>
      <w:pPr>
        <w:pStyle w:val="BodyText"/>
        <w:spacing w:line="240" w:lineRule="auto" w:before="63"/>
        <w:ind w:right="0"/>
        <w:jc w:val="left"/>
      </w:pPr>
      <w:r>
        <w:rPr/>
        <w:t>借款期限为</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 </w:t>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20,000,000.00 </w:t>
      </w:r>
      <w:r>
        <w:rPr/>
        <w:t>元的借款期限为</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w:t>
      </w:r>
    </w:p>
    <w:p>
      <w:pPr>
        <w:pStyle w:val="BodyText"/>
        <w:spacing w:line="240" w:lineRule="auto" w:before="63"/>
        <w:ind w:left="1134" w:right="0"/>
        <w:jc w:val="left"/>
        <w:rPr>
          <w:rFonts w:ascii="Times New Roman" w:hAnsi="Times New Roman" w:cs="Times New Roman" w:eastAsia="Times New Roman" w:hint="default"/>
        </w:rPr>
      </w:pPr>
      <w:r>
        <w:rPr>
          <w:rFonts w:ascii="Times New Roman" w:hAnsi="Times New Roman" w:cs="Times New Roman" w:eastAsia="Times New Roman" w:hint="default"/>
        </w:rPr>
        <w:t>25,000,00</w:t>
      </w:r>
      <w:r>
        <w:rPr>
          <w:rFonts w:ascii="Times New Roman" w:hAnsi="Times New Roman" w:cs="Times New Roman" w:eastAsia="Times New Roman" w:hint="default"/>
          <w:spacing w:val="-2"/>
        </w:rPr>
        <w:t>0</w:t>
      </w:r>
      <w:r>
        <w:rPr>
          <w:rFonts w:ascii="Times New Roman" w:hAnsi="Times New Roman" w:cs="Times New Roman" w:eastAsia="Times New Roman" w:hint="default"/>
        </w:rPr>
        <w:t>.00</w:t>
      </w:r>
      <w:r>
        <w:rPr>
          <w:rFonts w:ascii="Times New Roman" w:hAnsi="Times New Roman" w:cs="Times New Roman" w:eastAsia="Times New Roman" w:hint="default"/>
          <w:spacing w:val="-2"/>
        </w:rPr>
        <w:t> </w:t>
      </w:r>
      <w:r>
        <w:rPr/>
        <w:t>元的借款期限为</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日至</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w:t>
      </w:r>
      <w:r>
        <w:rPr>
          <w:spacing w:val="-90"/>
        </w:rPr>
        <w:t>；</w:t>
      </w:r>
      <w:r>
        <w:rPr>
          <w:rFonts w:ascii="Times New Roman" w:hAnsi="Times New Roman" w:cs="Times New Roman" w:eastAsia="Times New Roman" w:hint="default"/>
        </w:rPr>
        <w:t>30,000,000.00</w:t>
      </w:r>
      <w:r>
        <w:rPr>
          <w:rFonts w:ascii="Times New Roman" w:hAnsi="Times New Roman" w:cs="Times New Roman" w:eastAsia="Times New Roman" w:hint="default"/>
          <w:spacing w:val="-2"/>
        </w:rPr>
        <w:t> </w:t>
      </w:r>
      <w:r>
        <w:rPr/>
        <w:t>元的</w:t>
      </w:r>
      <w:r>
        <w:rPr>
          <w:spacing w:val="-2"/>
        </w:rPr>
        <w:t>借</w:t>
      </w:r>
      <w:r>
        <w:rPr/>
        <w:t>款期限为</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日至</w:t>
      </w:r>
      <w:r>
        <w:rPr>
          <w:spacing w:val="-47"/>
        </w:rPr>
        <w:t> </w:t>
      </w:r>
      <w:r>
        <w:rPr>
          <w:rFonts w:ascii="Times New Roman" w:hAnsi="Times New Roman" w:cs="Times New Roman" w:eastAsia="Times New Roman" w:hint="default"/>
        </w:rPr>
        <w:t>2018</w:t>
      </w:r>
    </w:p>
    <w:p>
      <w:pPr>
        <w:pStyle w:val="BodyText"/>
        <w:spacing w:line="240" w:lineRule="auto" w:before="64"/>
        <w:ind w:left="1134" w:right="0"/>
        <w:jc w:val="left"/>
      </w:pP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w:t>
      </w:r>
    </w:p>
    <w:p>
      <w:pPr>
        <w:pStyle w:val="BodyText"/>
        <w:spacing w:line="240" w:lineRule="auto" w:before="102"/>
        <w:ind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4</w:t>
      </w:r>
      <w:r>
        <w:rPr>
          <w:spacing w:val="-90"/>
        </w:rPr>
        <w:t>）</w:t>
      </w:r>
      <w:r>
        <w:rPr/>
        <w:t>截止</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w:t>
      </w:r>
      <w:r>
        <w:rPr>
          <w:spacing w:val="-90"/>
        </w:rPr>
        <w:t>，</w:t>
      </w:r>
      <w:r>
        <w:rPr/>
        <w:t>公司以</w:t>
      </w:r>
      <w:r>
        <w:rPr>
          <w:spacing w:val="-50"/>
        </w:rPr>
        <w:t> </w:t>
      </w:r>
      <w:r>
        <w:rPr>
          <w:rFonts w:ascii="Times New Roman" w:hAnsi="Times New Roman" w:cs="Times New Roman" w:eastAsia="Times New Roman" w:hint="default"/>
        </w:rPr>
        <w:t>9,650,0</w:t>
      </w:r>
      <w:r>
        <w:rPr>
          <w:rFonts w:ascii="Times New Roman" w:hAnsi="Times New Roman" w:cs="Times New Roman" w:eastAsia="Times New Roman" w:hint="default"/>
          <w:spacing w:val="-2"/>
        </w:rPr>
        <w:t>0</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美元存款质押为企业在中国工商银行上海市金山支行金额为</w:t>
      </w:r>
      <w:r>
        <w:rPr>
          <w:spacing w:val="-50"/>
        </w:rPr>
        <w:t> </w:t>
      </w:r>
      <w:r>
        <w:rPr>
          <w:rFonts w:ascii="Times New Roman" w:hAnsi="Times New Roman" w:cs="Times New Roman" w:eastAsia="Times New Roman" w:hint="default"/>
        </w:rPr>
        <w:t>62,086,000.00</w:t>
      </w:r>
    </w:p>
    <w:p>
      <w:pPr>
        <w:pStyle w:val="BodyText"/>
        <w:spacing w:line="240" w:lineRule="auto" w:before="64"/>
        <w:ind w:left="1134" w:right="0"/>
        <w:jc w:val="left"/>
      </w:pPr>
      <w:r>
        <w:rPr/>
        <w:t>元，期限为</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日的短期借款提供质押担保。</w:t>
      </w:r>
    </w:p>
    <w:p>
      <w:pPr>
        <w:pStyle w:val="BodyText"/>
        <w:spacing w:line="240" w:lineRule="auto" w:before="101"/>
        <w:ind w:left="1134" w:right="0"/>
        <w:jc w:val="left"/>
      </w:pPr>
      <w:r>
        <w:rPr/>
        <w:t>（</w:t>
      </w:r>
      <w:r>
        <w:rPr>
          <w:rFonts w:ascii="Times New Roman" w:hAnsi="Times New Roman" w:cs="Times New Roman" w:eastAsia="Times New Roman" w:hint="default"/>
        </w:rPr>
        <w:t>5</w:t>
      </w:r>
      <w:r>
        <w:rPr/>
        <w:t>）截止</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日，江苏超纤以原值为</w:t>
      </w:r>
      <w:r>
        <w:rPr>
          <w:spacing w:val="-47"/>
        </w:rPr>
        <w:t> </w:t>
      </w:r>
      <w:r>
        <w:rPr>
          <w:rFonts w:ascii="Times New Roman" w:hAnsi="Times New Roman" w:cs="Times New Roman" w:eastAsia="Times New Roman" w:hint="default"/>
        </w:rPr>
        <w:t>130,692,296.91</w:t>
      </w:r>
      <w:r>
        <w:rPr>
          <w:rFonts w:ascii="Times New Roman" w:hAnsi="Times New Roman" w:cs="Times New Roman" w:eastAsia="Times New Roman" w:hint="default"/>
          <w:spacing w:val="-2"/>
        </w:rPr>
        <w:t> </w:t>
      </w:r>
      <w:r>
        <w:rPr/>
        <w:t>元，净值为</w:t>
      </w:r>
      <w:r>
        <w:rPr>
          <w:spacing w:val="-47"/>
        </w:rPr>
        <w:t> </w:t>
      </w:r>
      <w:r>
        <w:rPr>
          <w:rFonts w:ascii="Times New Roman" w:hAnsi="Times New Roman" w:cs="Times New Roman" w:eastAsia="Times New Roman" w:hint="default"/>
        </w:rPr>
        <w:t>122,197,295.33</w:t>
      </w:r>
      <w:r>
        <w:rPr>
          <w:rFonts w:ascii="Times New Roman" w:hAnsi="Times New Roman" w:cs="Times New Roman" w:eastAsia="Times New Roman" w:hint="default"/>
          <w:spacing w:val="-1"/>
        </w:rPr>
        <w:t> </w:t>
      </w:r>
      <w:r>
        <w:rPr/>
        <w:t>元的土地使用权为江苏超纤与</w:t>
      </w:r>
    </w:p>
    <w:p>
      <w:pPr>
        <w:pStyle w:val="BodyText"/>
        <w:spacing w:line="302" w:lineRule="auto" w:before="63"/>
        <w:ind w:left="1134" w:right="1118"/>
        <w:jc w:val="left"/>
      </w:pPr>
      <w:r>
        <w:rPr/>
        <w:t>中国工商银行股份有限公司启东支行签订的自</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t>日至</w:t>
      </w:r>
      <w:r>
        <w:rPr>
          <w:spacing w:val="-48"/>
        </w:rPr>
        <w:t> </w:t>
      </w:r>
      <w:r>
        <w:rPr>
          <w:rFonts w:ascii="Times New Roman" w:hAnsi="Times New Roman" w:cs="Times New Roman" w:eastAsia="Times New Roman" w:hint="default"/>
        </w:rPr>
        <w:t>2021</w:t>
      </w:r>
      <w:r>
        <w:rPr>
          <w:rFonts w:ascii="Times New Roman" w:hAnsi="Times New Roman" w:cs="Times New Roman" w:eastAsia="Times New Roman" w:hint="default"/>
          <w:spacing w:val="-3"/>
        </w:rPr>
        <w:t> </w:t>
      </w:r>
      <w:r>
        <w:rPr/>
        <w:t>至</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日不高于</w:t>
      </w:r>
      <w:r>
        <w:rPr>
          <w:spacing w:val="-48"/>
        </w:rPr>
        <w:t> </w:t>
      </w:r>
      <w:r>
        <w:rPr>
          <w:rFonts w:ascii="Times New Roman" w:hAnsi="Times New Roman" w:cs="Times New Roman" w:eastAsia="Times New Roman" w:hint="default"/>
        </w:rPr>
        <w:t>126,800,000.00</w:t>
      </w:r>
      <w:r>
        <w:rPr>
          <w:rFonts w:ascii="Times New Roman" w:hAnsi="Times New Roman" w:cs="Times New Roman" w:eastAsia="Times New Roman" w:hint="default"/>
          <w:spacing w:val="-3"/>
        </w:rPr>
        <w:t> </w:t>
      </w:r>
      <w:r>
        <w:rPr/>
        <w:t>元的全部债务提 供抵押担保。</w:t>
      </w:r>
    </w:p>
    <w:p>
      <w:pPr>
        <w:spacing w:after="0" w:line="302"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6" w:right="0"/>
              <w:jc w:val="left"/>
              <w:rPr>
                <w:rFonts w:ascii="Times New Roman" w:hAnsi="Times New Roman" w:cs="Times New Roman" w:eastAsia="Times New Roman" w:hint="default"/>
                <w:sz w:val="18"/>
                <w:szCs w:val="18"/>
              </w:rPr>
            </w:pPr>
            <w:r>
              <w:rPr>
                <w:rFonts w:ascii="Times New Roman"/>
                <w:sz w:val="18"/>
              </w:rPr>
              <w:t>2,475,733,500.59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7" w:right="0"/>
              <w:jc w:val="left"/>
              <w:rPr>
                <w:rFonts w:ascii="Times New Roman" w:hAnsi="Times New Roman" w:cs="Times New Roman" w:eastAsia="Times New Roman" w:hint="default"/>
                <w:sz w:val="18"/>
                <w:szCs w:val="18"/>
              </w:rPr>
            </w:pPr>
            <w:r>
              <w:rPr>
                <w:rFonts w:ascii="Times New Roman"/>
                <w:sz w:val="18"/>
              </w:rPr>
              <w:t>1,101,363,868.32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124.79%</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7"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1" w:right="5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4"/>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7"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026"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威富通</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软件服 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69"/>
              <w:jc w:val="right"/>
              <w:rPr>
                <w:rFonts w:ascii="宋体" w:hAnsi="宋体" w:cs="宋体" w:eastAsia="宋体" w:hint="default"/>
                <w:sz w:val="18"/>
                <w:szCs w:val="18"/>
              </w:rPr>
            </w:pPr>
            <w:r>
              <w:rPr>
                <w:rFonts w:ascii="宋体" w:hAnsi="宋体" w:cs="宋体" w:eastAsia="宋体" w:hint="default"/>
                <w:sz w:val="18"/>
                <w:szCs w:val="18"/>
              </w:rPr>
              <w:t>收购</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8"/>
              <w:jc w:val="both"/>
              <w:rPr>
                <w:rFonts w:ascii="宋体" w:hAnsi="宋体" w:cs="宋体" w:eastAsia="宋体" w:hint="default"/>
                <w:sz w:val="18"/>
                <w:szCs w:val="18"/>
              </w:rPr>
            </w:pPr>
            <w:r>
              <w:rPr>
                <w:rFonts w:ascii="宋体" w:hAnsi="宋体" w:cs="宋体" w:eastAsia="宋体" w:hint="default"/>
                <w:sz w:val="18"/>
                <w:szCs w:val="18"/>
              </w:rPr>
              <w:t>发行股 票加现 金收购</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0"/>
              <w:jc w:val="center"/>
              <w:rPr>
                <w:rFonts w:ascii="宋体" w:hAnsi="宋体" w:cs="宋体" w:eastAsia="宋体" w:hint="default"/>
                <w:sz w:val="18"/>
                <w:szCs w:val="18"/>
              </w:rPr>
            </w:pPr>
            <w:r>
              <w:rPr>
                <w:rFonts w:ascii="宋体" w:hAnsi="宋体" w:cs="宋体" w:eastAsia="宋体" w:hint="default"/>
                <w:sz w:val="18"/>
                <w:szCs w:val="18"/>
              </w:rPr>
              <w:t>鲜丹等</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60"/>
              <w:jc w:val="righ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63"/>
              <w:jc w:val="right"/>
              <w:rPr>
                <w:rFonts w:ascii="宋体" w:hAnsi="宋体" w:cs="宋体" w:eastAsia="宋体" w:hint="default"/>
                <w:sz w:val="18"/>
                <w:szCs w:val="18"/>
              </w:rPr>
            </w:pPr>
            <w:r>
              <w:rPr>
                <w:rFonts w:ascii="宋体" w:hAnsi="宋体" w:cs="宋体" w:eastAsia="宋体" w:hint="default"/>
                <w:sz w:val="18"/>
                <w:szCs w:val="18"/>
              </w:rPr>
              <w:t>股份</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157,00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183,608,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018.79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2017-03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5"/>
              <w:jc w:val="right"/>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3"/>
              <w:jc w:val="right"/>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3"/>
              <w:jc w:val="right"/>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157,00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183,608,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018.79</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163"/>
        <w:gridCol w:w="784"/>
        <w:gridCol w:w="781"/>
        <w:gridCol w:w="781"/>
        <w:gridCol w:w="717"/>
        <w:gridCol w:w="716"/>
        <w:gridCol w:w="715"/>
        <w:gridCol w:w="653"/>
        <w:gridCol w:w="652"/>
        <w:gridCol w:w="652"/>
        <w:gridCol w:w="653"/>
        <w:gridCol w:w="652"/>
        <w:gridCol w:w="652"/>
      </w:tblGrid>
      <w:tr>
        <w:trPr>
          <w:trHeight w:val="1650" w:hRule="exact"/>
        </w:trPr>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投资方式</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4"/>
              <w:jc w:val="center"/>
              <w:rPr>
                <w:rFonts w:ascii="宋体" w:hAnsi="宋体" w:cs="宋体" w:eastAsia="宋体" w:hint="default"/>
                <w:sz w:val="18"/>
                <w:szCs w:val="18"/>
              </w:rPr>
            </w:pPr>
            <w:r>
              <w:rPr>
                <w:rFonts w:ascii="宋体" w:hAnsi="宋体" w:cs="宋体" w:eastAsia="宋体" w:hint="default"/>
                <w:sz w:val="18"/>
                <w:szCs w:val="18"/>
              </w:rPr>
              <w:t>是否为固 定资产投 资</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6" w:right="23"/>
              <w:jc w:val="left"/>
              <w:rPr>
                <w:rFonts w:ascii="宋体" w:hAnsi="宋体" w:cs="宋体" w:eastAsia="宋体" w:hint="default"/>
                <w:sz w:val="18"/>
                <w:szCs w:val="18"/>
              </w:rPr>
            </w:pPr>
            <w:r>
              <w:rPr>
                <w:rFonts w:ascii="宋体" w:hAnsi="宋体" w:cs="宋体" w:eastAsia="宋体" w:hint="default"/>
                <w:sz w:val="18"/>
                <w:szCs w:val="18"/>
              </w:rPr>
              <w:t>投资项目 涉及行业</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2" w:right="82"/>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 w:right="83"/>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62" w:right="80"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0" w:right="49"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 w:right="49"/>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 w:right="50"/>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0" w:right="49"/>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0" w:right="49"/>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338"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8"/>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7,500 </w:t>
            </w:r>
            <w:r>
              <w:rPr>
                <w:rFonts w:ascii="宋体" w:hAnsi="宋体" w:cs="宋体" w:eastAsia="宋体" w:hint="default"/>
                <w:sz w:val="18"/>
                <w:szCs w:val="18"/>
              </w:rPr>
              <w:t>万 米产业用非织 造布超纤材料 项目</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425,733,</w:t>
            </w:r>
          </w:p>
          <w:p>
            <w:pPr>
              <w:pStyle w:val="TableParagraph"/>
              <w:spacing w:line="240" w:lineRule="auto" w:before="105"/>
              <w:ind w:left="164" w:right="0"/>
              <w:jc w:val="center"/>
              <w:rPr>
                <w:rFonts w:ascii="Times New Roman" w:hAnsi="Times New Roman" w:cs="Times New Roman" w:eastAsia="Times New Roman" w:hint="default"/>
                <w:sz w:val="18"/>
                <w:szCs w:val="18"/>
              </w:rPr>
            </w:pPr>
            <w:r>
              <w:rPr>
                <w:rFonts w:ascii="Times New Roman"/>
                <w:sz w:val="18"/>
              </w:rPr>
              <w:t>500.59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2,784,26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1,178.13</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40"/>
              <w:jc w:val="both"/>
              <w:rPr>
                <w:rFonts w:ascii="宋体" w:hAnsi="宋体" w:cs="宋体" w:eastAsia="宋体" w:hint="default"/>
                <w:sz w:val="18"/>
                <w:szCs w:val="18"/>
              </w:rPr>
            </w:pPr>
            <w:r>
              <w:rPr>
                <w:rFonts w:ascii="宋体" w:hAnsi="宋体" w:cs="宋体" w:eastAsia="宋体" w:hint="default"/>
                <w:sz w:val="18"/>
                <w:szCs w:val="18"/>
              </w:rPr>
              <w:t>募集资 金和自 筹资金</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66.58%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790,902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,600.00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57,482,</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232.13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78"/>
              <w:jc w:val="left"/>
              <w:rPr>
                <w:rFonts w:ascii="宋体" w:hAnsi="宋体" w:cs="宋体" w:eastAsia="宋体" w:hint="default"/>
                <w:sz w:val="18"/>
                <w:szCs w:val="18"/>
              </w:rPr>
            </w:pPr>
            <w:r>
              <w:rPr>
                <w:rFonts w:ascii="宋体" w:hAnsi="宋体" w:cs="宋体" w:eastAsia="宋体" w:hint="default"/>
                <w:sz w:val="18"/>
                <w:szCs w:val="18"/>
              </w:rPr>
              <w:t>尚未完 全建成</w:t>
            </w:r>
          </w:p>
        </w:tc>
        <w:tc>
          <w:tcPr>
            <w:tcW w:w="652"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425,733,</w:t>
            </w:r>
          </w:p>
          <w:p>
            <w:pPr>
              <w:pStyle w:val="TableParagraph"/>
              <w:spacing w:line="240" w:lineRule="auto" w:before="105"/>
              <w:ind w:left="164" w:right="0"/>
              <w:jc w:val="center"/>
              <w:rPr>
                <w:rFonts w:ascii="Times New Roman" w:hAnsi="Times New Roman" w:cs="Times New Roman" w:eastAsia="Times New Roman" w:hint="default"/>
                <w:sz w:val="18"/>
                <w:szCs w:val="18"/>
              </w:rPr>
            </w:pPr>
            <w:r>
              <w:rPr>
                <w:rFonts w:ascii="Times New Roman"/>
                <w:sz w:val="18"/>
              </w:rPr>
              <w:t>500.59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2,784,26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1,178.13</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790,902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,600.00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57,482,</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232.13</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8" w:right="0"/>
              <w:jc w:val="center"/>
              <w:rPr>
                <w:rFonts w:ascii="Times New Roman" w:hAnsi="Times New Roman" w:cs="Times New Roman" w:eastAsia="Times New Roman" w:hint="default"/>
                <w:sz w:val="18"/>
                <w:szCs w:val="18"/>
              </w:rPr>
            </w:pPr>
            <w:r>
              <w:rPr>
                <w:rFonts w:ascii="Times New Roman"/>
                <w:sz w:val="18"/>
              </w:rPr>
              <w:t>102,046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102,080.24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重大资产 重组配套 募集资金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23,910.5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23,910.5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23,910.5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125,956.5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23,910.78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125,990.74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50"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11"/>
                <w:sz w:val="18"/>
                <w:szCs w:val="18"/>
              </w:rPr>
              <w:t>，</w:t>
            </w:r>
            <w:r>
              <w:rPr>
                <w:rFonts w:ascii="宋体" w:hAnsi="宋体" w:cs="宋体" w:eastAsia="宋体" w:hint="default"/>
                <w:sz w:val="18"/>
                <w:szCs w:val="18"/>
              </w:rPr>
              <w:t>子公司江苏华峰超纤材料有限公司累计使用募集资金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2,775</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元</w:t>
            </w:r>
            <w:r>
              <w:rPr>
                <w:rFonts w:ascii="宋体" w:hAnsi="宋体" w:cs="宋体" w:eastAsia="宋体" w:hint="default"/>
                <w:sz w:val="18"/>
                <w:szCs w:val="18"/>
              </w:rPr>
              <w:t>（含募集资金专户利息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pacing w:val="-11"/>
                <w:sz w:val="18"/>
                <w:szCs w:val="18"/>
              </w:rPr>
              <w:t>，</w:t>
            </w:r>
            <w:r>
              <w:rPr>
                <w:rFonts w:ascii="宋体" w:hAnsi="宋体" w:cs="宋体" w:eastAsia="宋体" w:hint="default"/>
                <w:sz w:val="18"/>
                <w:szCs w:val="18"/>
              </w:rPr>
              <w:t>全部用</w:t>
            </w:r>
            <w:r>
              <w:rPr>
                <w:rFonts w:ascii="宋体" w:hAnsi="宋体" w:cs="宋体" w:eastAsia="宋体" w:hint="default"/>
                <w:spacing w:val="1"/>
                <w:sz w:val="18"/>
                <w:szCs w:val="18"/>
              </w:rPr>
              <w:t>于</w:t>
            </w:r>
            <w:r>
              <w:rPr>
                <w:rFonts w:ascii="宋体" w:hAnsi="宋体" w:cs="宋体" w:eastAsia="宋体" w:hint="default"/>
                <w:sz w:val="18"/>
                <w:szCs w:val="18"/>
              </w:rPr>
              <w:t>投</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资建设</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万米产业用非织造布超纤材料项目中的一期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3,750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万米产业用非织造布超纤材料项目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。截止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日，子公司江苏华峰超纤材料有限公司募集资金专项账户余额为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元且专项账户已注销。</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年度，公司累计使</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用配套募集资金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239,105,026.36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元，全部用于支付本次重大资产重组交易的现金对价。截止</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日，公司配套</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元且专项账户已注销。</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650"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万米产业用 非织造布超纤材料项 目中的一期</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3,750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万米 产业用非织造布超纤 材料项目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102,046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102,080.2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6,559.98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102,046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102,080.2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6,559.98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150,000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2" w:right="0"/>
              <w:jc w:val="left"/>
              <w:rPr>
                <w:rFonts w:ascii="Times New Roman" w:hAnsi="Times New Roman" w:cs="Times New Roman" w:eastAsia="Times New Roman" w:hint="default"/>
                <w:sz w:val="18"/>
                <w:szCs w:val="18"/>
              </w:rPr>
            </w:pPr>
            <w:r>
              <w:rPr>
                <w:rFonts w:ascii="Times New Roman"/>
                <w:sz w:val="18"/>
              </w:rPr>
              <w:t>102,046</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0.28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102,080.2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6,559.98</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公司募投项目本年度未达到预计效益，主要系募投项目产能未充分释放所致</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25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25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after="0" w:line="3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5829" w:space="3090"/>
            <w:col w:w="299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江苏超纤</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超纤产品生 产</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1"/>
              <w:jc w:val="right"/>
              <w:rPr>
                <w:rFonts w:ascii="Times New Roman" w:hAnsi="Times New Roman" w:cs="Times New Roman" w:eastAsia="Times New Roman" w:hint="default"/>
                <w:sz w:val="18"/>
                <w:szCs w:val="18"/>
              </w:rPr>
            </w:pPr>
            <w:r>
              <w:rPr>
                <w:rFonts w:ascii="Times New Roman"/>
                <w:sz w:val="18"/>
              </w:rPr>
              <w:t>1500000000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3,062,615,71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1,521,071,59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1,256,623,72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5.32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66,085,876.8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53,805,932.1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威富通</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0"/>
              <w:jc w:val="right"/>
              <w:rPr>
                <w:rFonts w:ascii="Times New Roman" w:hAnsi="Times New Roman" w:cs="Times New Roman" w:eastAsia="Times New Roman" w:hint="default"/>
                <w:sz w:val="18"/>
                <w:szCs w:val="18"/>
              </w:rPr>
            </w:pPr>
            <w:r>
              <w:rPr>
                <w:rFonts w:ascii="Times New Roman"/>
                <w:sz w:val="18"/>
              </w:rPr>
              <w:t>13,963,200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481,561,393.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419,428,637.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386,836,315.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211,925,783.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183,608,018.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79</w:t>
            </w:r>
          </w:p>
        </w:tc>
      </w:tr>
    </w:tbl>
    <w:p>
      <w:pPr>
        <w:pStyle w:val="BodyText"/>
        <w:spacing w:line="240" w:lineRule="auto" w:before="51"/>
        <w:ind w:left="1134" w:right="0"/>
        <w:jc w:val="left"/>
      </w:pPr>
      <w:r>
        <w:rPr/>
        <w:t>报告期内取得和处置子公司的情况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威富通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发行股票及支付现金购买资产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增加公司盈利能力</w:t>
            </w:r>
          </w:p>
        </w:tc>
      </w:tr>
    </w:tbl>
    <w:p>
      <w:pPr>
        <w:pStyle w:val="BodyText"/>
        <w:spacing w:line="240" w:lineRule="auto" w:before="51"/>
        <w:ind w:left="1134" w:right="0"/>
        <w:jc w:val="both"/>
      </w:pPr>
      <w:r>
        <w:rPr/>
        <w:t>主要控股参股公司情况说明</w:t>
      </w:r>
    </w:p>
    <w:p>
      <w:pPr>
        <w:pStyle w:val="BodyText"/>
        <w:spacing w:line="302" w:lineRule="auto" w:before="116"/>
        <w:ind w:right="1132" w:firstLine="360"/>
        <w:jc w:val="both"/>
      </w:pPr>
      <w:r>
        <w:rPr>
          <w:spacing w:val="-1"/>
        </w:rPr>
        <w:t>根据中国证监会发布的《上市公司行业分类指引（</w:t>
      </w:r>
      <w:r>
        <w:rPr>
          <w:rFonts w:ascii="Times New Roman" w:hAnsi="Times New Roman" w:cs="Times New Roman" w:eastAsia="Times New Roman" w:hint="default"/>
          <w:spacing w:val="-1"/>
        </w:rPr>
        <w:t>2012</w:t>
      </w:r>
      <w:r>
        <w:rPr>
          <w:rFonts w:ascii="Times New Roman" w:hAnsi="Times New Roman" w:cs="Times New Roman" w:eastAsia="Times New Roman" w:hint="default"/>
          <w:spacing w:val="13"/>
        </w:rPr>
        <w:t> </w:t>
      </w:r>
      <w:r>
        <w:rPr>
          <w:spacing w:val="-7"/>
          <w:w w:val="100"/>
        </w:rPr>
        <w:t>年修订稿）》，威富通所处行业属于</w:t>
      </w:r>
      <w:r>
        <w:rPr>
          <w:rFonts w:ascii="Times New Roman" w:hAnsi="Times New Roman" w:cs="Times New Roman" w:eastAsia="Times New Roman" w:hint="default"/>
          <w:spacing w:val="-7"/>
          <w:w w:val="100"/>
        </w:rPr>
        <w:t>“</w:t>
      </w:r>
      <w:r>
        <w:rPr>
          <w:spacing w:val="-7"/>
          <w:w w:val="100"/>
        </w:rPr>
        <w:t>信息传输、软件和信息技术</w:t>
      </w:r>
      <w:r>
        <w:rPr/>
        <w:t> 服务业</w:t>
      </w:r>
      <w:r>
        <w:rPr>
          <w:rFonts w:ascii="Times New Roman" w:hAnsi="Times New Roman" w:cs="Times New Roman" w:eastAsia="Times New Roman" w:hint="default"/>
        </w:rPr>
        <w:t>”</w:t>
      </w:r>
      <w:r>
        <w:rPr/>
        <w:t>项下的</w:t>
      </w:r>
      <w:r>
        <w:rPr>
          <w:rFonts w:ascii="Times New Roman" w:hAnsi="Times New Roman" w:cs="Times New Roman" w:eastAsia="Times New Roman" w:hint="default"/>
        </w:rPr>
        <w:t>“I65</w:t>
      </w:r>
      <w:r>
        <w:rPr>
          <w:rFonts w:ascii="Times New Roman" w:hAnsi="Times New Roman" w:cs="Times New Roman" w:eastAsia="Times New Roman" w:hint="default"/>
          <w:spacing w:val="-1"/>
        </w:rPr>
        <w:t> </w:t>
      </w:r>
      <w:r>
        <w:rPr/>
        <w:t>软件和信息技术服务业</w:t>
      </w:r>
      <w:r>
        <w:rPr>
          <w:rFonts w:ascii="Times New Roman" w:hAnsi="Times New Roman" w:cs="Times New Roman" w:eastAsia="Times New Roman" w:hint="default"/>
        </w:rPr>
        <w:t>”</w:t>
      </w:r>
      <w:r>
        <w:rPr/>
        <w:t>。主要监管部门为工业与信息化部。</w:t>
      </w:r>
    </w:p>
    <w:p>
      <w:pPr>
        <w:pStyle w:val="BodyText"/>
        <w:spacing w:line="319" w:lineRule="auto" w:before="49"/>
        <w:ind w:right="1131" w:firstLine="360"/>
        <w:jc w:val="both"/>
      </w:pPr>
      <w:r>
        <w:rPr>
          <w:spacing w:val="-2"/>
        </w:rPr>
        <w:t>上市公司将在原有的超细纤维合成革的研制开发、生产、销售与服务业务的基础上，新增移动支付软件服务业务。尝试</w:t>
      </w:r>
      <w:r>
        <w:rPr/>
        <w:t> 搭建传统产业与新兴产业的多元发展格局，初步实现公司双轮驱动的战略发展目标。</w:t>
      </w:r>
    </w:p>
    <w:p>
      <w:pPr>
        <w:pStyle w:val="BodyText"/>
        <w:spacing w:line="319" w:lineRule="auto" w:before="56"/>
        <w:ind w:right="1131" w:firstLine="360"/>
        <w:jc w:val="both"/>
      </w:pPr>
      <w:r>
        <w:rPr>
          <w:spacing w:val="-2"/>
        </w:rPr>
        <w:t>作为上市公司传统主业的超细纤维合成革的研制开发、生产、销售与服务业务，公司凭借已经具备的生产技术、客户资</w:t>
      </w:r>
      <w:r>
        <w:rPr/>
        <w:t> 源及质量品牌方面的优势，通过不断优化产品结构、完善产业链、拓展产业布局的方式实现了营业收入稳步增长的局面。</w:t>
      </w:r>
    </w:p>
    <w:p>
      <w:pPr>
        <w:pStyle w:val="BodyText"/>
        <w:spacing w:line="319" w:lineRule="auto" w:before="55"/>
        <w:ind w:right="1133"/>
        <w:jc w:val="both"/>
      </w:pPr>
      <w:r>
        <w:rPr>
          <w:spacing w:val="-2"/>
        </w:rPr>
        <w:t>作为上市公司新兴主业的移动支付软件服务业务。移动支付技术不断完善、人们支付习惯的逐渐改变、移动支付市场需求的</w:t>
      </w:r>
      <w:r>
        <w:rPr>
          <w:spacing w:val="-66"/>
        </w:rPr>
        <w:t> </w:t>
      </w:r>
      <w:r>
        <w:rPr>
          <w:spacing w:val="-66"/>
        </w:rPr>
      </w:r>
      <w:r>
        <w:rPr>
          <w:spacing w:val="-2"/>
        </w:rPr>
        <w:t>快速增加，将带来威富通所在的移动支付软件服务行业的快速发展，并使得威富通的业绩迅速提升，从而驱动上市公司新兴</w:t>
      </w:r>
      <w:r>
        <w:rPr>
          <w:spacing w:val="-66"/>
        </w:rPr>
        <w:t> </w:t>
      </w:r>
      <w:r>
        <w:rPr>
          <w:spacing w:val="-66"/>
        </w:rPr>
      </w:r>
      <w:r>
        <w:rPr/>
        <w:t>主业的业绩快速增长。</w:t>
      </w:r>
    </w:p>
    <w:p>
      <w:pPr>
        <w:pStyle w:val="BodyText"/>
        <w:spacing w:line="302" w:lineRule="auto" w:before="55"/>
        <w:ind w:right="1148" w:firstLine="360"/>
        <w:jc w:val="both"/>
      </w:pPr>
      <w:r>
        <w:rPr/>
        <w:t>威富通可推动上市公司现有经营模式的拓展，向</w:t>
      </w:r>
      <w:r>
        <w:rPr>
          <w:rFonts w:ascii="Times New Roman" w:hAnsi="Times New Roman" w:cs="Times New Roman" w:eastAsia="Times New Roman" w:hint="default"/>
        </w:rPr>
        <w:t>“</w:t>
      </w:r>
      <w:r>
        <w:rPr/>
        <w:t>制造业</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发展模式迈进，有助于提升上市公司的综合竞争力、 品牌影响力和行业地位。</w:t>
      </w:r>
    </w:p>
    <w:p>
      <w:pPr>
        <w:pStyle w:val="BodyText"/>
        <w:spacing w:line="316" w:lineRule="auto" w:before="69"/>
        <w:ind w:right="1130" w:firstLine="360"/>
        <w:jc w:val="both"/>
      </w:pPr>
      <w:r>
        <w:rPr>
          <w:spacing w:val="-2"/>
        </w:rPr>
        <w:t>威富通资产是盈利状况良好的优质资产，将提升上市公司的盈利能力，维护上市公司全体股东的利益。公司合并口径资</w:t>
      </w:r>
      <w:r>
        <w:rPr/>
        <w:t> </w:t>
      </w:r>
      <w:r>
        <w:rPr>
          <w:spacing w:val="-2"/>
        </w:rPr>
        <w:t>产总额和净资产规模将得到提高，收入规模将进一步提升，有利于增强公司持续经营能力和抗风险能力。上市公司在传统主</w:t>
      </w:r>
      <w:r>
        <w:rPr>
          <w:spacing w:val="-66"/>
        </w:rPr>
        <w:t> </w:t>
      </w:r>
      <w:r>
        <w:rPr>
          <w:spacing w:val="-66"/>
        </w:rPr>
      </w:r>
      <w:r>
        <w:rPr>
          <w:spacing w:val="-2"/>
        </w:rPr>
        <w:t>业方面具有技术优势，威富通在移动支付软件服务业方面具有技术优势。收购威富通，将移动支付服务融入上市公司传统主</w:t>
      </w:r>
      <w:r>
        <w:rPr>
          <w:spacing w:val="-66"/>
        </w:rPr>
        <w:t> </w:t>
      </w:r>
      <w:r>
        <w:rPr>
          <w:spacing w:val="-66"/>
        </w:rPr>
      </w:r>
      <w:r>
        <w:rPr/>
        <w:t>业，形成的传统主业</w:t>
      </w:r>
      <w:r>
        <w:rPr>
          <w:rFonts w:ascii="Times New Roman" w:hAnsi="Times New Roman" w:cs="Times New Roman" w:eastAsia="Times New Roman" w:hint="default"/>
        </w:rPr>
        <w:t>+</w:t>
      </w:r>
      <w:r>
        <w:rPr/>
        <w:t>移动支付软件服务业可实现有效的整合、协同，可以在保持公司行业优势的前提下，为上市公司拓宽</w:t>
      </w:r>
    </w:p>
    <w:p>
      <w:pPr>
        <w:spacing w:after="0" w:line="316" w:lineRule="auto"/>
        <w:jc w:val="both"/>
        <w:sectPr>
          <w:type w:val="continuous"/>
          <w:pgSz w:w="11910" w:h="16840"/>
          <w:pgMar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0"/>
        <w:jc w:val="left"/>
      </w:pPr>
      <w:r>
        <w:rPr>
          <w:spacing w:val="-2"/>
        </w:rPr>
        <w:t>新市场，最大限度地挖掘客户，满足客户需求，提升客户体验和满意度，增强客户粘性，有利于上市公司进一步优化市场营</w:t>
      </w:r>
      <w:r>
        <w:rPr>
          <w:spacing w:val="-66"/>
        </w:rPr>
        <w:t> </w:t>
      </w:r>
      <w:r>
        <w:rPr>
          <w:spacing w:val="-66"/>
        </w:rPr>
      </w:r>
      <w:r>
        <w:rPr/>
        <w:t>销，提高上市公司的风险防控水平。</w:t>
      </w:r>
    </w:p>
    <w:p>
      <w:pPr>
        <w:pStyle w:val="BodyText"/>
        <w:spacing w:line="319" w:lineRule="auto" w:before="55"/>
        <w:ind w:right="0" w:firstLine="360"/>
        <w:jc w:val="left"/>
      </w:pPr>
      <w:r>
        <w:rPr>
          <w:spacing w:val="-2"/>
        </w:rPr>
        <w:t>移动支付软件服务业务将成为上市公司新的业绩增长点，提高业务多元化程度，有助于提高上市公司盈利能力，提升上</w:t>
      </w:r>
      <w:r>
        <w:rPr/>
        <w:t> 市公司价值，进而实现股东价值最大化。</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0"/>
        <w:jc w:val="left"/>
      </w:pPr>
      <w:r>
        <w:rPr/>
        <w:t>（一）行业发展趋势</w:t>
      </w:r>
    </w:p>
    <w:p>
      <w:pPr>
        <w:pStyle w:val="BodyText"/>
        <w:spacing w:line="338" w:lineRule="auto" w:before="117"/>
        <w:ind w:left="1494" w:right="1032"/>
        <w:jc w:val="left"/>
      </w:pPr>
      <w:r>
        <w:rPr>
          <w:rFonts w:ascii="Times New Roman" w:hAnsi="Times New Roman" w:cs="Times New Roman" w:eastAsia="Times New Roman" w:hint="default"/>
        </w:rPr>
        <w:t>1</w:t>
      </w:r>
      <w:r>
        <w:rPr/>
        <w:t>、超纤行业发展趋势 超纤材料是在充分剖析天然皮革的基础上发展起来的，它的生产工艺与普通合成革不同，具有极其优异的耐磨、耐寒、</w:t>
      </w:r>
    </w:p>
    <w:p>
      <w:pPr>
        <w:pStyle w:val="BodyText"/>
        <w:spacing w:line="319" w:lineRule="auto" w:before="2"/>
        <w:ind w:left="1134" w:right="0"/>
        <w:jc w:val="left"/>
      </w:pPr>
      <w:r>
        <w:rPr>
          <w:spacing w:val="-2"/>
        </w:rPr>
        <w:t>透气、耐老化性能几乎可以完美替代真皮材料。随着人们生活水平的不断提高以及环保意识的不断增强，超纤材料将以其优</w:t>
      </w:r>
      <w:r>
        <w:rPr>
          <w:spacing w:val="-66"/>
        </w:rPr>
        <w:t> </w:t>
      </w:r>
      <w:r>
        <w:rPr>
          <w:spacing w:val="-66"/>
        </w:rPr>
      </w:r>
      <w:r>
        <w:rPr>
          <w:spacing w:val="-4"/>
        </w:rPr>
        <w:t>良的物理性能、突出的生态环保性能、相对较低的成本以及多功能特点成为人造革、合成革行业的发展主流。未来一段时间，</w:t>
      </w:r>
      <w:r>
        <w:rPr>
          <w:spacing w:val="-46"/>
        </w:rPr>
        <w:t> </w:t>
      </w:r>
      <w:r>
        <w:rPr>
          <w:spacing w:val="-46"/>
        </w:rPr>
      </w:r>
      <w:r>
        <w:rPr/>
        <w:t>消费升级和环境保护两个因素将促进以超纤材料为代表的高端人造革消费比例提升，超纤行业未来发展空间广阔。</w:t>
      </w:r>
    </w:p>
    <w:p>
      <w:pPr>
        <w:pStyle w:val="BodyText"/>
        <w:spacing w:line="319" w:lineRule="auto" w:before="55"/>
        <w:ind w:right="1132" w:firstLine="360"/>
        <w:jc w:val="both"/>
      </w:pPr>
      <w:r>
        <w:rPr>
          <w:spacing w:val="-2"/>
        </w:rPr>
        <w:t>近年来，市场需求对超纤产品的性能也提出了更新、更高的要求。因此，对现有超纤产品的更新或升级换代，不断提高</w:t>
      </w:r>
      <w:r>
        <w:rPr/>
        <w:t> </w:t>
      </w:r>
      <w:r>
        <w:rPr>
          <w:spacing w:val="-2"/>
        </w:rPr>
        <w:t>超纤产品的性能，增加品种，赋予其一种或多种必要的功能性，使其越发接近天然皮革的性能或优于天然皮革。这方面，对</w:t>
      </w:r>
      <w:r>
        <w:rPr>
          <w:spacing w:val="-66"/>
        </w:rPr>
        <w:t> </w:t>
      </w:r>
      <w:r>
        <w:rPr>
          <w:spacing w:val="-66"/>
        </w:rPr>
      </w:r>
      <w:r>
        <w:rPr/>
        <w:t>生产工艺、技术水平、新的应用领域的拓展都提出了更高的要求。</w:t>
      </w:r>
    </w:p>
    <w:p>
      <w:pPr>
        <w:pStyle w:val="BodyText"/>
        <w:spacing w:line="240" w:lineRule="auto" w:before="58"/>
        <w:ind w:left="1494" w:right="0"/>
        <w:jc w:val="left"/>
      </w:pPr>
      <w:r>
        <w:rPr>
          <w:rFonts w:ascii="Times New Roman" w:hAnsi="Times New Roman" w:cs="Times New Roman" w:eastAsia="Times New Roman" w:hint="default"/>
        </w:rPr>
        <w:t>2</w:t>
      </w:r>
      <w:r>
        <w:rPr/>
        <w:t>、威富通所处行业发展趋势</w:t>
      </w:r>
    </w:p>
    <w:p>
      <w:pPr>
        <w:pStyle w:val="BodyText"/>
        <w:spacing w:line="309" w:lineRule="auto" w:before="101"/>
        <w:ind w:right="1126" w:firstLine="360"/>
        <w:jc w:val="left"/>
      </w:pPr>
      <w:r>
        <w:rPr/>
        <w:t>根据中国证监会 </w:t>
      </w:r>
      <w:r>
        <w:rPr>
          <w:rFonts w:ascii="Times New Roman" w:hAnsi="Times New Roman" w:cs="Times New Roman" w:eastAsia="Times New Roman" w:hint="default"/>
        </w:rPr>
        <w:t>2012</w:t>
      </w:r>
      <w:r>
        <w:rPr>
          <w:rFonts w:ascii="Times New Roman" w:hAnsi="Times New Roman" w:cs="Times New Roman" w:eastAsia="Times New Roman" w:hint="default"/>
          <w:spacing w:val="-18"/>
        </w:rPr>
        <w:t> </w:t>
      </w:r>
      <w:r>
        <w:rPr>
          <w:spacing w:val="-6"/>
        </w:rPr>
        <w:t>年发布的《上市公司行业分类指引》，威富通所处行业属于软件和信息技术服务业（</w:t>
      </w:r>
      <w:r>
        <w:rPr>
          <w:rFonts w:ascii="Times New Roman" w:hAnsi="Times New Roman" w:cs="Times New Roman" w:eastAsia="Times New Roman" w:hint="default"/>
          <w:spacing w:val="-6"/>
        </w:rPr>
        <w:t>I65</w:t>
      </w:r>
      <w:r>
        <w:rPr>
          <w:spacing w:val="-6"/>
        </w:rPr>
        <w:t>）。威富通</w:t>
      </w:r>
      <w:r>
        <w:rPr/>
        <w:t> </w:t>
      </w:r>
      <w:r>
        <w:rPr>
          <w:spacing w:val="-2"/>
        </w:rPr>
        <w:t>作为移动支付领域的云服务技术提供商及增值业务服务商，一方面处于第三方移动支付产业链中，其发展得益于行业近年来</w:t>
      </w:r>
      <w:r>
        <w:rPr>
          <w:spacing w:val="-64"/>
        </w:rPr>
        <w:t> </w:t>
      </w:r>
      <w:r>
        <w:rPr>
          <w:spacing w:val="-64"/>
        </w:rPr>
      </w:r>
      <w:r>
        <w:rPr/>
        <w:t>的爆发式增长。另一方面，威富通同时属于行业垂直型</w:t>
      </w:r>
      <w:r>
        <w:rPr>
          <w:spacing w:val="-46"/>
        </w:rPr>
        <w:t> </w:t>
      </w:r>
      <w:r>
        <w:rPr>
          <w:rFonts w:ascii="Times New Roman" w:hAnsi="Times New Roman" w:cs="Times New Roman" w:eastAsia="Times New Roman" w:hint="default"/>
        </w:rPr>
        <w:t>SaaS</w:t>
      </w:r>
      <w:r>
        <w:rPr/>
        <w:t>，通过自主研发的移动支付云平台软件系统为银行、第三方移 动支付公司、终端商户等提供移动支付解决方案。因此威富通主营业务的发展不仅受到移动支付行业的影响，同时也受到 </w:t>
      </w:r>
      <w:r>
        <w:rPr>
          <w:rFonts w:ascii="Times New Roman" w:hAnsi="Times New Roman" w:cs="Times New Roman" w:eastAsia="Times New Roman" w:hint="default"/>
        </w:rPr>
        <w:t>SaaS</w:t>
      </w:r>
      <w:r>
        <w:rPr>
          <w:rFonts w:ascii="Times New Roman" w:hAnsi="Times New Roman" w:cs="Times New Roman" w:eastAsia="Times New Roman" w:hint="default"/>
          <w:spacing w:val="-2"/>
        </w:rPr>
        <w:t> </w:t>
      </w:r>
      <w:r>
        <w:rPr/>
        <w:t>行业的发展趋势与技术变迁的影响。</w:t>
      </w:r>
    </w:p>
    <w:p>
      <w:pPr>
        <w:pStyle w:val="BodyText"/>
        <w:spacing w:line="319" w:lineRule="auto" w:before="43"/>
        <w:ind w:right="0" w:firstLine="360"/>
        <w:jc w:val="left"/>
      </w:pPr>
      <w:r>
        <w:rPr>
          <w:spacing w:val="-2"/>
        </w:rPr>
        <w:t>移动支付技术服务行业受所服务客户所在行业的的周期影响，同社会整体的消费情况有着密不可分的关系。目前，移动</w:t>
      </w:r>
      <w:r>
        <w:rPr/>
        <w:t> </w:t>
      </w:r>
      <w:r>
        <w:rPr>
          <w:spacing w:val="-2"/>
        </w:rPr>
        <w:t>支付技术服务行业同移动支付行业基本保持一致，处于总体快速增长阶段。威富通作为移动支付领域的技术服务提供商，其</w:t>
      </w:r>
      <w:r>
        <w:rPr>
          <w:spacing w:val="-66"/>
        </w:rPr>
        <w:t> </w:t>
      </w:r>
      <w:r>
        <w:rPr>
          <w:spacing w:val="-66"/>
        </w:rPr>
      </w:r>
      <w:r>
        <w:rPr>
          <w:spacing w:val="-4"/>
        </w:rPr>
        <w:t>主要商业模式为银行模式，为银行及商户提供移动支付相关系统的开发和技术服务工作。鉴于该细分服务领域发展时间较短，</w:t>
      </w:r>
      <w:r>
        <w:rPr>
          <w:spacing w:val="-44"/>
        </w:rPr>
        <w:t> </w:t>
      </w:r>
      <w:r>
        <w:rPr>
          <w:spacing w:val="-44"/>
        </w:rPr>
      </w:r>
      <w:r>
        <w:rPr>
          <w:spacing w:val="-2"/>
        </w:rPr>
        <w:t>目前仅有少数公司小规模开展此类技术服务业务，市场上尚未存在规模较大的直接竞争对手。此外，由于威富通的先发优势</w:t>
      </w:r>
      <w:r>
        <w:rPr>
          <w:spacing w:val="-65"/>
        </w:rPr>
        <w:t> </w:t>
      </w:r>
      <w:r>
        <w:rPr>
          <w:spacing w:val="-65"/>
        </w:rPr>
      </w:r>
      <w:r>
        <w:rPr/>
        <w:t>和技术优势较为明显，威富通的在该细分市场的地位中短期内较难被撼动。</w:t>
      </w:r>
    </w:p>
    <w:p>
      <w:pPr>
        <w:pStyle w:val="BodyText"/>
        <w:spacing w:line="300" w:lineRule="auto" w:before="56"/>
        <w:ind w:right="1035" w:firstLine="360"/>
        <w:jc w:val="left"/>
      </w:pPr>
      <w:r>
        <w:rPr>
          <w:spacing w:val="-4"/>
        </w:rPr>
        <w:t>云计算的不断成熟，生态圈的逐步完善，以及云计算产业链的不断壮大都将推动</w:t>
      </w:r>
      <w:r>
        <w:rPr>
          <w:spacing w:val="-43"/>
        </w:rPr>
        <w:t> </w:t>
      </w:r>
      <w:r>
        <w:rPr>
          <w:rFonts w:ascii="Times New Roman" w:hAnsi="Times New Roman" w:cs="Times New Roman" w:eastAsia="Times New Roman" w:hint="default"/>
        </w:rPr>
        <w:t>SaaS</w:t>
      </w:r>
      <w:r>
        <w:rPr>
          <w:rFonts w:ascii="Times New Roman" w:hAnsi="Times New Roman" w:cs="Times New Roman" w:eastAsia="Times New Roman" w:hint="default"/>
          <w:spacing w:val="1"/>
        </w:rPr>
        <w:t> </w:t>
      </w:r>
      <w:r>
        <w:rPr>
          <w:spacing w:val="-8"/>
        </w:rPr>
        <w:t>服务快速发展。根据</w:t>
      </w:r>
      <w:r>
        <w:rPr>
          <w:spacing w:val="-44"/>
        </w:rPr>
        <w:t>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spacing w:val="-10"/>
        </w:rPr>
        <w:t>氪的《</w:t>
      </w:r>
      <w:r>
        <w:rPr>
          <w:rFonts w:ascii="Times New Roman" w:hAnsi="Times New Roman" w:cs="Times New Roman" w:eastAsia="Times New Roman" w:hint="default"/>
          <w:spacing w:val="-10"/>
        </w:rPr>
        <w:t>SaaS</w:t>
      </w:r>
      <w:r>
        <w:rPr>
          <w:rFonts w:ascii="Times New Roman" w:hAnsi="Times New Roman" w:cs="Times New Roman" w:eastAsia="Times New Roman" w:hint="default"/>
          <w:w w:val="99"/>
        </w:rPr>
        <w:t> </w:t>
      </w:r>
      <w:r>
        <w:rPr>
          <w:spacing w:val="-7"/>
        </w:rPr>
        <w:t>服务行业研究报告》，</w:t>
      </w:r>
      <w:r>
        <w:rPr>
          <w:rFonts w:ascii="Times New Roman" w:hAnsi="Times New Roman" w:cs="Times New Roman" w:eastAsia="Times New Roman" w:hint="default"/>
          <w:spacing w:val="-7"/>
        </w:rPr>
        <w:t>2015</w:t>
      </w:r>
      <w:r>
        <w:rPr>
          <w:rFonts w:ascii="Times New Roman" w:hAnsi="Times New Roman" w:cs="Times New Roman" w:eastAsia="Times New Roman" w:hint="default"/>
          <w:spacing w:val="-1"/>
        </w:rPr>
        <w:t> </w:t>
      </w:r>
      <w:r>
        <w:rPr/>
        <w:t>年我国云计算市场规模为</w:t>
      </w:r>
      <w:r>
        <w:rPr>
          <w:spacing w:val="-46"/>
        </w:rPr>
        <w:t> </w:t>
      </w:r>
      <w:r>
        <w:rPr>
          <w:rFonts w:ascii="Times New Roman" w:hAnsi="Times New Roman" w:cs="Times New Roman" w:eastAsia="Times New Roman" w:hint="default"/>
        </w:rPr>
        <w:t>637 </w:t>
      </w:r>
      <w:r>
        <w:rPr/>
        <w:t>亿元，同比增长</w:t>
      </w:r>
      <w:r>
        <w:rPr>
          <w:spacing w:val="-46"/>
        </w:rPr>
        <w:t> </w:t>
      </w:r>
      <w:r>
        <w:rPr>
          <w:rFonts w:ascii="Times New Roman" w:hAnsi="Times New Roman" w:cs="Times New Roman" w:eastAsia="Times New Roman" w:hint="default"/>
        </w:rPr>
        <w:t>25.1%</w:t>
      </w:r>
      <w:r>
        <w:rPr/>
        <w:t>；</w:t>
      </w:r>
      <w:r>
        <w:rPr>
          <w:rFonts w:ascii="Times New Roman" w:hAnsi="Times New Roman" w:cs="Times New Roman" w:eastAsia="Times New Roman" w:hint="default"/>
        </w:rPr>
        <w:t>2015-2018</w:t>
      </w:r>
      <w:r>
        <w:rPr>
          <w:rFonts w:ascii="Times New Roman" w:hAnsi="Times New Roman" w:cs="Times New Roman" w:eastAsia="Times New Roman" w:hint="default"/>
          <w:spacing w:val="-1"/>
        </w:rPr>
        <w:t> </w:t>
      </w:r>
      <w:r>
        <w:rPr/>
        <w:t>年的市场规模复合增长率预计</w:t>
      </w:r>
      <w:r>
        <w:rPr>
          <w:spacing w:val="-87"/>
        </w:rPr>
        <w:t> </w:t>
      </w:r>
      <w:r>
        <w:rPr/>
        <w:t>为</w:t>
      </w:r>
      <w:r>
        <w:rPr>
          <w:spacing w:val="-63"/>
        </w:rPr>
        <w:t> </w:t>
      </w:r>
      <w:r>
        <w:rPr>
          <w:rFonts w:ascii="Times New Roman" w:hAnsi="Times New Roman" w:cs="Times New Roman" w:eastAsia="Times New Roman" w:hint="default"/>
        </w:rPr>
        <w:t>22.2%</w:t>
      </w:r>
      <w:r>
        <w:rPr/>
        <w:t>。随着互联网的进一步普及，企业信息化与网络化程度的不断加深，预计未来企业对</w:t>
      </w:r>
      <w:r>
        <w:rPr>
          <w:spacing w:val="-62"/>
        </w:rPr>
        <w:t> </w:t>
      </w:r>
      <w:r>
        <w:rPr>
          <w:rFonts w:ascii="Times New Roman" w:hAnsi="Times New Roman" w:cs="Times New Roman" w:eastAsia="Times New Roman" w:hint="default"/>
        </w:rPr>
        <w:t>SaaS</w:t>
      </w:r>
      <w:r>
        <w:rPr>
          <w:rFonts w:ascii="Times New Roman" w:hAnsi="Times New Roman" w:cs="Times New Roman" w:eastAsia="Times New Roman" w:hint="default"/>
          <w:spacing w:val="-17"/>
        </w:rPr>
        <w:t> </w:t>
      </w:r>
      <w:r>
        <w:rPr/>
        <w:t>服务的需求将不断扩大， </w:t>
      </w:r>
      <w:r>
        <w:rPr>
          <w:rFonts w:ascii="Times New Roman" w:hAnsi="Times New Roman" w:cs="Times New Roman" w:eastAsia="Times New Roman" w:hint="default"/>
        </w:rPr>
        <w:t>SaaS</w:t>
      </w:r>
      <w:r>
        <w:rPr>
          <w:rFonts w:ascii="Times New Roman" w:hAnsi="Times New Roman" w:cs="Times New Roman" w:eastAsia="Times New Roman" w:hint="default"/>
          <w:spacing w:val="-2"/>
        </w:rPr>
        <w:t> </w:t>
      </w:r>
      <w:r>
        <w:rPr/>
        <w:t>服务长尾市场的潜在发展空间巨大。</w:t>
      </w:r>
    </w:p>
    <w:p>
      <w:pPr>
        <w:pStyle w:val="BodyText"/>
        <w:spacing w:line="240" w:lineRule="auto" w:before="52"/>
        <w:ind w:left="1493" w:right="0"/>
        <w:jc w:val="left"/>
      </w:pPr>
      <w:r>
        <w:rPr/>
        <w:t>（二）公司未来发展战略规划及</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年经营计划</w:t>
      </w:r>
    </w:p>
    <w:p>
      <w:pPr>
        <w:pStyle w:val="BodyText"/>
        <w:spacing w:line="338" w:lineRule="auto" w:before="102"/>
        <w:ind w:left="1494" w:right="0"/>
        <w:jc w:val="left"/>
      </w:pPr>
      <w:r>
        <w:rPr>
          <w:rFonts w:ascii="Times New Roman" w:hAnsi="Times New Roman" w:cs="Times New Roman" w:eastAsia="Times New Roman" w:hint="default"/>
        </w:rPr>
        <w:t>1</w:t>
      </w:r>
      <w:r>
        <w:rPr/>
        <w:t>、上市公司方面 </w:t>
      </w:r>
      <w:r>
        <w:rPr>
          <w:spacing w:val="-2"/>
        </w:rPr>
        <w:t>根据公司中长期发展战略，</w:t>
      </w:r>
      <w:r>
        <w:rPr>
          <w:rFonts w:ascii="Times New Roman" w:hAnsi="Times New Roman" w:cs="Times New Roman" w:eastAsia="Times New Roman" w:hint="default"/>
          <w:spacing w:val="-2"/>
        </w:rPr>
        <w:t>“</w:t>
      </w:r>
      <w:r>
        <w:rPr>
          <w:spacing w:val="-2"/>
        </w:rPr>
        <w:t>产业发展是基础，管理是发展的保障，人才是发展的支撑</w:t>
      </w:r>
      <w:r>
        <w:rPr>
          <w:rFonts w:ascii="Times New Roman" w:hAnsi="Times New Roman" w:cs="Times New Roman" w:eastAsia="Times New Roman" w:hint="default"/>
          <w:spacing w:val="-2"/>
        </w:rPr>
        <w:t>”</w:t>
      </w:r>
      <w:r>
        <w:rPr>
          <w:spacing w:val="-2"/>
        </w:rPr>
        <w:t>，公司将持续加大品牌投入，提</w:t>
      </w:r>
    </w:p>
    <w:p>
      <w:pPr>
        <w:pStyle w:val="BodyText"/>
        <w:spacing w:line="217" w:lineRule="exact"/>
        <w:ind w:right="0"/>
        <w:jc w:val="left"/>
      </w:pPr>
      <w:r>
        <w:rPr/>
        <w:t>升研发能力和自主创新能力，并打造高素质、高效率的人员团队，严格贯彻执行公司的发展战略。同时，抓住国家产业升级</w:t>
      </w:r>
    </w:p>
    <w:p>
      <w:pPr>
        <w:pStyle w:val="BodyText"/>
        <w:spacing w:line="338" w:lineRule="auto" w:before="78"/>
        <w:ind w:left="1493" w:right="0" w:hanging="360"/>
        <w:jc w:val="left"/>
      </w:pPr>
      <w:r>
        <w:rPr/>
        <w:t>的有利时机和</w:t>
      </w:r>
      <w:r>
        <w:rPr>
          <w:rFonts w:ascii="Times New Roman" w:hAnsi="Times New Roman" w:cs="Times New Roman" w:eastAsia="Times New Roman" w:hint="default"/>
        </w:rPr>
        <w:t>“</w:t>
      </w:r>
      <w:r>
        <w:rPr/>
        <w:t>中国制造</w:t>
      </w:r>
      <w:r>
        <w:rPr>
          <w:spacing w:val="-46"/>
        </w:rPr>
        <w:t> </w:t>
      </w:r>
      <w:r>
        <w:rPr>
          <w:rFonts w:ascii="Times New Roman" w:hAnsi="Times New Roman" w:cs="Times New Roman" w:eastAsia="Times New Roman" w:hint="default"/>
        </w:rPr>
        <w:t>2025”</w:t>
      </w:r>
      <w:r>
        <w:rPr/>
        <w:t>的国家制造业蓝图，进一步完善产业布局，继续做大做强超纤材料产业。 </w:t>
      </w:r>
      <w:r>
        <w:rPr>
          <w:spacing w:val="-2"/>
        </w:rPr>
        <w:t>公司将继续扩量，巩固市场话语权，同时技术赶超，拓展产品应用领域；控制毛利，避免无序竞争；提升品牌，打造行</w:t>
      </w:r>
    </w:p>
    <w:p>
      <w:pPr>
        <w:pStyle w:val="BodyText"/>
        <w:spacing w:line="240" w:lineRule="auto" w:before="4"/>
        <w:ind w:right="0"/>
        <w:jc w:val="left"/>
      </w:pPr>
      <w:r>
        <w:rPr/>
        <w:t>业领导者。</w:t>
      </w:r>
    </w:p>
    <w:p>
      <w:pPr>
        <w:pStyle w:val="BodyText"/>
        <w:spacing w:line="240" w:lineRule="auto" w:before="116"/>
        <w:ind w:left="1494" w:right="0"/>
        <w:jc w:val="left"/>
      </w:pPr>
      <w:r>
        <w:rPr/>
        <w:t>在</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年及今后一阶段，公司将根据发展战略的目标，着重抓好以下几项工作：</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2" w:lineRule="auto" w:before="44"/>
        <w:ind w:left="1134" w:right="1141" w:firstLine="360"/>
        <w:jc w:val="both"/>
      </w:pPr>
      <w:r>
        <w:rPr/>
        <w:t>（</w:t>
      </w:r>
      <w:r>
        <w:rPr>
          <w:rFonts w:ascii="Times New Roman" w:hAnsi="Times New Roman" w:cs="Times New Roman" w:eastAsia="Times New Roman" w:hint="default"/>
        </w:rPr>
        <w:t>1</w:t>
      </w:r>
      <w:r>
        <w:rPr/>
        <w:t>）抓经营，促效益。公司将深入开展管理提升活动，着重抓落实，向管理要效率、要效益。按计划推进启东项目， 确保如期投产及产能释放。</w:t>
      </w:r>
    </w:p>
    <w:p>
      <w:pPr>
        <w:pStyle w:val="BodyText"/>
        <w:spacing w:line="302" w:lineRule="auto" w:before="68"/>
        <w:ind w:left="1134" w:right="1141" w:firstLine="360"/>
        <w:jc w:val="both"/>
      </w:pPr>
      <w:r>
        <w:rPr/>
        <w:t>（</w:t>
      </w:r>
      <w:r>
        <w:rPr>
          <w:rFonts w:ascii="Times New Roman" w:hAnsi="Times New Roman" w:cs="Times New Roman" w:eastAsia="Times New Roman" w:hint="default"/>
        </w:rPr>
        <w:t>2</w:t>
      </w:r>
      <w:r>
        <w:rPr/>
        <w:t>）谋创新，促发展。一方面，在技术上持续创新，高效、保质、保量推进重点项目的开发，优化产品结构，增强企 业综合竞争力。另一方面，在商业模式创新上积极探索，找到企业发展的突破口。</w:t>
      </w:r>
    </w:p>
    <w:p>
      <w:pPr>
        <w:pStyle w:val="BodyText"/>
        <w:spacing w:line="302" w:lineRule="auto" w:before="69"/>
        <w:ind w:left="1134" w:right="1042" w:firstLine="360"/>
        <w:jc w:val="both"/>
      </w:pPr>
      <w:r>
        <w:rPr/>
        <w:t>（</w:t>
      </w:r>
      <w:r>
        <w:rPr>
          <w:rFonts w:ascii="Times New Roman" w:hAnsi="Times New Roman" w:cs="Times New Roman" w:eastAsia="Times New Roman" w:hint="default"/>
        </w:rPr>
        <w:t>3</w:t>
      </w:r>
      <w:r>
        <w:rPr/>
        <w:t>）多举措，降成本。通过加强营销管理、资金管理、技术改造、产品质量管理、产品结构优化等多种举措，将降本 </w:t>
      </w:r>
      <w:r>
        <w:rPr>
          <w:spacing w:val="-4"/>
        </w:rPr>
        <w:t>增效逐项分解，落实到全员、全过程中去，抓紧、抓好、抓出实效，并由此实现企业效益、管理水平和管理能力的全面提升。</w:t>
      </w:r>
    </w:p>
    <w:p>
      <w:pPr>
        <w:pStyle w:val="BodyText"/>
        <w:spacing w:line="309" w:lineRule="auto" w:before="68"/>
        <w:ind w:left="1134" w:right="1131" w:firstLine="360"/>
        <w:jc w:val="both"/>
      </w:pPr>
      <w:r>
        <w:rPr/>
        <w:t>（</w:t>
      </w:r>
      <w:r>
        <w:rPr>
          <w:rFonts w:ascii="Times New Roman" w:hAnsi="Times New Roman" w:cs="Times New Roman" w:eastAsia="Times New Roman" w:hint="default"/>
        </w:rPr>
        <w:t>4</w:t>
      </w:r>
      <w:r>
        <w:rPr/>
        <w:t>）聚人才，兴企业。培养一批熟悉市场经济规律、具有较强管理能力的经营管理人才，造就一批技术过硬、善于解 </w:t>
      </w:r>
      <w:r>
        <w:rPr>
          <w:spacing w:val="-2"/>
        </w:rPr>
        <w:t>决技术难题的技术能手，加强拔尖技能人才梯队建设，培养一支爱岗敬业、技能精湛的技能人才队伍，不断提高全员的工作</w:t>
      </w:r>
      <w:r>
        <w:rPr>
          <w:spacing w:val="-66"/>
        </w:rPr>
        <w:t> </w:t>
      </w:r>
      <w:r>
        <w:rPr>
          <w:spacing w:val="-66"/>
        </w:rPr>
      </w:r>
      <w:r>
        <w:rPr/>
        <w:t>效率。完善用人机制，优化人力资源配置，以人为本，实现企业和员工共同健康、快速、和谐发展。</w:t>
      </w:r>
    </w:p>
    <w:p>
      <w:pPr>
        <w:pStyle w:val="BodyText"/>
        <w:spacing w:line="240" w:lineRule="auto" w:before="64"/>
        <w:ind w:left="1493" w:right="0"/>
        <w:jc w:val="left"/>
      </w:pPr>
      <w:r>
        <w:rPr/>
        <w:t>（</w:t>
      </w:r>
      <w:r>
        <w:rPr>
          <w:rFonts w:ascii="Times New Roman" w:hAnsi="Times New Roman" w:cs="Times New Roman" w:eastAsia="Times New Roman" w:hint="default"/>
        </w:rPr>
        <w:t>5</w:t>
      </w:r>
      <w:r>
        <w:rPr/>
        <w:t>）将威富通纳入公司战略规划，合理配置资源，发挥相互之间的协同效应。</w:t>
      </w:r>
    </w:p>
    <w:p>
      <w:pPr>
        <w:pStyle w:val="BodyText"/>
        <w:spacing w:line="338" w:lineRule="auto" w:before="103"/>
        <w:ind w:left="1493" w:right="1118"/>
        <w:jc w:val="left"/>
      </w:pPr>
      <w:r>
        <w:rPr>
          <w:rFonts w:ascii="Times New Roman" w:hAnsi="Times New Roman" w:cs="Times New Roman" w:eastAsia="Times New Roman" w:hint="default"/>
        </w:rPr>
        <w:t>2</w:t>
      </w:r>
      <w:r>
        <w:rPr/>
        <w:t>、威富通方面 </w:t>
      </w:r>
      <w:r>
        <w:rPr>
          <w:spacing w:val="-2"/>
        </w:rPr>
        <w:t>移动支付软件服务业作为新兴产业，拥有强劲的增长潜力，发展前景极为广阔。与此同时，该行业具有发展迅速、技术</w:t>
      </w:r>
    </w:p>
    <w:p>
      <w:pPr>
        <w:pStyle w:val="BodyText"/>
        <w:spacing w:line="319" w:lineRule="auto" w:before="2"/>
        <w:ind w:right="1131"/>
        <w:jc w:val="both"/>
      </w:pPr>
      <w:r>
        <w:rPr>
          <w:spacing w:val="-2"/>
        </w:rPr>
        <w:t>更新迭代较快、技术要求高的特点，行业技术和业务模式的发展日新月异，客户对于服务的认识和要求也在不断提高，国内</w:t>
      </w:r>
      <w:r>
        <w:rPr>
          <w:spacing w:val="-66"/>
        </w:rPr>
        <w:t> </w:t>
      </w:r>
      <w:r>
        <w:rPr>
          <w:spacing w:val="-66"/>
        </w:rPr>
      </w:r>
      <w:r>
        <w:rPr>
          <w:spacing w:val="-2"/>
        </w:rPr>
        <w:t>和国际许多公司正在加快进入相关领域，行业新入者、竞争者频现。虽然目前，威富通在移动支付软件服务行业具有品牌影</w:t>
      </w:r>
      <w:r>
        <w:rPr>
          <w:spacing w:val="-66"/>
        </w:rPr>
        <w:t> </w:t>
      </w:r>
      <w:r>
        <w:rPr>
          <w:spacing w:val="-66"/>
        </w:rPr>
      </w:r>
      <w:r>
        <w:rPr>
          <w:spacing w:val="-2"/>
        </w:rPr>
        <w:t>响力，是细分行业内的优势企业，在移动支付软件服务业方面具有技术优势。但为增强威富通在行业内的优势地位，威富通</w:t>
      </w:r>
      <w:r>
        <w:rPr>
          <w:spacing w:val="-66"/>
        </w:rPr>
        <w:t> </w:t>
      </w:r>
      <w:r>
        <w:rPr>
          <w:spacing w:val="-66"/>
        </w:rPr>
      </w:r>
      <w:r>
        <w:rPr>
          <w:spacing w:val="-2"/>
        </w:rPr>
        <w:t>将持续提升其技术水平、引进优秀人才、拓展优质客户、扩大业务规模、增强资本实力和抗风险能力、准确把握移动支付软</w:t>
      </w:r>
      <w:r>
        <w:rPr>
          <w:spacing w:val="-66"/>
        </w:rPr>
        <w:t> </w:t>
      </w:r>
      <w:r>
        <w:rPr>
          <w:spacing w:val="-66"/>
        </w:rPr>
      </w:r>
      <w:r>
        <w:rPr/>
        <w:t>件服务行业的发展趋势和客户对其需求的变化，保持对客户持续的吸引力。</w:t>
      </w:r>
    </w:p>
    <w:p>
      <w:pPr>
        <w:spacing w:line="240" w:lineRule="auto" w:before="6"/>
        <w:rPr>
          <w:rFonts w:ascii="宋体" w:hAnsi="宋体" w:cs="宋体" w:eastAsia="宋体" w:hint="default"/>
          <w:sz w:val="20"/>
          <w:szCs w:val="20"/>
        </w:rPr>
      </w:pPr>
    </w:p>
    <w:p>
      <w:pPr>
        <w:pStyle w:val="Heading2"/>
        <w:spacing w:line="240" w:lineRule="auto"/>
        <w:ind w:right="0"/>
        <w:jc w:val="both"/>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22"/>
              <w:jc w:val="right"/>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3" w:right="78"/>
              <w:jc w:val="left"/>
              <w:rPr>
                <w:rFonts w:ascii="Times New Roman" w:hAnsi="Times New Roman" w:cs="Times New Roman" w:eastAsia="Times New Roman" w:hint="default"/>
                <w:sz w:val="18"/>
                <w:szCs w:val="18"/>
              </w:rPr>
            </w:pPr>
            <w:hyperlink r:id="rId13">
              <w:r>
                <w:rPr>
                  <w:rFonts w:ascii="Times New Roman"/>
                  <w:sz w:val="18"/>
                </w:rPr>
                <w:t>http://irm.cninfo.com.cn/ssessgs/S30018</w:t>
              </w:r>
            </w:hyperlink>
            <w:r>
              <w:rPr>
                <w:rFonts w:ascii="Times New Roman"/>
                <w:w w:val="99"/>
                <w:sz w:val="18"/>
              </w:rPr>
              <w:t> </w:t>
            </w:r>
            <w:r>
              <w:rPr>
                <w:rFonts w:ascii="Times New Roman"/>
                <w:sz w:val="18"/>
              </w:rPr>
              <w:t>0/index.html</w:t>
            </w:r>
          </w:p>
        </w:tc>
      </w:tr>
    </w:tbl>
    <w:p>
      <w:pPr>
        <w:spacing w:after="0" w:line="362"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_TOC_250007" w:id="61"/>
      <w:bookmarkStart w:name="第五节 重要事项" w:id="62"/>
      <w:r>
        <w:rPr>
          <w:b w:val="0"/>
          <w:bCs w:val="0"/>
        </w:rPr>
      </w:r>
      <w:r>
        <w:rPr/>
        <w:t>第五节</w:t>
      </w:r>
      <w:r>
        <w:rPr>
          <w:spacing w:val="-5"/>
        </w:rPr>
        <w:t> </w:t>
      </w:r>
      <w:r>
        <w:rPr/>
        <w:t>重要事项</w:t>
      </w:r>
      <w:bookmarkEnd w:id="61"/>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38" w:lineRule="auto" w:before="117"/>
        <w:ind w:right="30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公司报告期利润分配预案及资本公积金转增股本预案与公司章程和分红管理办法等的相关规定一致</w:t>
      </w:r>
    </w:p>
    <w:p>
      <w:pPr>
        <w:pStyle w:val="BodyText"/>
        <w:spacing w:line="348" w:lineRule="auto" w:before="42"/>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ind w:left="0" w:right="1140"/>
        <w:jc w:val="right"/>
      </w:pPr>
      <w:r>
        <w:rPr/>
        <w:pict>
          <v:shape style="position:absolute;margin-left:56.459999pt;margin-top:-204.128281pt;width:479.2pt;height:299.7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6"/>
                    <w:gridCol w:w="5863"/>
                  </w:tblGrid>
                  <w:tr>
                    <w:trPr>
                      <w:trHeight w:val="403"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631,019,839</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31,550,991.95</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239,473,470.73</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96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5"/>
                          <w:jc w:val="left"/>
                          <w:rPr>
                            <w:rFonts w:ascii="宋体" w:hAnsi="宋体" w:cs="宋体" w:eastAsia="宋体" w:hint="default"/>
                            <w:sz w:val="18"/>
                            <w:szCs w:val="18"/>
                          </w:rPr>
                        </w:pPr>
                        <w:r>
                          <w:rPr>
                            <w:rFonts w:ascii="宋体" w:hAnsi="宋体" w:cs="宋体" w:eastAsia="宋体" w:hint="default"/>
                            <w:spacing w:val="-5"/>
                            <w:sz w:val="18"/>
                            <w:szCs w:val="18"/>
                          </w:rPr>
                          <w:t>经立信会计师事务所（特殊普通合伙）审计，</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年度公司合并报表实现归属于母公司所有者的净利润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249,291,729.69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1"/>
                            <w:sz w:val="18"/>
                            <w:szCs w:val="18"/>
                          </w:rPr>
                          <w:t> </w:t>
                        </w:r>
                        <w:r>
                          <w:rPr>
                            <w:rFonts w:ascii="宋体" w:hAnsi="宋体" w:cs="宋体" w:eastAsia="宋体" w:hint="default"/>
                            <w:sz w:val="18"/>
                            <w:szCs w:val="18"/>
                          </w:rPr>
                          <w:t>母公司按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9,818,258.96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后，当年实现的可分配利润为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239,473,470.73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年末累计未分配利润 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820,462,519.05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元。考虑到公司近几年处于发展期，在符合利润分配原则、保证公司的可持续性发展，兼顾股东的即期</w:t>
                        </w:r>
                      </w:p>
                      <w:p>
                        <w:pPr>
                          <w:pStyle w:val="TableParagraph"/>
                          <w:spacing w:line="240" w:lineRule="auto" w:before="1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利益和长远利益，公司特提出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年度利润分配预案为：以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年末的总股本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631,019,839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股派发现金股利人民币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，合计派发现金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31,550,991.95 </w:t>
                        </w:r>
                        <w:r>
                          <w:rPr>
                            <w:rFonts w:ascii="宋体" w:hAnsi="宋体" w:cs="宋体" w:eastAsia="宋体" w:hint="default"/>
                            <w:sz w:val="18"/>
                            <w:szCs w:val="18"/>
                          </w:rPr>
                          <w:t>元，</w:t>
                        </w:r>
                        <w:r>
                          <w:rPr>
                            <w:rFonts w:ascii="宋体" w:hAnsi="宋体" w:cs="宋体" w:eastAsia="宋体" w:hint="default"/>
                            <w:spacing w:val="-2"/>
                            <w:sz w:val="18"/>
                            <w:szCs w:val="18"/>
                          </w:rPr>
                          <w:t>剩</w:t>
                        </w:r>
                        <w:r>
                          <w:rPr>
                            <w:rFonts w:ascii="宋体" w:hAnsi="宋体" w:cs="宋体" w:eastAsia="宋体" w:hint="default"/>
                            <w:sz w:val="18"/>
                            <w:szCs w:val="18"/>
                          </w:rPr>
                          <w:t>余未分配利润结转下一年度。同时，以资本公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积金向全体股东每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股，共计转增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504,815,871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股，转增后公司总股本将增加至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1,135,835,710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40" w:lineRule="auto" w:before="44"/>
        <w:ind w:left="113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00" w:lineRule="auto" w:before="101"/>
        <w:ind w:right="1130" w:firstLine="290"/>
        <w:jc w:val="both"/>
      </w:pPr>
      <w:r>
        <w:rPr>
          <w:rFonts w:ascii="Times New Roman" w:hAnsi="Times New Roman" w:cs="Times New Roman" w:eastAsia="Times New Roman" w:hint="default"/>
          <w:spacing w:val="-1"/>
        </w:rPr>
        <w:t>2015</w:t>
      </w:r>
      <w:r>
        <w:rPr>
          <w:spacing w:val="-1"/>
        </w:rPr>
        <w:t>年度公司合并报表实现归属于母公司所有者的净利润</w:t>
      </w:r>
      <w:r>
        <w:rPr>
          <w:rFonts w:ascii="Times New Roman" w:hAnsi="Times New Roman" w:cs="Times New Roman" w:eastAsia="Times New Roman" w:hint="default"/>
          <w:spacing w:val="-1"/>
        </w:rPr>
        <w:t>118,936,497.53</w:t>
      </w:r>
      <w:r>
        <w:rPr>
          <w:spacing w:val="-1"/>
        </w:rPr>
        <w:t>元，按</w:t>
      </w:r>
      <w:r>
        <w:rPr>
          <w:rFonts w:ascii="Times New Roman" w:hAnsi="Times New Roman" w:cs="Times New Roman" w:eastAsia="Times New Roman" w:hint="default"/>
          <w:spacing w:val="-1"/>
        </w:rPr>
        <w:t>10%</w:t>
      </w:r>
      <w:r>
        <w:rPr>
          <w:spacing w:val="-1"/>
        </w:rPr>
        <w:t>提取法定盈余公积后，当年实现的可</w:t>
      </w:r>
      <w:r>
        <w:rPr/>
        <w:t> 分配利润为</w:t>
      </w:r>
      <w:r>
        <w:rPr>
          <w:rFonts w:ascii="Times New Roman" w:hAnsi="Times New Roman" w:cs="Times New Roman" w:eastAsia="Times New Roman" w:hint="default"/>
        </w:rPr>
        <w:t>107,042,847.78</w:t>
      </w:r>
      <w:r>
        <w:rPr/>
        <w:t>元，</w:t>
      </w:r>
      <w:r>
        <w:rPr>
          <w:rFonts w:ascii="Times New Roman" w:hAnsi="Times New Roman" w:cs="Times New Roman" w:eastAsia="Times New Roman" w:hint="default"/>
        </w:rPr>
        <w:t>2015</w:t>
      </w:r>
      <w:r>
        <w:rPr/>
        <w:t>年末累计未分配利润为</w:t>
      </w:r>
      <w:r>
        <w:rPr>
          <w:rFonts w:ascii="Times New Roman" w:hAnsi="Times New Roman" w:cs="Times New Roman" w:eastAsia="Times New Roman" w:hint="default"/>
        </w:rPr>
        <w:t>520,827,212.30</w:t>
      </w:r>
      <w:r>
        <w:rPr/>
        <w:t>元。考虑到公司近几年属成长期且有重大资金支出 安排，董事会提议</w:t>
      </w:r>
      <w:r>
        <w:rPr>
          <w:rFonts w:ascii="Times New Roman" w:hAnsi="Times New Roman" w:cs="Times New Roman" w:eastAsia="Times New Roman" w:hint="default"/>
        </w:rPr>
        <w:t>2015</w:t>
      </w:r>
      <w:r>
        <w:rPr/>
        <w:t>年度利润分配预案为：拟以公司董事会召开日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日总股本</w:t>
      </w:r>
      <w:r>
        <w:rPr>
          <w:rFonts w:ascii="Times New Roman" w:hAnsi="Times New Roman" w:cs="Times New Roman" w:eastAsia="Times New Roman" w:hint="default"/>
        </w:rPr>
        <w:t>475,000,000</w:t>
      </w:r>
      <w:r>
        <w:rPr/>
        <w:t>股为基数，每</w:t>
      </w:r>
      <w:r>
        <w:rPr>
          <w:rFonts w:ascii="Times New Roman" w:hAnsi="Times New Roman" w:cs="Times New Roman" w:eastAsia="Times New Roman" w:hint="default"/>
        </w:rPr>
        <w:t>10</w:t>
      </w:r>
      <w:r>
        <w:rPr/>
        <w:t>股派</w:t>
      </w:r>
      <w:r>
        <w:rPr>
          <w:spacing w:val="-85"/>
        </w:rPr>
        <w:t> </w:t>
      </w:r>
      <w:r>
        <w:rPr/>
        <w:t>送</w:t>
      </w:r>
      <w:r>
        <w:rPr>
          <w:rFonts w:ascii="Times New Roman" w:hAnsi="Times New Roman" w:cs="Times New Roman" w:eastAsia="Times New Roman" w:hint="default"/>
        </w:rPr>
        <w:t>0.30</w:t>
      </w:r>
      <w:r>
        <w:rPr/>
        <w:t>元（含税）现金股利，合计</w:t>
      </w:r>
      <w:r>
        <w:rPr>
          <w:rFonts w:ascii="Times New Roman" w:hAnsi="Times New Roman" w:cs="Times New Roman" w:eastAsia="Times New Roman" w:hint="default"/>
        </w:rPr>
        <w:t>14,250,000.00</w:t>
      </w:r>
      <w:r>
        <w:rPr/>
        <w:t>元。以上利润分配方案已实施完毕。</w:t>
      </w:r>
    </w:p>
    <w:p>
      <w:pPr>
        <w:pStyle w:val="BodyText"/>
        <w:spacing w:line="300" w:lineRule="auto" w:before="13"/>
        <w:ind w:right="1034" w:firstLine="290"/>
        <w:jc w:val="left"/>
      </w:pPr>
      <w:r>
        <w:rPr>
          <w:rFonts w:ascii="Times New Roman" w:hAnsi="Times New Roman" w:cs="Times New Roman" w:eastAsia="Times New Roman" w:hint="default"/>
        </w:rPr>
        <w:t>2016</w:t>
      </w:r>
      <w:r>
        <w:rPr/>
        <w:t>年度公司合并报表实现归属于母公司所有者的净利润</w:t>
      </w:r>
      <w:r>
        <w:rPr>
          <w:rFonts w:ascii="Times New Roman" w:hAnsi="Times New Roman" w:cs="Times New Roman" w:eastAsia="Times New Roman" w:hint="default"/>
        </w:rPr>
        <w:t>100,548,129.90</w:t>
      </w:r>
      <w:r>
        <w:rPr/>
        <w:t>元，按</w:t>
      </w:r>
      <w:r>
        <w:rPr>
          <w:rFonts w:ascii="Times New Roman" w:hAnsi="Times New Roman" w:cs="Times New Roman" w:eastAsia="Times New Roman" w:hint="default"/>
        </w:rPr>
        <w:t>10%</w:t>
      </w:r>
      <w:r>
        <w:rPr/>
        <w:t>提取法定盈余公积后，当年实现的可 </w:t>
      </w:r>
      <w:r>
        <w:rPr>
          <w:spacing w:val="-2"/>
        </w:rPr>
        <w:t>分配利润为</w:t>
      </w:r>
      <w:r>
        <w:rPr>
          <w:rFonts w:ascii="Times New Roman" w:hAnsi="Times New Roman" w:cs="Times New Roman" w:eastAsia="Times New Roman" w:hint="default"/>
          <w:spacing w:val="-2"/>
        </w:rPr>
        <w:t>90,493,316.91</w:t>
      </w:r>
      <w:r>
        <w:rPr>
          <w:spacing w:val="-2"/>
        </w:rPr>
        <w:t>元，</w:t>
      </w:r>
      <w:r>
        <w:rPr>
          <w:rFonts w:ascii="Times New Roman" w:hAnsi="Times New Roman" w:cs="Times New Roman" w:eastAsia="Times New Roman" w:hint="default"/>
          <w:spacing w:val="-2"/>
        </w:rPr>
        <w:t>2016</w:t>
      </w:r>
      <w:r>
        <w:rPr>
          <w:spacing w:val="-2"/>
        </w:rPr>
        <w:t>年末累计未分配利润为</w:t>
      </w:r>
      <w:r>
        <w:rPr>
          <w:rFonts w:ascii="Times New Roman" w:hAnsi="Times New Roman" w:cs="Times New Roman" w:eastAsia="Times New Roman" w:hint="default"/>
          <w:spacing w:val="-2"/>
        </w:rPr>
        <w:t>595,239,048.32</w:t>
      </w:r>
      <w:r>
        <w:rPr>
          <w:spacing w:val="-2"/>
        </w:rPr>
        <w:t>元。考虑到公司近几年属成长期且有重大资金支出安</w:t>
      </w:r>
      <w:r>
        <w:rPr>
          <w:spacing w:val="-36"/>
        </w:rPr>
        <w:t> </w:t>
      </w:r>
      <w:r>
        <w:rPr>
          <w:spacing w:val="-36"/>
        </w:rPr>
      </w:r>
      <w:r>
        <w:rPr>
          <w:spacing w:val="-2"/>
        </w:rPr>
        <w:t>排，董事会提议</w:t>
      </w:r>
      <w:r>
        <w:rPr>
          <w:rFonts w:ascii="Times New Roman" w:hAnsi="Times New Roman" w:cs="Times New Roman" w:eastAsia="Times New Roman" w:hint="default"/>
          <w:spacing w:val="-2"/>
        </w:rPr>
        <w:t>2016</w:t>
      </w:r>
      <w:r>
        <w:rPr>
          <w:spacing w:val="-2"/>
        </w:rPr>
        <w:t>年度利润分配预案为：拟以</w:t>
      </w:r>
      <w:r>
        <w:rPr>
          <w:rFonts w:ascii="Times New Roman" w:hAnsi="Times New Roman" w:cs="Times New Roman" w:eastAsia="Times New Roman" w:hint="default"/>
          <w:spacing w:val="-2"/>
        </w:rPr>
        <w:t>2016</w:t>
      </w:r>
      <w:r>
        <w:rPr>
          <w:spacing w:val="-2"/>
        </w:rPr>
        <w:t>年末总股本</w:t>
      </w:r>
      <w:r>
        <w:rPr>
          <w:rFonts w:ascii="Times New Roman" w:hAnsi="Times New Roman" w:cs="Times New Roman" w:eastAsia="Times New Roman" w:hint="default"/>
          <w:spacing w:val="-2"/>
        </w:rPr>
        <w:t>475,000,000</w:t>
      </w:r>
      <w:r>
        <w:rPr>
          <w:spacing w:val="-2"/>
        </w:rPr>
        <w:t>股为基数，每</w:t>
      </w:r>
      <w:r>
        <w:rPr>
          <w:rFonts w:ascii="Times New Roman" w:hAnsi="Times New Roman" w:cs="Times New Roman" w:eastAsia="Times New Roman" w:hint="default"/>
          <w:spacing w:val="-2"/>
        </w:rPr>
        <w:t>10</w:t>
      </w:r>
      <w:r>
        <w:rPr>
          <w:spacing w:val="-2"/>
        </w:rPr>
        <w:t>股派送</w:t>
      </w:r>
      <w:r>
        <w:rPr>
          <w:rFonts w:ascii="Times New Roman" w:hAnsi="Times New Roman" w:cs="Times New Roman" w:eastAsia="Times New Roman" w:hint="default"/>
          <w:spacing w:val="-2"/>
        </w:rPr>
        <w:t>0.30</w:t>
      </w:r>
      <w:r>
        <w:rPr>
          <w:spacing w:val="-2"/>
        </w:rPr>
        <w:t>元（含税）现金股利，</w:t>
      </w:r>
      <w:r>
        <w:rPr/>
        <w:t> 合计</w:t>
      </w:r>
      <w:r>
        <w:rPr>
          <w:rFonts w:ascii="Times New Roman" w:hAnsi="Times New Roman" w:cs="Times New Roman" w:eastAsia="Times New Roman" w:hint="default"/>
        </w:rPr>
        <w:t>14,250,000.00</w:t>
      </w:r>
      <w:r>
        <w:rPr/>
        <w:t>元。</w:t>
      </w:r>
    </w:p>
    <w:p>
      <w:pPr>
        <w:pStyle w:val="BodyText"/>
        <w:spacing w:line="300" w:lineRule="auto" w:before="13"/>
        <w:ind w:right="1130" w:firstLine="235"/>
        <w:jc w:val="both"/>
      </w:pPr>
      <w:r>
        <w:rPr>
          <w:rFonts w:ascii="Times New Roman" w:hAnsi="Times New Roman" w:cs="Times New Roman" w:eastAsia="Times New Roman" w:hint="default"/>
          <w:spacing w:val="-1"/>
        </w:rPr>
        <w:t>2017</w:t>
      </w:r>
      <w:r>
        <w:rPr>
          <w:spacing w:val="-1"/>
        </w:rPr>
        <w:t>年度公司合并报表实现归属于母公司所有者的净利润</w:t>
      </w:r>
      <w:r>
        <w:rPr>
          <w:rFonts w:ascii="Times New Roman" w:hAnsi="Times New Roman" w:cs="Times New Roman" w:eastAsia="Times New Roman" w:hint="default"/>
          <w:spacing w:val="-1"/>
        </w:rPr>
        <w:t>249,291,729.69</w:t>
      </w:r>
      <w:r>
        <w:rPr>
          <w:spacing w:val="-1"/>
        </w:rPr>
        <w:t>元，母公司按</w:t>
      </w:r>
      <w:r>
        <w:rPr>
          <w:rFonts w:ascii="Times New Roman" w:hAnsi="Times New Roman" w:cs="Times New Roman" w:eastAsia="Times New Roman" w:hint="default"/>
          <w:spacing w:val="-1"/>
        </w:rPr>
        <w:t>10%</w:t>
      </w:r>
      <w:r>
        <w:rPr>
          <w:spacing w:val="-1"/>
        </w:rPr>
        <w:t>提取法定盈余公积</w:t>
      </w:r>
      <w:r>
        <w:rPr>
          <w:rFonts w:ascii="Times New Roman" w:hAnsi="Times New Roman" w:cs="Times New Roman" w:eastAsia="Times New Roman" w:hint="default"/>
          <w:spacing w:val="-1"/>
        </w:rPr>
        <w:t>9,818,258.96</w:t>
      </w:r>
      <w:r>
        <w:rPr>
          <w:rFonts w:ascii="Times New Roman" w:hAnsi="Times New Roman" w:cs="Times New Roman" w:eastAsia="Times New Roman" w:hint="default"/>
        </w:rPr>
        <w:t> </w:t>
      </w:r>
      <w:r>
        <w:rPr/>
        <w:t>后，当年实现的可分配利润为</w:t>
      </w:r>
      <w:r>
        <w:rPr>
          <w:rFonts w:ascii="Times New Roman" w:hAnsi="Times New Roman" w:cs="Times New Roman" w:eastAsia="Times New Roman" w:hint="default"/>
        </w:rPr>
        <w:t>239,473,470.73</w:t>
      </w:r>
      <w:r>
        <w:rPr/>
        <w:t>元，</w:t>
      </w:r>
      <w:r>
        <w:rPr>
          <w:rFonts w:ascii="Times New Roman" w:hAnsi="Times New Roman" w:cs="Times New Roman" w:eastAsia="Times New Roman" w:hint="default"/>
        </w:rPr>
        <w:t>2017</w:t>
      </w:r>
      <w:r>
        <w:rPr/>
        <w:t>年末累计未分配利润为</w:t>
      </w:r>
      <w:r>
        <w:rPr>
          <w:rFonts w:ascii="Times New Roman" w:hAnsi="Times New Roman" w:cs="Times New Roman" w:eastAsia="Times New Roman" w:hint="default"/>
        </w:rPr>
        <w:t>820,462,519.05</w:t>
      </w:r>
      <w:r>
        <w:rPr/>
        <w:t>元。考虑到公司近几年处于发展 </w:t>
      </w:r>
      <w:r>
        <w:rPr>
          <w:spacing w:val="-2"/>
        </w:rPr>
        <w:t>期，在符合利润分配原则、保证公司的可持续性发展，兼顾股东的即期利益和长远利益，公司特提出</w:t>
      </w:r>
      <w:r>
        <w:rPr>
          <w:rFonts w:ascii="Times New Roman" w:hAnsi="Times New Roman" w:cs="Times New Roman" w:eastAsia="Times New Roman" w:hint="default"/>
          <w:spacing w:val="-2"/>
        </w:rPr>
        <w:t>2017</w:t>
      </w:r>
      <w:r>
        <w:rPr>
          <w:spacing w:val="-2"/>
        </w:rPr>
        <w:t>年度利润分配预案</w:t>
      </w:r>
    </w:p>
    <w:p>
      <w:pPr>
        <w:spacing w:after="0" w:line="30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r>
        <w:rPr/>
        <w:pict>
          <v:group style="position:absolute;margin-left:157.339996pt;margin-top:652.119995pt;width:53.95pt;height:33.2pt;mso-position-horizontal-relative:page;mso-position-vertical-relative:page;z-index:-859216" coordorigin="3147,13042" coordsize="1079,664">
            <v:group style="position:absolute;left:3147;top:13042;width:1079;height:352" coordorigin="3147,13042" coordsize="1079,352">
              <v:shape style="position:absolute;left:3147;top:13042;width:1079;height:352" coordorigin="3147,13042" coordsize="1079,352" path="m3147,13394l4226,13394,4226,13042,3147,13042,3147,13394xe" filled="true" fillcolor="#ffffff" stroked="false">
                <v:path arrowok="t"/>
                <v:fill type="solid"/>
              </v:shape>
            </v:group>
            <v:group style="position:absolute;left:3147;top:13394;width:1079;height:312" coordorigin="3147,13394" coordsize="1079,312">
              <v:shape style="position:absolute;left:3147;top:13394;width:1079;height:312" coordorigin="3147,13394" coordsize="1079,312" path="m3147,13706l4226,13706,4226,13394,3147,13394,3147,13706xe" filled="true" fillcolor="#ffffff" stroked="false">
                <v:path arrowok="t"/>
                <v:fill type="solid"/>
              </v:shape>
            </v:group>
            <w10:wrap type="none"/>
          </v:group>
        </w:pict>
      </w:r>
    </w:p>
    <w:p>
      <w:pPr>
        <w:pStyle w:val="BodyText"/>
        <w:spacing w:line="300" w:lineRule="auto" w:before="44"/>
        <w:ind w:right="0"/>
        <w:jc w:val="left"/>
      </w:pPr>
      <w:r>
        <w:rPr>
          <w:spacing w:val="6"/>
        </w:rPr>
        <w:t>为：以</w:t>
      </w:r>
      <w:r>
        <w:rPr>
          <w:rFonts w:ascii="Times New Roman" w:hAnsi="Times New Roman" w:cs="Times New Roman" w:eastAsia="Times New Roman" w:hint="default"/>
          <w:spacing w:val="6"/>
        </w:rPr>
        <w:t>2017</w:t>
      </w:r>
      <w:r>
        <w:rPr>
          <w:spacing w:val="6"/>
        </w:rPr>
        <w:t>年末的总股本</w:t>
      </w:r>
      <w:r>
        <w:rPr>
          <w:rFonts w:ascii="Times New Roman" w:hAnsi="Times New Roman" w:cs="Times New Roman" w:eastAsia="Times New Roman" w:hint="default"/>
          <w:spacing w:val="6"/>
        </w:rPr>
        <w:t>631,019,839</w:t>
      </w:r>
      <w:r>
        <w:rPr>
          <w:spacing w:val="6"/>
        </w:rPr>
        <w:t>股为基数，向全体股东每</w:t>
      </w:r>
      <w:r>
        <w:rPr>
          <w:rFonts w:ascii="Times New Roman" w:hAnsi="Times New Roman" w:cs="Times New Roman" w:eastAsia="Times New Roman" w:hint="default"/>
          <w:spacing w:val="6"/>
        </w:rPr>
        <w:t>10</w:t>
      </w:r>
      <w:r>
        <w:rPr>
          <w:spacing w:val="6"/>
        </w:rPr>
        <w:t>股派发现金股利人民币</w:t>
      </w:r>
      <w:r>
        <w:rPr>
          <w:rFonts w:ascii="Times New Roman" w:hAnsi="Times New Roman" w:cs="Times New Roman" w:eastAsia="Times New Roman" w:hint="default"/>
          <w:spacing w:val="6"/>
        </w:rPr>
        <w:t>0.5</w:t>
      </w:r>
      <w:r>
        <w:rPr>
          <w:spacing w:val="6"/>
        </w:rPr>
        <w:t>元（含税），合计派发现金</w:t>
      </w:r>
      <w:r>
        <w:rPr>
          <w:spacing w:val="-69"/>
        </w:rPr>
        <w:t> </w:t>
      </w:r>
      <w:r>
        <w:rPr>
          <w:spacing w:val="-69"/>
        </w:rPr>
      </w:r>
      <w:r>
        <w:rPr>
          <w:rFonts w:ascii="Times New Roman" w:hAnsi="Times New Roman" w:cs="Times New Roman" w:eastAsia="Times New Roman" w:hint="default"/>
          <w:spacing w:val="-1"/>
        </w:rPr>
        <w:t>31,550,991.95</w:t>
      </w:r>
      <w:r>
        <w:rPr>
          <w:spacing w:val="-1"/>
        </w:rPr>
        <w:t>元，剩余未分配利润结转下一年度。同时，以资本公积金向全体股东每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8</w:t>
      </w:r>
      <w:r>
        <w:rPr>
          <w:spacing w:val="-1"/>
        </w:rPr>
        <w:t>股，共计转增</w:t>
      </w:r>
      <w:r>
        <w:rPr>
          <w:rFonts w:ascii="Times New Roman" w:hAnsi="Times New Roman" w:cs="Times New Roman" w:eastAsia="Times New Roman" w:hint="default"/>
          <w:spacing w:val="-1"/>
        </w:rPr>
        <w:t>504,815,871</w:t>
      </w:r>
      <w:r>
        <w:rPr>
          <w:spacing w:val="-1"/>
        </w:rPr>
        <w:t>股，</w:t>
      </w:r>
      <w:r>
        <w:rPr>
          <w:spacing w:val="-63"/>
        </w:rPr>
        <w:t> </w:t>
      </w:r>
      <w:r>
        <w:rPr/>
        <w:t>转增后公司总股本将增加至</w:t>
      </w:r>
      <w:r>
        <w:rPr>
          <w:rFonts w:ascii="Times New Roman" w:hAnsi="Times New Roman" w:cs="Times New Roman" w:eastAsia="Times New Roman" w:hint="default"/>
        </w:rPr>
        <w:t>1,135,835,710</w:t>
      </w:r>
      <w:r>
        <w:rPr/>
        <w:t>股。</w:t>
      </w:r>
    </w:p>
    <w:p>
      <w:pPr>
        <w:pStyle w:val="BodyText"/>
        <w:spacing w:line="240" w:lineRule="auto" w:before="53"/>
        <w:ind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31,550,991.95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249,291,729.69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100,548,129.90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118,936,497.53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994"/>
        <w:gridCol w:w="991"/>
        <w:gridCol w:w="1134"/>
        <w:gridCol w:w="3827"/>
        <w:gridCol w:w="852"/>
        <w:gridCol w:w="850"/>
        <w:gridCol w:w="920"/>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p>
        </w:tc>
        <w:tc>
          <w:tcPr>
            <w:tcW w:w="991"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994" w:type="dxa"/>
            <w:vMerge w:val="restart"/>
            <w:tcBorders>
              <w:top w:val="single" w:sz="4" w:space="0" w:color="000000"/>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华峰集团、 尤金焕、尤 小华、陈林 </w:t>
            </w:r>
            <w:r>
              <w:rPr>
                <w:rFonts w:ascii="宋体" w:hAnsi="宋体" w:cs="宋体" w:eastAsia="宋体" w:hint="default"/>
                <w:spacing w:val="-15"/>
                <w:sz w:val="18"/>
                <w:szCs w:val="18"/>
              </w:rPr>
              <w:t>真、尤小玲、</w:t>
            </w:r>
            <w:r>
              <w:rPr>
                <w:rFonts w:ascii="宋体" w:hAnsi="宋体" w:cs="宋体" w:eastAsia="宋体" w:hint="default"/>
                <w:spacing w:val="-35"/>
                <w:sz w:val="18"/>
                <w:szCs w:val="18"/>
              </w:rPr>
              <w:t> </w:t>
            </w:r>
            <w:r>
              <w:rPr>
                <w:rFonts w:ascii="宋体" w:hAnsi="宋体" w:cs="宋体" w:eastAsia="宋体" w:hint="default"/>
                <w:sz w:val="18"/>
                <w:szCs w:val="18"/>
              </w:rPr>
              <w:t>尤小燕</w:t>
            </w:r>
          </w:p>
        </w:tc>
        <w:tc>
          <w:tcPr>
            <w:tcW w:w="1134"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关于上海华 峰超纤材料 股份有限公 司股份锁定 期的承诺</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2" w:lineRule="exact"/>
              <w:ind w:left="11" w:right="-28"/>
              <w:jc w:val="left"/>
              <w:rPr>
                <w:rFonts w:ascii="宋体" w:hAnsi="宋体" w:cs="宋体" w:eastAsia="宋体" w:hint="default"/>
                <w:sz w:val="20"/>
                <w:szCs w:val="20"/>
              </w:rPr>
            </w:pPr>
            <w:r>
              <w:rPr>
                <w:rFonts w:ascii="宋体" w:hAnsi="宋体" w:cs="宋体" w:eastAsia="宋体" w:hint="default"/>
                <w:position w:val="-5"/>
                <w:sz w:val="20"/>
                <w:szCs w:val="20"/>
              </w:rPr>
              <w:pict>
                <v:group style="width:53.95pt;height:15.6pt;mso-position-horizontal-relative:char;mso-position-vertical-relative:line" coordorigin="0,0" coordsize="1079,312">
                  <v:group style="position:absolute;left:0;top:0;width:1079;height:312" coordorigin="0,0" coordsize="1079,312">
                    <v:shape style="position:absolute;left:0;top:0;width:1079;height:312" coordorigin="0,0" coordsize="1079,312" path="m0,312l1079,312,1079,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13"/>
              <w:ind w:right="0"/>
              <w:jc w:val="left"/>
              <w:rPr>
                <w:rFonts w:ascii="宋体" w:hAnsi="宋体" w:cs="宋体" w:eastAsia="宋体" w:hint="default"/>
                <w:sz w:val="26"/>
                <w:szCs w:val="26"/>
              </w:rPr>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本公司持有上市公司股份的限售期，即 不得通过证券市场公开交易或协议方式转让的 </w:t>
            </w:r>
            <w:r>
              <w:rPr>
                <w:rFonts w:ascii="宋体" w:hAnsi="宋体" w:cs="宋体" w:eastAsia="宋体" w:hint="default"/>
                <w:spacing w:val="-1"/>
                <w:sz w:val="18"/>
                <w:szCs w:val="18"/>
              </w:rPr>
              <w:t>期限，为本承诺出具之日至本次发行结束之日后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十二个月内不转让；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408" w:hRule="exact"/>
        </w:trPr>
        <w:tc>
          <w:tcPr>
            <w:tcW w:w="994" w:type="dxa"/>
            <w:vMerge/>
            <w:tcBorders>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9" w:space="0" w:color="D2D2D2"/>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316" w:lineRule="auto"/>
              <w:ind w:left="16" w:right="104"/>
              <w:jc w:val="left"/>
              <w:rPr>
                <w:rFonts w:ascii="宋体" w:hAnsi="宋体" w:cs="宋体" w:eastAsia="宋体" w:hint="default"/>
                <w:sz w:val="18"/>
                <w:szCs w:val="18"/>
              </w:rPr>
            </w:pPr>
            <w:r>
              <w:rPr>
                <w:rFonts w:ascii="宋体" w:hAnsi="宋体" w:cs="宋体" w:eastAsia="宋体" w:hint="default"/>
                <w:spacing w:val="-11"/>
                <w:sz w:val="18"/>
                <w:szCs w:val="18"/>
              </w:rPr>
              <w:t>鲜丹、王彤</w:t>
            </w:r>
            <w:r>
              <w:rPr>
                <w:rFonts w:ascii="宋体" w:hAnsi="宋体" w:cs="宋体" w:eastAsia="宋体" w:hint="default"/>
                <w:sz w:val="18"/>
                <w:szCs w:val="18"/>
              </w:rPr>
              <w:t> 叶成春</w:t>
            </w:r>
          </w:p>
        </w:tc>
        <w:tc>
          <w:tcPr>
            <w:tcW w:w="1134" w:type="dxa"/>
            <w:tcBorders>
              <w:top w:val="single" w:sz="4" w:space="0" w:color="000000"/>
              <w:left w:val="single" w:sz="4" w:space="0" w:color="000000"/>
              <w:bottom w:val="nil" w:sz="6" w:space="0" w:color="auto"/>
              <w:right w:val="single" w:sz="4" w:space="0" w:color="000000"/>
            </w:tcBorders>
          </w:tcPr>
          <w:p>
            <w:pPr/>
          </w:p>
        </w:tc>
        <w:tc>
          <w:tcPr>
            <w:tcW w:w="382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在本人作为上市公司的股东或担任威富通董事、 高级管理人员期间和之后的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个月内，本人和 本人控制的其他企业将不在中国境内外直接或 间接从事任何在商业上对上市公司或威富通构 成竞争的业务和活动，本人和本人控制的其他企 业不谋求拥有与上市公司或威富通存在竞争关 系的任何经济实体的权益。本人和本人控制的其 他企业从第三方获得的商业机会如与上市公司 或威富通构成竞争或存在构成竞争的可能，则本 人和本人控制的其他企业将立即通知上市公司</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03" w:hRule="exact"/>
        </w:trPr>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991" w:type="dxa"/>
            <w:vMerge/>
            <w:tcBorders>
              <w:left w:val="single" w:sz="9" w:space="0" w:color="D2D2D2"/>
              <w:right w:val="single" w:sz="9" w:space="0" w:color="FFFFFF"/>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827"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2058" w:hRule="exact"/>
        </w:trPr>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9" w:space="0" w:color="D2D2D2"/>
              <w:bottom w:val="single" w:sz="4" w:space="0" w:color="000000"/>
              <w:right w:val="single" w:sz="9" w:space="0" w:color="FFFFFF"/>
            </w:tcBorders>
          </w:tcPr>
          <w:p>
            <w:pPr/>
          </w:p>
        </w:tc>
        <w:tc>
          <w:tcPr>
            <w:tcW w:w="1134" w:type="dxa"/>
            <w:tcBorders>
              <w:top w:val="nil" w:sz="6" w:space="0" w:color="auto"/>
              <w:left w:val="single" w:sz="13" w:space="0" w:color="FFFFFF"/>
              <w:bottom w:val="single" w:sz="4" w:space="0" w:color="000000"/>
              <w:right w:val="single" w:sz="4" w:space="0" w:color="000000"/>
            </w:tcBorders>
          </w:tcPr>
          <w:p>
            <w:pPr>
              <w:pStyle w:val="TableParagraph"/>
              <w:spacing w:line="196" w:lineRule="exact" w:before="16"/>
              <w:ind w:left="11" w:right="0"/>
              <w:jc w:val="left"/>
              <w:rPr>
                <w:rFonts w:ascii="宋体" w:hAnsi="宋体" w:cs="宋体" w:eastAsia="宋体" w:hint="default"/>
                <w:sz w:val="18"/>
                <w:szCs w:val="18"/>
              </w:rPr>
            </w:pPr>
            <w:r>
              <w:rPr>
                <w:rFonts w:ascii="宋体" w:hAnsi="宋体" w:cs="宋体" w:eastAsia="宋体" w:hint="default"/>
                <w:sz w:val="18"/>
                <w:szCs w:val="18"/>
              </w:rPr>
              <w:t>避免同业竞</w:t>
            </w:r>
          </w:p>
          <w:p>
            <w:pPr>
              <w:pStyle w:val="TableParagraph"/>
              <w:spacing w:line="155" w:lineRule="exact"/>
              <w:ind w:left="-13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5" w:lineRule="exact"/>
              <w:ind w:left="11" w:right="0"/>
              <w:jc w:val="left"/>
              <w:rPr>
                <w:rFonts w:ascii="宋体" w:hAnsi="宋体" w:cs="宋体" w:eastAsia="宋体" w:hint="default"/>
                <w:sz w:val="18"/>
                <w:szCs w:val="18"/>
              </w:rPr>
            </w:pPr>
            <w:r>
              <w:rPr>
                <w:rFonts w:ascii="宋体" w:hAnsi="宋体" w:cs="宋体" w:eastAsia="宋体" w:hint="default"/>
                <w:sz w:val="18"/>
                <w:szCs w:val="18"/>
              </w:rPr>
              <w:t>争的承诺，高</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管任职承诺</w:t>
            </w:r>
          </w:p>
        </w:tc>
        <w:tc>
          <w:tcPr>
            <w:tcW w:w="3827"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272.054016pt;margin-top:293.419983pt;width:174.3pt;height:46.8pt;mso-position-horizontal-relative:page;mso-position-vertical-relative:page;z-index:-8591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2"/>
                      <w:szCs w:val="22"/>
                    </w:rPr>
                  </w:pPr>
                </w:p>
                <w:p>
                  <w:pPr>
                    <w:pStyle w:val="BodyText"/>
                    <w:spacing w:line="240" w:lineRule="auto"/>
                    <w:ind w:left="0" w:right="0"/>
                    <w:jc w:val="left"/>
                  </w:pPr>
                  <w:r>
                    <w:rPr/>
                    <w:t>购的上市公司新增股份的限售期，</w:t>
                  </w:r>
                </w:p>
              </w:txbxContent>
            </v:textbox>
            <w10:wrap type="none"/>
          </v:shape>
        </w:pict>
      </w:r>
      <w:r>
        <w:rPr/>
        <w:pict>
          <v:shape style="position:absolute;margin-left:380.063019pt;margin-top:422.73999pt;width:66.3pt;height:155pt;mso-position-horizontal-relative:page;mso-position-vertical-relative:page;z-index:-8590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5"/>
                    <w:ind w:left="0" w:right="0"/>
                    <w:jc w:val="left"/>
                  </w:pPr>
                  <w:r>
                    <w:rPr/>
                    <w:t>完整，</w:t>
                  </w:r>
                </w:p>
              </w:txbxContent>
            </v:textbox>
            <w10:wrap type="none"/>
          </v:shape>
        </w:pict>
      </w:r>
      <w:r>
        <w:rPr/>
        <w:pict>
          <v:shape style="position:absolute;margin-left:398.079987pt;margin-top:612.940002pt;width:48.3pt;height:155pt;mso-position-horizontal-relative:page;mso-position-vertical-relative:page;z-index:-8590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8"/>
                      <w:szCs w:val="18"/>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993"/>
        <w:gridCol w:w="992"/>
        <w:gridCol w:w="1134"/>
        <w:gridCol w:w="3827"/>
        <w:gridCol w:w="852"/>
        <w:gridCol w:w="850"/>
        <w:gridCol w:w="920"/>
      </w:tblGrid>
      <w:tr>
        <w:trPr>
          <w:trHeight w:val="4419"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或威富通并将该商业机会让予上市公司或威富 </w:t>
            </w:r>
            <w:r>
              <w:rPr>
                <w:rFonts w:ascii="宋体" w:hAnsi="宋体" w:cs="宋体" w:eastAsia="宋体" w:hint="default"/>
                <w:spacing w:val="-1"/>
                <w:sz w:val="18"/>
                <w:szCs w:val="18"/>
              </w:rPr>
              <w:t>通。若该等业务机会尚不具备转让给上市公司或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威富通的条件，或因其他原因导致上市公司或威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富通暂无法取得上述业务机会，上市公司或威富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通有权选择以书面确认的方式要求本人和本人 控制的其他企业放弃该等业务机会，或采取法 </w:t>
            </w:r>
            <w:r>
              <w:rPr>
                <w:rFonts w:ascii="宋体" w:hAnsi="宋体" w:cs="宋体" w:eastAsia="宋体" w:hint="default"/>
                <w:spacing w:val="-1"/>
                <w:sz w:val="18"/>
                <w:szCs w:val="18"/>
              </w:rPr>
              <w:t>律、法规及中国证券监督管理委员会许可的其他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方式加以解决。前述对上市公司或威富通构成竞</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争的业务和活动是指从事超细纤维聚氨酯合成 </w:t>
            </w:r>
            <w:r>
              <w:rPr>
                <w:rFonts w:ascii="宋体" w:hAnsi="宋体" w:cs="宋体" w:eastAsia="宋体" w:hint="default"/>
                <w:spacing w:val="-1"/>
                <w:sz w:val="18"/>
                <w:szCs w:val="18"/>
              </w:rPr>
              <w:t>革的研制开发、生产、销售与服务业务或移动支</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付业务。</w:t>
            </w:r>
            <w:r>
              <w:rPr>
                <w:rFonts w:ascii="Times New Roman" w:hAnsi="Times New Roman" w:cs="Times New Roman" w:eastAsia="Times New Roman" w:hint="default"/>
                <w:sz w:val="18"/>
                <w:szCs w:val="18"/>
              </w:rPr>
              <w:t>1</w:t>
            </w:r>
            <w:r>
              <w:rPr>
                <w:rFonts w:ascii="宋体" w:hAnsi="宋体" w:cs="宋体" w:eastAsia="宋体" w:hint="default"/>
                <w:sz w:val="18"/>
                <w:szCs w:val="18"/>
              </w:rPr>
              <w:t>．威富通持续发展和竞争优势，作为 </w:t>
            </w:r>
            <w:r>
              <w:rPr>
                <w:rFonts w:ascii="宋体" w:hAnsi="宋体" w:cs="宋体" w:eastAsia="宋体" w:hint="default"/>
                <w:spacing w:val="-1"/>
                <w:sz w:val="18"/>
                <w:szCs w:val="18"/>
              </w:rPr>
              <w:t>威富通的核心管理团队成员，本人承诺在本次交</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易完成后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年内持续为威富通服务，并尽可能为 威富通创造最佳业绩。</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993"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6"/>
              <w:jc w:val="both"/>
              <w:rPr>
                <w:rFonts w:ascii="宋体" w:hAnsi="宋体" w:cs="宋体" w:eastAsia="宋体" w:hint="default"/>
                <w:sz w:val="18"/>
                <w:szCs w:val="18"/>
              </w:rPr>
            </w:pPr>
            <w:r>
              <w:rPr>
                <w:rFonts w:ascii="宋体" w:hAnsi="宋体" w:cs="宋体" w:eastAsia="宋体" w:hint="default"/>
                <w:sz w:val="18"/>
                <w:szCs w:val="18"/>
              </w:rPr>
              <w:t>鲜丹、蔡友 弟、北京奕 铭、王彤、 尤光兴、邓 振国、蔡小 如、中山微 远、于净、 叶成春、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99"/>
              <w:jc w:val="left"/>
              <w:rPr>
                <w:rFonts w:ascii="宋体" w:hAnsi="宋体" w:cs="宋体" w:eastAsia="宋体" w:hint="default"/>
                <w:sz w:val="18"/>
                <w:szCs w:val="18"/>
              </w:rPr>
            </w:pPr>
            <w:r>
              <w:rPr>
                <w:rFonts w:ascii="宋体" w:hAnsi="宋体" w:cs="宋体" w:eastAsia="宋体" w:hint="default"/>
                <w:sz w:val="18"/>
                <w:szCs w:val="18"/>
              </w:rPr>
              <w:t>关于锁定期 的承诺</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2" w:lineRule="auto"/>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、本人本次认 即不得通过证券市场公开交易或协议方式转让 </w:t>
            </w:r>
            <w:r>
              <w:rPr>
                <w:rFonts w:ascii="宋体" w:hAnsi="宋体" w:cs="宋体" w:eastAsia="宋体" w:hint="default"/>
                <w:spacing w:val="-1"/>
                <w:sz w:val="18"/>
                <w:szCs w:val="18"/>
              </w:rPr>
              <w:t>的期限，为股份发行结束之日即本人认购的上市</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公司股份上市之日起三十六个月内不转让；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936" w:lineRule="exact"/>
              <w:ind w:left="1"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42.05pt;height:46.8pt;mso-position-horizontal-relative:char;mso-position-vertical-relative:line" coordorigin="0,0" coordsize="841,936">
                  <v:group style="position:absolute;left:0;top:0;width:841;height:936" coordorigin="0,0" coordsize="841,936">
                    <v:shape style="position:absolute;left:0;top:0;width:841;height:936" coordorigin="0,0" coordsize="841,936" path="m0,936l840,936,840,0,0,0,0,936xe" filled="true" fillcolor="#ffffff" stroked="false">
                      <v:path arrowok="t"/>
                      <v:fill type="solid"/>
                    </v:shape>
                  </v:group>
                </v:group>
              </w:pict>
            </w:r>
            <w:r>
              <w:rPr>
                <w:rFonts w:ascii="Times New Roman" w:hAnsi="Times New Roman" w:cs="Times New Roman" w:eastAsia="Times New Roman" w:hint="default"/>
                <w:position w:val="-18"/>
                <w:sz w:val="20"/>
                <w:szCs w:val="20"/>
              </w:rPr>
            </w:r>
          </w:p>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6915"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319" w:lineRule="auto"/>
              <w:ind w:left="23" w:right="56"/>
              <w:jc w:val="left"/>
              <w:rPr>
                <w:rFonts w:ascii="宋体" w:hAnsi="宋体" w:cs="宋体" w:eastAsia="宋体" w:hint="default"/>
                <w:sz w:val="18"/>
                <w:szCs w:val="18"/>
              </w:rPr>
            </w:pPr>
            <w:r>
              <w:rPr>
                <w:rFonts w:ascii="宋体" w:hAnsi="宋体" w:cs="宋体" w:eastAsia="宋体" w:hint="default"/>
                <w:sz w:val="18"/>
                <w:szCs w:val="18"/>
              </w:rPr>
              <w:t>王蔚、上海 并购基金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2" w:right="199"/>
              <w:jc w:val="both"/>
              <w:rPr>
                <w:rFonts w:ascii="宋体" w:hAnsi="宋体" w:cs="宋体" w:eastAsia="宋体" w:hint="default"/>
                <w:sz w:val="18"/>
                <w:szCs w:val="18"/>
              </w:rPr>
            </w:pPr>
            <w:r>
              <w:rPr>
                <w:rFonts w:ascii="宋体" w:hAnsi="宋体" w:cs="宋体" w:eastAsia="宋体" w:hint="default"/>
                <w:sz w:val="18"/>
                <w:szCs w:val="18"/>
              </w:rPr>
              <w:t>认购对象关 于华峰超纤 募集配套资 金的承诺函</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本公司保证向华峰超纤提供的完成本次 </w:t>
            </w:r>
            <w:r>
              <w:rPr>
                <w:rFonts w:ascii="宋体" w:hAnsi="宋体" w:cs="宋体" w:eastAsia="宋体" w:hint="default"/>
                <w:spacing w:val="-3"/>
                <w:sz w:val="18"/>
                <w:szCs w:val="18"/>
              </w:rPr>
              <w:t>发行所必须的文件和信息内容真实、准确、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不存在虚假记载、误导性陈述或重大遗漏。</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本公司资产、资信状况良好，不存在任何违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约行为或到期未清偿的债务或未决诉讼、仲裁等</w:t>
            </w:r>
            <w:r>
              <w:rPr>
                <w:rFonts w:ascii="宋体" w:hAnsi="宋体" w:cs="宋体" w:eastAsia="宋体" w:hint="default"/>
                <w:sz w:val="18"/>
                <w:szCs w:val="18"/>
              </w:rPr>
              <w:t> 可能影响认购本次发行股票的情形。</w:t>
            </w:r>
            <w:r>
              <w:rPr>
                <w:rFonts w:ascii="Times New Roman" w:hAnsi="Times New Roman" w:cs="Times New Roman" w:eastAsia="Times New Roman" w:hint="default"/>
                <w:sz w:val="18"/>
                <w:szCs w:val="18"/>
              </w:rPr>
              <w:t>3</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 公司或本公司董事、监事、高级管理人员或主要 管理人员最近五年未受过行政处罚（与证券市场 </w:t>
            </w:r>
            <w:r>
              <w:rPr>
                <w:rFonts w:ascii="宋体" w:hAnsi="宋体" w:cs="宋体" w:eastAsia="宋体" w:hint="default"/>
                <w:spacing w:val="-5"/>
                <w:sz w:val="18"/>
                <w:szCs w:val="18"/>
              </w:rPr>
              <w:t>明显无关的除外）、刑事处罚，也未涉及与经济</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纠纷有关的重大民事诉讼或仲裁。</w:t>
            </w:r>
            <w:r>
              <w:rPr>
                <w:rFonts w:ascii="Times New Roman" w:hAnsi="Times New Roman" w:cs="Times New Roman" w:eastAsia="Times New Roman" w:hint="default"/>
                <w:sz w:val="18"/>
                <w:szCs w:val="18"/>
              </w:rPr>
              <w:t>4</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司及本公司的股东、实际控制人与华峰超纤及其 控股股东、实际控制人、董事、监事、高级管理 人员或本次发行的其他对象之间不存在关联关 系或一致行动关系。</w:t>
            </w:r>
            <w:r>
              <w:rPr>
                <w:rFonts w:ascii="Times New Roman" w:hAnsi="Times New Roman" w:cs="Times New Roman" w:eastAsia="Times New Roman" w:hint="default"/>
                <w:sz w:val="18"/>
                <w:szCs w:val="18"/>
              </w:rPr>
              <w:t>5</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本公司认购本次发 行股份的资金均为自有资金或合法筹集的资金， 不存在直接或间接来源于华峰超纤或其控股股 东、实际控制人、董事、监事、高级管理人员及 其关联方的情形，也不存在接受华峰超纤或其控 股股东、实际控制人、董事、监事、高级管理人 员及其关联方提供担保的情形，不存在任何争议 及潜在纠纷，不存在分级收益等结构化安排。</w:t>
            </w:r>
            <w:r>
              <w:rPr>
                <w:rFonts w:ascii="Times New Roman" w:hAnsi="Times New Roman" w:cs="Times New Roman" w:eastAsia="Times New Roman" w:hint="default"/>
                <w:sz w:val="18"/>
                <w:szCs w:val="18"/>
              </w:rPr>
              <w:t>6 </w:t>
            </w:r>
            <w:r>
              <w:rPr>
                <w:rFonts w:ascii="宋体" w:hAnsi="宋体" w:cs="宋体" w:eastAsia="宋体" w:hint="default"/>
                <w:spacing w:val="-3"/>
                <w:sz w:val="18"/>
                <w:szCs w:val="18"/>
              </w:rPr>
              <w:t>本次发行完成之日起三十六个月内，本人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099" w:lineRule="exact"/>
              <w:ind w:left="1"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1"/>
                <w:sz w:val="20"/>
                <w:szCs w:val="20"/>
              </w:rPr>
              <w:pict>
                <v:group style="width:42.05pt;height:155pt;mso-position-horizontal-relative:char;mso-position-vertical-relative:line" coordorigin="0,0" coordsize="841,3100">
                  <v:group style="position:absolute;left:0;top:0;width:841;height:3100" coordorigin="0,0" coordsize="841,3100">
                    <v:shape style="position:absolute;left:0;top:0;width:841;height:3100" coordorigin="0,0" coordsize="841,3100" path="m0,3100l840,3100,840,0,0,0,0,3100xe" filled="true" fillcolor="#ffffff" stroked="false">
                      <v:path arrowok="t"/>
                      <v:fill type="solid"/>
                    </v:shape>
                  </v:group>
                </v:group>
              </w:pict>
            </w:r>
            <w:r>
              <w:rPr>
                <w:rFonts w:ascii="Times New Roman" w:hAnsi="Times New Roman" w:cs="Times New Roman" w:eastAsia="Times New Roman" w:hint="default"/>
                <w:position w:val="-61"/>
                <w:sz w:val="20"/>
                <w:szCs w:val="20"/>
              </w:rPr>
            </w:r>
          </w:p>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3100" w:lineRule="exact"/>
              <w:ind w:left="1"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1"/>
                <w:sz w:val="20"/>
                <w:szCs w:val="20"/>
              </w:rPr>
              <w:pict>
                <v:group style="width:42.05pt;height:155pt;mso-position-horizontal-relative:char;mso-position-vertical-relative:line" coordorigin="0,0" coordsize="841,3100">
                  <v:group style="position:absolute;left:0;top:0;width:841;height:3100" coordorigin="0,0" coordsize="841,3100">
                    <v:shape style="position:absolute;left:0;top:0;width:841;height:3100" coordorigin="0,0" coordsize="841,3100" path="m0,3100l840,3100,840,0,0,0,0,3100xe" filled="true" fillcolor="#ffffff" stroked="false">
                      <v:path arrowok="t"/>
                      <v:fill type="solid"/>
                    </v:shape>
                  </v:group>
                </v:group>
              </w:pict>
            </w:r>
            <w:r>
              <w:rPr>
                <w:rFonts w:ascii="Times New Roman" w:hAnsi="Times New Roman" w:cs="Times New Roman" w:eastAsia="Times New Roman" w:hint="default"/>
                <w:position w:val="-61"/>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71.08902pt;margin-top:168.61998pt;width:75.25pt;height:163.8pt;mso-position-horizontal-relative:page;mso-position-vertical-relative:page;z-index:-8590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3"/>
                      <w:szCs w:val="23"/>
                    </w:rPr>
                  </w:pPr>
                </w:p>
                <w:p>
                  <w:pPr>
                    <w:pStyle w:val="BodyText"/>
                    <w:spacing w:line="240" w:lineRule="auto"/>
                    <w:ind w:left="0" w:right="0"/>
                    <w:jc w:val="left"/>
                  </w:pPr>
                  <w:r>
                    <w:rPr/>
                    <w:t>尤小燕、</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993"/>
        <w:gridCol w:w="992"/>
        <w:gridCol w:w="1134"/>
        <w:gridCol w:w="3827"/>
        <w:gridCol w:w="852"/>
        <w:gridCol w:w="850"/>
        <w:gridCol w:w="920"/>
      </w:tblGrid>
      <w:tr>
        <w:trPr>
          <w:trHeight w:val="1923"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不以任何方式转让本次认购的华峰超纤股份，亦 不委托他人管理前述股份。</w:t>
            </w:r>
            <w:r>
              <w:rPr>
                <w:rFonts w:ascii="Times New Roman" w:hAnsi="Times New Roman" w:cs="Times New Roman" w:eastAsia="Times New Roman" w:hint="default"/>
                <w:sz w:val="18"/>
                <w:szCs w:val="18"/>
              </w:rPr>
              <w:t>7</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本公司本次 </w:t>
            </w:r>
            <w:r>
              <w:rPr>
                <w:rFonts w:ascii="宋体" w:hAnsi="宋体" w:cs="宋体" w:eastAsia="宋体" w:hint="default"/>
                <w:spacing w:val="-1"/>
                <w:sz w:val="18"/>
                <w:szCs w:val="18"/>
              </w:rPr>
              <w:t>认购华峰超纤股份不存在通过协议、信托或其他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方式为他人代为持有的情形。</w:t>
            </w:r>
            <w:r>
              <w:rPr>
                <w:rFonts w:ascii="Times New Roman" w:hAnsi="Times New Roman" w:cs="Times New Roman" w:eastAsia="Times New Roman" w:hint="default"/>
                <w:sz w:val="18"/>
                <w:szCs w:val="18"/>
              </w:rPr>
              <w:t>8</w:t>
            </w:r>
            <w:r>
              <w:rPr>
                <w:rFonts w:ascii="宋体" w:hAnsi="宋体" w:cs="宋体" w:eastAsia="宋体" w:hint="default"/>
                <w:sz w:val="18"/>
                <w:szCs w:val="18"/>
              </w:rPr>
              <w:t>、本承诺函出具 </w:t>
            </w:r>
            <w:r>
              <w:rPr>
                <w:rFonts w:ascii="宋体" w:hAnsi="宋体" w:cs="宋体" w:eastAsia="宋体" w:hint="default"/>
                <w:spacing w:val="-3"/>
                <w:sz w:val="18"/>
                <w:szCs w:val="18"/>
              </w:rPr>
              <w:t>日前六个月内，本人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本公司不存在买卖华峰超纤</w:t>
            </w:r>
            <w:r>
              <w:rPr>
                <w:rFonts w:ascii="宋体" w:hAnsi="宋体" w:cs="宋体" w:eastAsia="宋体" w:hint="default"/>
                <w:spacing w:val="-83"/>
                <w:sz w:val="18"/>
                <w:szCs w:val="18"/>
              </w:rPr>
              <w:t> </w:t>
            </w:r>
            <w:r>
              <w:rPr>
                <w:rFonts w:ascii="宋体" w:hAnsi="宋体" w:cs="宋体" w:eastAsia="宋体" w:hint="default"/>
                <w:sz w:val="18"/>
                <w:szCs w:val="18"/>
              </w:rPr>
              <w:t>股票的情形。</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266"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尤小平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7"/>
              <w:ind w:left="22" w:right="199"/>
              <w:jc w:val="both"/>
              <w:rPr>
                <w:rFonts w:ascii="宋体" w:hAnsi="宋体" w:cs="宋体" w:eastAsia="宋体" w:hint="default"/>
                <w:sz w:val="18"/>
                <w:szCs w:val="18"/>
              </w:rPr>
            </w:pPr>
            <w:r>
              <w:rPr>
                <w:rFonts w:ascii="宋体" w:hAnsi="宋体" w:cs="宋体" w:eastAsia="宋体" w:hint="default"/>
                <w:sz w:val="18"/>
                <w:szCs w:val="18"/>
              </w:rPr>
              <w:t>认购对象关 于华峰超纤 募集配套资 金的承诺函</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、本人保证向华峰超纤提供的完成本次发行所 必须的文件和信息内容真实、准确、完整，不存 在虚假记载、误导性陈述或重大遗漏。</w:t>
            </w:r>
            <w:r>
              <w:rPr>
                <w:rFonts w:ascii="Times New Roman" w:hAnsi="Times New Roman" w:cs="Times New Roman" w:eastAsia="Times New Roman" w:hint="default"/>
                <w:sz w:val="18"/>
                <w:szCs w:val="18"/>
              </w:rPr>
              <w:t>2</w:t>
            </w:r>
            <w:r>
              <w:rPr>
                <w:rFonts w:ascii="宋体" w:hAnsi="宋体" w:cs="宋体" w:eastAsia="宋体" w:hint="default"/>
                <w:sz w:val="18"/>
                <w:szCs w:val="18"/>
              </w:rPr>
              <w:t>、本人 资产、资信状况良好，不存在任何违约行为或到 期未清偿的债务或未决诉讼、仲裁等可能影响认 购本次发行股票的情形。</w:t>
            </w:r>
            <w:r>
              <w:rPr>
                <w:rFonts w:ascii="Times New Roman" w:hAnsi="Times New Roman" w:cs="Times New Roman" w:eastAsia="Times New Roman" w:hint="default"/>
                <w:sz w:val="18"/>
                <w:szCs w:val="18"/>
              </w:rPr>
              <w:t>3</w:t>
            </w:r>
            <w:r>
              <w:rPr>
                <w:rFonts w:ascii="宋体" w:hAnsi="宋体" w:cs="宋体" w:eastAsia="宋体" w:hint="default"/>
                <w:sz w:val="18"/>
                <w:szCs w:val="18"/>
              </w:rPr>
              <w:t>、本人最近五年未受 </w:t>
            </w:r>
            <w:r>
              <w:rPr>
                <w:rFonts w:ascii="宋体" w:hAnsi="宋体" w:cs="宋体" w:eastAsia="宋体" w:hint="default"/>
                <w:spacing w:val="-5"/>
                <w:sz w:val="18"/>
                <w:szCs w:val="18"/>
              </w:rPr>
              <w:t>过行政处罚（与证券市场明显无关的除外）、刑</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事处罚，也未涉及与经济纠纷有关的重大民事诉</w:t>
            </w:r>
            <w:r>
              <w:rPr>
                <w:rFonts w:ascii="宋体" w:hAnsi="宋体" w:cs="宋体" w:eastAsia="宋体" w:hint="default"/>
                <w:sz w:val="18"/>
                <w:szCs w:val="18"/>
              </w:rPr>
              <w:t> 讼或仲裁。</w:t>
            </w:r>
            <w:r>
              <w:rPr>
                <w:rFonts w:ascii="Times New Roman" w:hAnsi="Times New Roman" w:cs="Times New Roman" w:eastAsia="Times New Roman" w:hint="default"/>
                <w:sz w:val="18"/>
                <w:szCs w:val="18"/>
              </w:rPr>
              <w:t>4</w:t>
            </w:r>
            <w:r>
              <w:rPr>
                <w:rFonts w:ascii="宋体" w:hAnsi="宋体" w:cs="宋体" w:eastAsia="宋体" w:hint="default"/>
                <w:sz w:val="18"/>
                <w:szCs w:val="18"/>
              </w:rPr>
              <w:t>、本人与尤金焕、尤小华、 尤小玲、陈林真为一致行动人，共同为华峰超纤 实际控制人，本人为华峰超纤董事长，与华峰超 纤存在关联关系。</w:t>
            </w:r>
            <w:r>
              <w:rPr>
                <w:rFonts w:ascii="Times New Roman" w:hAnsi="Times New Roman" w:cs="Times New Roman" w:eastAsia="Times New Roman" w:hint="default"/>
                <w:sz w:val="18"/>
                <w:szCs w:val="18"/>
              </w:rPr>
              <w:t>5</w:t>
            </w:r>
            <w:r>
              <w:rPr>
                <w:rFonts w:ascii="宋体" w:hAnsi="宋体" w:cs="宋体" w:eastAsia="宋体" w:hint="default"/>
                <w:sz w:val="18"/>
                <w:szCs w:val="18"/>
              </w:rPr>
              <w:t>、本人认购本次发行股份的 资金均为自有资金或合法筹集的资金，不存在直 接或间接来源于华峰超纤或本人以外的其他董 事、监事、高级管理人员及其关联方的情形，也 不存在接受华峰超纤或本人以外的其他董事、监 事、高级管理人员及其关联方提供担保的情形， 不存在任何争议及潜在纠纷，不存在分级收益等 结构化安排。</w:t>
            </w:r>
            <w:r>
              <w:rPr>
                <w:rFonts w:ascii="Times New Roman" w:hAnsi="Times New Roman" w:cs="Times New Roman" w:eastAsia="Times New Roman" w:hint="default"/>
                <w:sz w:val="18"/>
                <w:szCs w:val="18"/>
              </w:rPr>
              <w:t>6</w:t>
            </w:r>
            <w:r>
              <w:rPr>
                <w:rFonts w:ascii="宋体" w:hAnsi="宋体" w:cs="宋体" w:eastAsia="宋体" w:hint="default"/>
                <w:sz w:val="18"/>
                <w:szCs w:val="18"/>
              </w:rPr>
              <w:t>、本次发行完成之日起三十六个 月内，本人不以任何方式转让本次认购的华峰超 纤股份，亦不委托他人管理前述股份。</w:t>
            </w:r>
            <w:r>
              <w:rPr>
                <w:rFonts w:ascii="Times New Roman" w:hAnsi="Times New Roman" w:cs="Times New Roman" w:eastAsia="Times New Roman" w:hint="default"/>
                <w:sz w:val="18"/>
                <w:szCs w:val="18"/>
              </w:rPr>
              <w:t>7</w:t>
            </w:r>
            <w:r>
              <w:rPr>
                <w:rFonts w:ascii="宋体" w:hAnsi="宋体" w:cs="宋体" w:eastAsia="宋体" w:hint="default"/>
                <w:sz w:val="18"/>
                <w:szCs w:val="18"/>
              </w:rPr>
              <w:t>、本人 本次认购华峰超纤股份不存在通过协议、信托或 其他方式为他人代为持有的情形。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276" w:lineRule="exact"/>
              <w:ind w:left="1"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5"/>
                <w:sz w:val="20"/>
                <w:szCs w:val="20"/>
              </w:rPr>
              <w:pict>
                <v:group style="width:42.05pt;height:163.8pt;mso-position-horizontal-relative:char;mso-position-vertical-relative:line" coordorigin="0,0" coordsize="841,3276">
                  <v:group style="position:absolute;left:0;top:0;width:841;height:3276" coordorigin="0,0" coordsize="841,3276">
                    <v:shape style="position:absolute;left:0;top:0;width:841;height:3276" coordorigin="0,0" coordsize="841,3276" path="m0,3276l840,3276,840,0,0,0,0,3276xe" filled="true" fillcolor="#ffffff" stroked="false">
                      <v:path arrowok="t"/>
                      <v:fill type="solid"/>
                    </v:shape>
                  </v:group>
                </v:group>
              </w:pict>
            </w:r>
            <w:r>
              <w:rPr>
                <w:rFonts w:ascii="Times New Roman" w:hAnsi="Times New Roman" w:cs="Times New Roman" w:eastAsia="Times New Roman" w:hint="default"/>
                <w:position w:val="-65"/>
                <w:sz w:val="20"/>
                <w:szCs w:val="20"/>
              </w:rPr>
            </w:r>
          </w:p>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4731"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60"/>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992"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3" w:right="45"/>
              <w:jc w:val="both"/>
              <w:rPr>
                <w:rFonts w:ascii="宋体" w:hAnsi="宋体" w:cs="宋体" w:eastAsia="宋体" w:hint="default"/>
                <w:sz w:val="18"/>
                <w:szCs w:val="18"/>
              </w:rPr>
            </w:pPr>
            <w:r>
              <w:rPr>
                <w:rFonts w:ascii="宋体" w:hAnsi="宋体" w:cs="宋体" w:eastAsia="宋体" w:hint="default"/>
                <w:sz w:val="18"/>
                <w:szCs w:val="18"/>
              </w:rPr>
              <w:t>华峰集团有 限公司、尤 小平、尤金 </w:t>
            </w:r>
            <w:r>
              <w:rPr>
                <w:rFonts w:ascii="宋体" w:hAnsi="宋体" w:cs="宋体" w:eastAsia="宋体" w:hint="default"/>
                <w:spacing w:val="-11"/>
                <w:sz w:val="18"/>
                <w:szCs w:val="18"/>
              </w:rPr>
              <w:t>焕、尤小华</w:t>
            </w:r>
            <w:r>
              <w:rPr>
                <w:rFonts w:ascii="宋体" w:hAnsi="宋体" w:cs="宋体" w:eastAsia="宋体" w:hint="default"/>
                <w:sz w:val="18"/>
                <w:szCs w:val="18"/>
              </w:rPr>
              <w:t> 尤小燕、尤 小玲、陈林 真</w:t>
            </w:r>
          </w:p>
        </w:tc>
        <w:tc>
          <w:tcPr>
            <w:tcW w:w="113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0" w:lineRule="atLeast"/>
              <w:ind w:left="11" w:right="199"/>
              <w:jc w:val="left"/>
              <w:rPr>
                <w:rFonts w:ascii="宋体" w:hAnsi="宋体" w:cs="宋体" w:eastAsia="宋体" w:hint="default"/>
                <w:sz w:val="18"/>
                <w:szCs w:val="18"/>
              </w:rPr>
            </w:pPr>
            <w:r>
              <w:rPr>
                <w:rFonts w:ascii="宋体" w:hAnsi="宋体" w:cs="宋体" w:eastAsia="宋体" w:hint="default"/>
                <w:sz w:val="18"/>
                <w:szCs w:val="18"/>
              </w:rPr>
              <w:t>关于同业竞 争、关联交</w:t>
            </w:r>
          </w:p>
          <w:p>
            <w:pPr>
              <w:pStyle w:val="TableParagraph"/>
              <w:spacing w:line="116" w:lineRule="exact"/>
              <w:ind w:left="-13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 w:right="0"/>
              <w:jc w:val="left"/>
              <w:rPr>
                <w:rFonts w:ascii="宋体" w:hAnsi="宋体" w:cs="宋体" w:eastAsia="宋体" w:hint="default"/>
                <w:sz w:val="18"/>
                <w:szCs w:val="18"/>
              </w:rPr>
            </w:pPr>
            <w:r>
              <w:rPr>
                <w:rFonts w:ascii="宋体" w:hAnsi="宋体" w:cs="宋体" w:eastAsia="宋体" w:hint="default"/>
                <w:sz w:val="18"/>
                <w:szCs w:val="18"/>
              </w:rPr>
              <w:t>易、资金占用</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方面的承诺</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624" w:lineRule="exact"/>
              <w:ind w:left="11"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3.95pt;height:31.2pt;mso-position-horizontal-relative:char;mso-position-vertical-relative:line" coordorigin="0,0" coordsize="1079,624">
                  <v:group style="position:absolute;left:0;top:0;width:1079;height:312" coordorigin="0,0" coordsize="1079,312">
                    <v:shape style="position:absolute;left:0;top:0;width:1079;height:312" coordorigin="0,0" coordsize="1079,312" path="m0,312l1079,312,1079,0,0,0,0,312xe" filled="true" fillcolor="#ffffff" stroked="false">
                      <v:path arrowok="t"/>
                      <v:fill type="solid"/>
                    </v:shape>
                  </v:group>
                  <v:group style="position:absolute;left:0;top:312;width:1079;height:312" coordorigin="0,312" coordsize="1079,312">
                    <v:shape style="position:absolute;left:0;top:312;width:1079;height:312" coordorigin="0,312" coordsize="1079,312" path="m0,624l1079,624,1079,312,0,312,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一、为避免今后与公司之间可能出现的同业竞 </w:t>
            </w:r>
            <w:r>
              <w:rPr>
                <w:rFonts w:ascii="宋体" w:hAnsi="宋体" w:cs="宋体" w:eastAsia="宋体" w:hint="default"/>
                <w:spacing w:val="-1"/>
                <w:sz w:val="18"/>
                <w:szCs w:val="18"/>
              </w:rPr>
              <w:t>争，维护公司全体股东的利益和保证公司的长期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稳定发展，公司的第一大股东华峰集团以及本公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司的实际控制人尤小平、尤金焕、尤小华、尤小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玲、尤小燕、陈林真分别向本公司出具了《关于</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避免同业竞争的承诺函》，承诺函的主要内容如</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下：</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、于本承诺函签署之日，本公司、本公司</w:t>
            </w:r>
          </w:p>
          <w:p>
            <w:pPr>
              <w:pStyle w:val="TableParagraph"/>
              <w:spacing w:line="314" w:lineRule="auto"/>
              <w:ind w:left="22" w:right="12"/>
              <w:jc w:val="left"/>
              <w:rPr>
                <w:rFonts w:ascii="宋体" w:hAnsi="宋体" w:cs="宋体" w:eastAsia="宋体" w:hint="default"/>
                <w:sz w:val="18"/>
                <w:szCs w:val="18"/>
              </w:rPr>
            </w:pPr>
            <w:r>
              <w:rPr>
                <w:rFonts w:ascii="宋体" w:hAnsi="宋体" w:cs="宋体" w:eastAsia="宋体" w:hint="default"/>
                <w:sz w:val="18"/>
                <w:szCs w:val="18"/>
              </w:rPr>
              <w:t>（本人）直接或间接控制的除股份公司外的其他 企业及本公司（本人）参股企业均未直接或间接 生产、开发任何与股份公司生产的产品构成竞争 或可能构成竞争的产品，未直接或间接从事任何 与股份公司经营的业务构成竞争或可能构成竞 争的业务或活动； </w:t>
            </w:r>
            <w:r>
              <w:rPr>
                <w:rFonts w:ascii="Times New Roman" w:hAnsi="Times New Roman" w:cs="Times New Roman" w:eastAsia="Times New Roman" w:hint="default"/>
                <w:sz w:val="18"/>
                <w:szCs w:val="18"/>
              </w:rPr>
              <w:t>2</w:t>
            </w:r>
            <w:r>
              <w:rPr>
                <w:rFonts w:ascii="宋体" w:hAnsi="宋体" w:cs="宋体" w:eastAsia="宋体" w:hint="default"/>
                <w:sz w:val="18"/>
                <w:szCs w:val="18"/>
              </w:rPr>
              <w:t>、自本承诺函签署之日起， 本公司、本公司（本人）直接或间接控制的除股 份公司外的其他企业及本公司（本人）参股企业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已履行承 诺</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98.079987pt;margin-top:72.47998pt;width:48.3pt;height:485.7pt;mso-position-horizontal-relative:page;mso-position-vertical-relative:page;z-index:-8589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3"/>
                    <w:ind w:left="0" w:right="0"/>
                    <w:jc w:val="left"/>
                  </w:pPr>
                  <w:r>
                    <w:rPr/>
                    <w:t>、</w:t>
                  </w:r>
                </w:p>
              </w:txbxContent>
            </v:textbox>
            <w10:wrap type="none"/>
          </v:shape>
        </w:pict>
      </w:r>
      <w:r>
        <w:rPr/>
        <w:pict>
          <v:group style="position:absolute;margin-left:157.339996pt;margin-top:636.639954pt;width:53.95pt;height:35.25pt;mso-position-horizontal-relative:page;mso-position-vertical-relative:page;z-index:-858928" coordorigin="3147,12733" coordsize="1079,705">
            <v:group style="position:absolute;left:3147;top:12733;width:1079;height:352" coordorigin="3147,12733" coordsize="1079,352">
              <v:shape style="position:absolute;left:3147;top:12733;width:1079;height:352" coordorigin="3147,12733" coordsize="1079,352" path="m3147,13084l4226,13084,4226,12733,3147,12733,3147,13084xe" filled="true" fillcolor="#ffffff" stroked="false">
                <v:path arrowok="t"/>
                <v:fill type="solid"/>
              </v:shape>
            </v:group>
            <v:group style="position:absolute;left:3147;top:13084;width:1079;height:353" coordorigin="3147,13084" coordsize="1079,353">
              <v:shape style="position:absolute;left:3147;top:13084;width:1079;height:353" coordorigin="3147,13084" coordsize="1079,353" path="m3147,13437l4226,13437,4226,13084,3147,13084,3147,1343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993"/>
        <w:gridCol w:w="992"/>
        <w:gridCol w:w="1134"/>
        <w:gridCol w:w="3827"/>
        <w:gridCol w:w="852"/>
        <w:gridCol w:w="850"/>
        <w:gridCol w:w="920"/>
      </w:tblGrid>
      <w:tr>
        <w:trPr>
          <w:trHeight w:val="317"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38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将不直接或间接生产、开发任何与股份公司生产</w:t>
            </w:r>
          </w:p>
        </w:tc>
        <w:tc>
          <w:tcPr>
            <w:tcW w:w="852" w:type="dxa"/>
            <w:vMerge w:val="restart"/>
            <w:tcBorders>
              <w:top w:val="single" w:sz="4" w:space="0" w:color="000000"/>
              <w:left w:val="single" w:sz="4" w:space="0" w:color="000000"/>
              <w:right w:val="single" w:sz="4" w:space="0" w:color="000000"/>
            </w:tcBorders>
          </w:tcPr>
          <w:p>
            <w:pPr>
              <w:pStyle w:val="TableParagraph"/>
              <w:spacing w:line="9713" w:lineRule="exact"/>
              <w:ind w:left="1"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3"/>
                <w:sz w:val="20"/>
                <w:szCs w:val="20"/>
              </w:rPr>
              <w:pict>
                <v:group style="width:42.05pt;height:485.7pt;mso-position-horizontal-relative:char;mso-position-vertical-relative:line" coordorigin="0,0" coordsize="841,9714">
                  <v:group style="position:absolute;left:0;top:0;width:841;height:9714" coordorigin="0,0" coordsize="841,9714">
                    <v:shape style="position:absolute;left:0;top:0;width:841;height:9714" coordorigin="0,0" coordsize="841,9714" path="m0,9714l840,9714,840,0,0,0,0,9714xe" filled="true" fillcolor="#ffffff" stroked="false">
                      <v:path arrowok="t"/>
                      <v:fill type="solid"/>
                    </v:shape>
                  </v:group>
                </v:group>
              </w:pict>
            </w:r>
            <w:r>
              <w:rPr>
                <w:rFonts w:ascii="Times New Roman" w:hAnsi="Times New Roman" w:cs="Times New Roman" w:eastAsia="Times New Roman" w:hint="default"/>
                <w:position w:val="-193"/>
                <w:sz w:val="20"/>
                <w:szCs w:val="20"/>
              </w:rPr>
            </w:r>
          </w:p>
        </w:tc>
        <w:tc>
          <w:tcPr>
            <w:tcW w:w="850"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的产品构成竞争或可能构成竞争的产品，不直接</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或间接从事任何与股份公司经营的业务构成竞</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争或可能构成竞争的业务或活动；</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、自本承诺</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函签署之日起，如股份公司进一步拓展其产品和</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业务范围，本公司、本公司（本人）直接或间接</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控制的除股份公司外的其他企业及本公司（本</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人）参股企业将不与股份公司拓展后的产品或业</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务相竞争；若与股份公司拓展后的产品或业务产</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生竞争，本公司、本公司（本人）直接或间接控</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制的除股份公司外的其他企业及本公司（本人）</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参股企业将停止生产或经营相竞争的产品或业</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务，或者将相竞争的产品或业务纳入到股份公司</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的生产或经营，或者将相竞争的产品或业务转让</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给无关联关系的第三方；如本承诺函被证明是不</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真实或未被遵守，本公司（本人）将向股份公司</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赔偿一切直接和间接损失。二、第一大股东华峰</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集团以及实际控制人尤小平、尤金焕、尤小华、</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陈林真、尤小玲、尤小燕已经出具了《减少及规</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范关联交易承诺函</w:t>
            </w:r>
            <w:r>
              <w:rPr>
                <w:rFonts w:ascii="宋体" w:hAnsi="宋体" w:cs="宋体" w:eastAsia="宋体" w:hint="default"/>
                <w:spacing w:val="-90"/>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做出如下承诺和保证：</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1</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华峰集团、尤小平、尤金焕、尤小华、陈林真、</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尤小玲、尤小燕及其控制的其他企业将尽量避免</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与股份公司及其控股或控制的子公司之间发生</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、如果关联交易难以避免，交易双</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方将严格按照正常商业行为准则进行。关联交易</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的定价政策遵循市场公平、公正、公开的原则，</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交易价格依据与市场独立第三方交易价格确定。</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无市场价格可比较或定价受到限制的重大关联</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交易，按照交易的商品或劳务的成本基础上加合</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理利润的标准予以确定交易价格，以保证交易价</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38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格的公允性。</w:t>
            </w: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8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本公司董事长尤小平、监事尤小玲以及其直系亲</w:t>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93"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属尤金焕、尤小华、尤小燕、陈林真（以上六人</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为本公司实际控制人）均特别承诺：在前述限售</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993"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13" w:space="0" w:color="FFFFFF"/>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3" w:right="45"/>
              <w:jc w:val="both"/>
              <w:rPr>
                <w:rFonts w:ascii="宋体" w:hAnsi="宋体" w:cs="宋体" w:eastAsia="宋体" w:hint="default"/>
                <w:sz w:val="18"/>
                <w:szCs w:val="18"/>
              </w:rPr>
            </w:pPr>
            <w:r>
              <w:rPr>
                <w:rFonts w:ascii="宋体" w:hAnsi="宋体" w:cs="宋体" w:eastAsia="宋体" w:hint="default"/>
                <w:sz w:val="18"/>
                <w:szCs w:val="18"/>
              </w:rPr>
              <w:t>尤小平、尤 金焕、尤小 </w:t>
            </w:r>
            <w:r>
              <w:rPr>
                <w:rFonts w:ascii="宋体" w:hAnsi="宋体" w:cs="宋体" w:eastAsia="宋体" w:hint="default"/>
                <w:spacing w:val="-11"/>
                <w:sz w:val="18"/>
                <w:szCs w:val="18"/>
              </w:rPr>
              <w:t>华、尤小燕</w:t>
            </w:r>
            <w:r>
              <w:rPr>
                <w:rFonts w:ascii="宋体" w:hAnsi="宋体" w:cs="宋体" w:eastAsia="宋体" w:hint="default"/>
                <w:sz w:val="18"/>
                <w:szCs w:val="18"/>
              </w:rPr>
              <w:t> 尤小玲、陈 林真</w:t>
            </w:r>
          </w:p>
        </w:tc>
        <w:tc>
          <w:tcPr>
            <w:tcW w:w="1134"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195" w:lineRule="exact"/>
              <w:ind w:left="11" w:right="0"/>
              <w:jc w:val="left"/>
              <w:rPr>
                <w:rFonts w:ascii="宋体" w:hAnsi="宋体" w:cs="宋体" w:eastAsia="宋体" w:hint="default"/>
                <w:sz w:val="18"/>
                <w:szCs w:val="18"/>
              </w:rPr>
            </w:pPr>
            <w:r>
              <w:rPr>
                <w:rFonts w:ascii="宋体" w:hAnsi="宋体" w:cs="宋体" w:eastAsia="宋体" w:hint="default"/>
                <w:sz w:val="18"/>
                <w:szCs w:val="18"/>
              </w:rPr>
              <w:t>股份减持承</w:t>
            </w:r>
          </w:p>
          <w:p>
            <w:pPr>
              <w:pStyle w:val="TableParagraph"/>
              <w:spacing w:line="156" w:lineRule="exact"/>
              <w:ind w:left="-13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期满后，在尤小平、尤小玲任职期间，每年转让 的股份不超过其直接和间接持有发行人股份总 数的百分之二十五，并且在卖出后六个月内不再 买入发行人的股份，买入后六个月内不再卖出发 行人股份；尤小平、尤小玲离职后六个月内，不 转让其直接或间接持有的发行人股份；尤小平、</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已履行承 诺</w:t>
            </w: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尤小玲离职六个月后的十二个月内转让其直接</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或间接持有的发行人股份不超过其该部分股份</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8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总数的百分之五十。</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993"/>
        <w:gridCol w:w="992"/>
        <w:gridCol w:w="1134"/>
        <w:gridCol w:w="3827"/>
        <w:gridCol w:w="852"/>
        <w:gridCol w:w="850"/>
        <w:gridCol w:w="923"/>
      </w:tblGrid>
      <w:tr>
        <w:trPr>
          <w:trHeight w:val="5082"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9" w:lineRule="auto"/>
              <w:ind w:left="23" w:right="56"/>
              <w:jc w:val="both"/>
              <w:rPr>
                <w:rFonts w:ascii="宋体" w:hAnsi="宋体" w:cs="宋体" w:eastAsia="宋体" w:hint="default"/>
                <w:sz w:val="18"/>
                <w:szCs w:val="18"/>
              </w:rPr>
            </w:pPr>
            <w:r>
              <w:rPr>
                <w:rFonts w:ascii="宋体" w:hAnsi="宋体" w:cs="宋体" w:eastAsia="宋体" w:hint="default"/>
                <w:sz w:val="18"/>
                <w:szCs w:val="18"/>
              </w:rPr>
              <w:t>浙江华峰氨 纶股份有限 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一、就与公司避免同业竞争，经华峰氨纶第四届 董事会第八次会议审议通过，华峰氨纶向公司出 </w:t>
            </w:r>
            <w:r>
              <w:rPr>
                <w:rFonts w:ascii="宋体" w:hAnsi="宋体" w:cs="宋体" w:eastAsia="宋体" w:hint="default"/>
                <w:spacing w:val="-5"/>
                <w:sz w:val="18"/>
                <w:szCs w:val="18"/>
              </w:rPr>
              <w:t>具了《承诺函》，华峰氨纶承诺：截至本承诺函</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签署之日，本公司未直接或间接从事与华峰超纤</w:t>
            </w:r>
            <w:r>
              <w:rPr>
                <w:rFonts w:ascii="宋体" w:hAnsi="宋体" w:cs="宋体" w:eastAsia="宋体" w:hint="default"/>
                <w:sz w:val="18"/>
                <w:szCs w:val="18"/>
              </w:rPr>
              <w:t> 构成竞争的任何业务；自本承诺函签署之日起， 本公司及下属子公司将不直接或间接从事人造 革合成革（包括超细纤维聚氨酯合成革）的生产 和销售。 二、就与公司减少关联交易，经华峰 氨纶第四届董事会第八次会议审议通过，华峰氨 </w:t>
            </w:r>
            <w:r>
              <w:rPr>
                <w:rFonts w:ascii="宋体" w:hAnsi="宋体" w:cs="宋体" w:eastAsia="宋体" w:hint="default"/>
                <w:spacing w:val="-5"/>
                <w:sz w:val="18"/>
                <w:szCs w:val="18"/>
              </w:rPr>
              <w:t>纶向公司出具了《承诺函》，华峰氨纶承诺：本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公司及下属子公司将不与华峰超纤及其子公司 之间发生购销商品、提供劳务等经常性的关联交</w:t>
            </w:r>
            <w:r>
              <w:rPr>
                <w:rFonts w:ascii="宋体" w:hAnsi="宋体" w:cs="宋体" w:eastAsia="宋体" w:hint="default"/>
                <w:sz w:val="18"/>
                <w:szCs w:val="18"/>
              </w:rPr>
              <w:t> 易，尽量避免发生偶发性关联交易；确属必要的 关联交易，须遵循公平、公正的原则，严格执行 关联交易决策程序，保证交易公允，不损害双方 利益。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68"/>
              <w:jc w:val="left"/>
              <w:rPr>
                <w:rFonts w:ascii="宋体" w:hAnsi="宋体" w:cs="宋体" w:eastAsia="宋体" w:hint="default"/>
                <w:sz w:val="18"/>
                <w:szCs w:val="18"/>
              </w:rPr>
            </w:pPr>
            <w:r>
              <w:rPr>
                <w:rFonts w:ascii="宋体" w:hAnsi="宋体" w:cs="宋体" w:eastAsia="宋体" w:hint="default"/>
                <w:sz w:val="18"/>
                <w:szCs w:val="18"/>
              </w:rPr>
              <w:t>已履行承 诺</w:t>
            </w:r>
          </w:p>
        </w:tc>
      </w:tr>
      <w:tr>
        <w:trPr>
          <w:trHeight w:val="4146" w:hRule="exact"/>
        </w:trPr>
        <w:tc>
          <w:tcPr>
            <w:tcW w:w="993"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6"/>
              <w:jc w:val="both"/>
              <w:rPr>
                <w:rFonts w:ascii="宋体" w:hAnsi="宋体" w:cs="宋体" w:eastAsia="宋体" w:hint="default"/>
                <w:sz w:val="18"/>
                <w:szCs w:val="18"/>
              </w:rPr>
            </w:pPr>
            <w:r>
              <w:rPr>
                <w:rFonts w:ascii="宋体" w:hAnsi="宋体" w:cs="宋体" w:eastAsia="宋体" w:hint="default"/>
                <w:sz w:val="18"/>
                <w:szCs w:val="18"/>
              </w:rPr>
              <w:t>中广核资本 控股有限公 司、北信瑞 丰基金管理 有限公司、 华安未来资 产管理（上 海）有限公 司，中欧盛 世资产管理</w:t>
            </w:r>
          </w:p>
          <w:p>
            <w:pPr>
              <w:pStyle w:val="TableParagraph"/>
              <w:spacing w:line="319" w:lineRule="auto" w:before="19"/>
              <w:ind w:left="23" w:right="56"/>
              <w:jc w:val="both"/>
              <w:rPr>
                <w:rFonts w:ascii="宋体" w:hAnsi="宋体" w:cs="宋体" w:eastAsia="宋体" w:hint="default"/>
                <w:sz w:val="18"/>
                <w:szCs w:val="18"/>
              </w:rPr>
            </w:pPr>
            <w:r>
              <w:rPr>
                <w:rFonts w:ascii="宋体" w:hAnsi="宋体" w:cs="宋体" w:eastAsia="宋体" w:hint="default"/>
                <w:sz w:val="18"/>
                <w:szCs w:val="18"/>
              </w:rPr>
              <w:t>（上海）有 限公司、刘 建国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2"/>
              <w:ind w:left="22" w:right="199"/>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1"/>
                <w:sz w:val="18"/>
                <w:szCs w:val="18"/>
              </w:rPr>
              <w:t>认购之华峰超纤非公开发行股份，自华峰超纤本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次非公开股份发行股份上市之日起十二个月内 不进行转让。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2"/>
              <w:ind w:left="22" w:right="168"/>
              <w:jc w:val="left"/>
              <w:rPr>
                <w:rFonts w:ascii="宋体" w:hAnsi="宋体" w:cs="宋体" w:eastAsia="宋体" w:hint="default"/>
                <w:sz w:val="18"/>
                <w:szCs w:val="18"/>
              </w:rPr>
            </w:pPr>
            <w:r>
              <w:rPr>
                <w:rFonts w:ascii="宋体" w:hAnsi="宋体" w:cs="宋体" w:eastAsia="宋体" w:hint="default"/>
                <w:sz w:val="18"/>
                <w:szCs w:val="18"/>
              </w:rPr>
              <w:t>已履行承 诺</w:t>
            </w:r>
          </w:p>
        </w:tc>
      </w:tr>
      <w:tr>
        <w:trPr>
          <w:trHeight w:val="4419"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316" w:lineRule="auto"/>
              <w:ind w:left="23" w:right="56"/>
              <w:jc w:val="both"/>
              <w:rPr>
                <w:rFonts w:ascii="宋体" w:hAnsi="宋体" w:cs="宋体" w:eastAsia="宋体" w:hint="default"/>
                <w:sz w:val="18"/>
                <w:szCs w:val="18"/>
              </w:rPr>
            </w:pPr>
            <w:r>
              <w:rPr>
                <w:rFonts w:ascii="宋体" w:hAnsi="宋体" w:cs="宋体" w:eastAsia="宋体" w:hint="default"/>
                <w:sz w:val="18"/>
                <w:szCs w:val="18"/>
              </w:rPr>
              <w:t>上海华峰超 纤材料股份 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3"/>
              <w:ind w:left="22" w:right="21"/>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一、就与华峰氨纶避免同业竞争，经公司第一届 董事会第九次会议审议通过，公司向华峰氨纶出 </w:t>
            </w:r>
            <w:r>
              <w:rPr>
                <w:rFonts w:ascii="宋体" w:hAnsi="宋体" w:cs="宋体" w:eastAsia="宋体" w:hint="default"/>
                <w:spacing w:val="-5"/>
                <w:sz w:val="18"/>
                <w:szCs w:val="18"/>
              </w:rPr>
              <w:t>具了《承诺函》，公司承诺：截至本承诺函签署</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之日，本公司未直接或间接从事与华峰氨纶构成</w:t>
            </w:r>
            <w:r>
              <w:rPr>
                <w:rFonts w:ascii="宋体" w:hAnsi="宋体" w:cs="宋体" w:eastAsia="宋体" w:hint="default"/>
                <w:sz w:val="18"/>
                <w:szCs w:val="18"/>
              </w:rPr>
              <w:t> 竞争的任何业务；自本承诺函签署之日起，本公 司及下属子公司将不直接或间接从事氨纶产品 的生产和销售。 二、就与华峰氨纶减少关联交 易，经公司第一届董事会第九次会议审议通过， </w:t>
            </w:r>
            <w:r>
              <w:rPr>
                <w:rFonts w:ascii="宋体" w:hAnsi="宋体" w:cs="宋体" w:eastAsia="宋体" w:hint="default"/>
                <w:spacing w:val="-5"/>
                <w:sz w:val="18"/>
                <w:szCs w:val="18"/>
              </w:rPr>
              <w:t>公司向华峰氨纶出具了《承诺函》，公司承诺：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本公司及下属子公司将不与华峰氨纶及其子公 司之间发生购销商品、提供劳务等经常性的关联</w:t>
            </w:r>
            <w:r>
              <w:rPr>
                <w:rFonts w:ascii="宋体" w:hAnsi="宋体" w:cs="宋体" w:eastAsia="宋体" w:hint="default"/>
                <w:sz w:val="18"/>
                <w:szCs w:val="18"/>
              </w:rPr>
              <w:t> 交易，尽量避免发生偶发性关联交易；确属必要 的关联交易，须遵循公平、公正的原则，严格执 行关联交易决策程序，保证交易价格公允，不损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22" w:right="168"/>
              <w:jc w:val="left"/>
              <w:rPr>
                <w:rFonts w:ascii="宋体" w:hAnsi="宋体" w:cs="宋体" w:eastAsia="宋体" w:hint="default"/>
                <w:sz w:val="18"/>
                <w:szCs w:val="18"/>
              </w:rPr>
            </w:pPr>
            <w:r>
              <w:rPr>
                <w:rFonts w:ascii="宋体" w:hAnsi="宋体" w:cs="宋体" w:eastAsia="宋体" w:hint="default"/>
                <w:sz w:val="18"/>
                <w:szCs w:val="18"/>
              </w:rPr>
              <w:t>已履行承 诺</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971"/>
        <w:gridCol w:w="1003"/>
        <w:gridCol w:w="1134"/>
        <w:gridCol w:w="3827"/>
        <w:gridCol w:w="852"/>
        <w:gridCol w:w="850"/>
        <w:gridCol w:w="920"/>
      </w:tblGrid>
      <w:tr>
        <w:trPr>
          <w:trHeight w:val="362"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害双方利益。</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7"/>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1003"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7"/>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1003"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9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47"/>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1003" w:type="dxa"/>
            <w:vMerge w:val="restart"/>
            <w:tcBorders>
              <w:top w:val="single" w:sz="4" w:space="0" w:color="000000"/>
              <w:left w:val="single" w:sz="13" w:space="0" w:color="D2D2D2"/>
              <w:right w:val="single" w:sz="9" w:space="0" w:color="D2D2D2"/>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9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971" w:type="dxa"/>
            <w:vMerge/>
            <w:tcBorders>
              <w:left w:val="single" w:sz="4" w:space="0" w:color="000000"/>
              <w:right w:val="single" w:sz="4" w:space="0" w:color="000000"/>
            </w:tcBorders>
            <w:shd w:val="clear" w:color="auto" w:fill="D2D2D2"/>
          </w:tcPr>
          <w:p>
            <w:pPr/>
          </w:p>
        </w:tc>
        <w:tc>
          <w:tcPr>
            <w:tcW w:w="1003" w:type="dxa"/>
            <w:vMerge/>
            <w:tcBorders>
              <w:left w:val="single" w:sz="13" w:space="0" w:color="D2D2D2"/>
              <w:right w:val="single" w:sz="9" w:space="0" w:color="D2D2D2"/>
            </w:tcBorders>
          </w:tcPr>
          <w:p>
            <w:pPr/>
          </w:p>
        </w:tc>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3827" w:type="dxa"/>
            <w:tcBorders>
              <w:top w:val="nil" w:sz="6" w:space="0" w:color="auto"/>
              <w:left w:val="single" w:sz="4" w:space="0" w:color="000000"/>
              <w:bottom w:val="nil" w:sz="6" w:space="0" w:color="auto"/>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shd w:val="clear" w:color="auto" w:fill="D2D2D2"/>
          </w:tcPr>
          <w:p>
            <w:pPr/>
          </w:p>
        </w:tc>
        <w:tc>
          <w:tcPr>
            <w:tcW w:w="920"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161" w:hRule="exact"/>
        </w:trPr>
        <w:tc>
          <w:tcPr>
            <w:tcW w:w="97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13" w:space="0" w:color="D2D2D2"/>
              <w:bottom w:val="single" w:sz="4" w:space="0" w:color="000000"/>
              <w:right w:val="single" w:sz="9" w:space="0" w:color="D2D2D2"/>
            </w:tcBorders>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3827"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9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586"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7"/>
              <w:jc w:val="both"/>
              <w:rPr>
                <w:rFonts w:ascii="宋体" w:hAnsi="宋体" w:cs="宋体" w:eastAsia="宋体" w:hint="default"/>
                <w:sz w:val="18"/>
                <w:szCs w:val="18"/>
              </w:rPr>
            </w:pPr>
            <w:r>
              <w:rPr>
                <w:rFonts w:ascii="宋体" w:hAnsi="宋体" w:cs="宋体" w:eastAsia="宋体" w:hint="default"/>
                <w:sz w:val="18"/>
                <w:szCs w:val="18"/>
              </w:rPr>
              <w:t>如承诺超期 未履行完毕 的，应当详 细说明未完 成履行的具 体原因及下 一步的工作 计划</w:t>
            </w:r>
          </w:p>
        </w:tc>
        <w:tc>
          <w:tcPr>
            <w:tcW w:w="8587"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87"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left="1134"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194"/>
        <w:gridCol w:w="1196"/>
        <w:gridCol w:w="1195"/>
        <w:gridCol w:w="1197"/>
        <w:gridCol w:w="1196"/>
        <w:gridCol w:w="1196"/>
        <w:gridCol w:w="1199"/>
        <w:gridCol w:w="1195"/>
      </w:tblGrid>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1"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5" w:right="53"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2" w:right="50"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威富通净利润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0" w:right="0"/>
              <w:jc w:val="left"/>
              <w:rPr>
                <w:rFonts w:ascii="Times New Roman" w:hAnsi="Times New Roman" w:cs="Times New Roman" w:eastAsia="Times New Roman" w:hint="default"/>
                <w:sz w:val="18"/>
                <w:szCs w:val="18"/>
              </w:rPr>
            </w:pPr>
            <w:r>
              <w:rPr>
                <w:rFonts w:ascii="Times New Roman"/>
                <w:sz w:val="18"/>
              </w:rPr>
              <w:t>15,700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32" w:right="0"/>
              <w:jc w:val="left"/>
              <w:rPr>
                <w:rFonts w:ascii="Times New Roman" w:hAnsi="Times New Roman" w:cs="Times New Roman" w:eastAsia="Times New Roman" w:hint="default"/>
                <w:sz w:val="18"/>
                <w:szCs w:val="18"/>
              </w:rPr>
            </w:pPr>
            <w:r>
              <w:rPr>
                <w:rFonts w:ascii="Times New Roman"/>
                <w:sz w:val="18"/>
              </w:rPr>
              <w:t>18,360.8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pStyle w:val="BodyText"/>
        <w:spacing w:line="240" w:lineRule="auto" w:before="51"/>
        <w:ind w:left="1134" w:right="0"/>
        <w:jc w:val="left"/>
      </w:pPr>
      <w:r>
        <w:rPr/>
        <w:t>公司股东、交易对手方对公司或相关资产年度经营业绩作出的承诺情况</w:t>
      </w:r>
    </w:p>
    <w:p>
      <w:pPr>
        <w:pStyle w:val="BodyText"/>
        <w:spacing w:line="328" w:lineRule="auto" w:before="116"/>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5"/>
        </w:rPr>
        <w:t>根据上市公司与交易对方鲜丹等签署的《盈利预测补偿协议》、《盈利预测补偿协议之补充协议》及《盈利预测补偿协议之补</w:t>
      </w:r>
      <w:r>
        <w:rPr>
          <w:spacing w:val="-79"/>
        </w:rPr>
        <w:t> </w:t>
      </w:r>
      <w:r>
        <w:rPr>
          <w:spacing w:val="-79"/>
        </w:rPr>
      </w:r>
      <w:r>
        <w:rPr>
          <w:spacing w:val="-10"/>
        </w:rPr>
        <w:t>充协议（二）》，本次交易的业绩补偿期为</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年度和</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年度。补偿义务人承诺本次重大资产重组实施完毕</w:t>
      </w:r>
    </w:p>
    <w:p>
      <w:pPr>
        <w:pStyle w:val="BodyText"/>
        <w:spacing w:line="238" w:lineRule="exact"/>
        <w:ind w:right="0"/>
        <w:jc w:val="left"/>
      </w:pPr>
      <w:r>
        <w:rPr/>
        <w:t>后，威富通在</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年度和</w:t>
      </w:r>
      <w:r>
        <w:rPr>
          <w:spacing w:val="-46"/>
        </w:rPr>
        <w:t> </w:t>
      </w:r>
      <w:r>
        <w:rPr>
          <w:rFonts w:ascii="Times New Roman" w:hAnsi="Times New Roman" w:cs="Times New Roman" w:eastAsia="Times New Roman" w:hint="default"/>
        </w:rPr>
        <w:t>2018 </w:t>
      </w:r>
      <w:r>
        <w:rPr/>
        <w:t>年度预测实现的合并报表范围扣除非经常性损益及本次交易募集配套资金所产</w:t>
      </w:r>
    </w:p>
    <w:p>
      <w:pPr>
        <w:pStyle w:val="BodyText"/>
        <w:spacing w:line="240" w:lineRule="auto" w:before="64"/>
        <w:ind w:right="0"/>
        <w:jc w:val="left"/>
      </w:pPr>
      <w:r>
        <w:rPr/>
        <w:t>生的影响后归属于母公司所有者的净利润分别不低于</w:t>
      </w:r>
      <w:r>
        <w:rPr>
          <w:spacing w:val="-46"/>
        </w:rPr>
        <w:t> </w:t>
      </w:r>
      <w:r>
        <w:rPr>
          <w:rFonts w:ascii="Times New Roman" w:hAnsi="Times New Roman" w:cs="Times New Roman" w:eastAsia="Times New Roman" w:hint="default"/>
        </w:rPr>
        <w:t>13,000.00</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15,700.00</w:t>
      </w:r>
      <w:r>
        <w:rPr>
          <w:rFonts w:ascii="Times New Roman" w:hAnsi="Times New Roman" w:cs="Times New Roman" w:eastAsia="Times New Roman" w:hint="default"/>
          <w:spacing w:val="-2"/>
        </w:rPr>
        <w:t> </w:t>
      </w:r>
      <w:r>
        <w:rPr/>
        <w:t>万元和</w:t>
      </w:r>
      <w:r>
        <w:rPr>
          <w:spacing w:val="-47"/>
        </w:rPr>
        <w:t> </w:t>
      </w:r>
      <w:r>
        <w:rPr>
          <w:rFonts w:ascii="Times New Roman" w:hAnsi="Times New Roman" w:cs="Times New Roman" w:eastAsia="Times New Roman" w:hint="default"/>
        </w:rPr>
        <w:t>18,600.00</w:t>
      </w:r>
      <w:r>
        <w:rPr>
          <w:rFonts w:ascii="Times New Roman" w:hAnsi="Times New Roman" w:cs="Times New Roman" w:eastAsia="Times New Roman" w:hint="default"/>
          <w:spacing w:val="-1"/>
        </w:rPr>
        <w:t> </w:t>
      </w:r>
      <w:r>
        <w:rPr/>
        <w:t>万元。</w:t>
      </w:r>
    </w:p>
    <w:p>
      <w:pPr>
        <w:spacing w:line="240" w:lineRule="auto" w:before="12"/>
        <w:rPr>
          <w:rFonts w:ascii="宋体" w:hAnsi="宋体" w:cs="宋体" w:eastAsia="宋体" w:hint="default"/>
          <w:sz w:val="23"/>
          <w:szCs w:val="23"/>
        </w:rPr>
      </w:pPr>
    </w:p>
    <w:p>
      <w:pPr>
        <w:pStyle w:val="Heading2"/>
        <w:spacing w:line="240" w:lineRule="auto"/>
        <w:ind w:left="1134" w:right="0"/>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执行财政部新的企业会计准则</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093"/>
        <w:jc w:val="left"/>
      </w:pPr>
      <w:r>
        <w:rPr/>
        <w:pict>
          <v:group style="position:absolute;margin-left:56.700001pt;margin-top:32.951698pt;width:426.2pt;height:.1pt;mso-position-horizontal-relative:page;mso-position-vertical-relative:paragraph;z-index:-858904" coordorigin="1134,659" coordsize="8524,2">
            <v:shape style="position:absolute;left:1134;top:659;width:8524;height:2" coordorigin="1134,659" coordsize="8524,0" path="m1134,659l9658,659e" filled="false" stroked="true" strokeweight=".72pt" strokecolor="#000000">
              <v:path arrowok="t"/>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因收购威富通，截止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日，本公司增加合并财务报表范围内子公司如下：</w:t>
      </w:r>
    </w:p>
    <w:p>
      <w:pPr>
        <w:pStyle w:val="BodyText"/>
        <w:spacing w:line="240" w:lineRule="auto" w:before="6"/>
        <w:ind w:left="2289" w:right="3403"/>
        <w:jc w:val="center"/>
      </w:pPr>
      <w:r>
        <w:rPr/>
        <w:t>子公司名称</w:t>
      </w:r>
    </w:p>
    <w:p>
      <w:pPr>
        <w:spacing w:line="240" w:lineRule="auto" w:before="4"/>
        <w:rPr>
          <w:rFonts w:ascii="宋体" w:hAnsi="宋体" w:cs="宋体" w:eastAsia="宋体" w:hint="default"/>
          <w:sz w:val="6"/>
          <w:szCs w:val="6"/>
        </w:rPr>
      </w:pPr>
    </w:p>
    <w:tbl>
      <w:tblPr>
        <w:tblW w:w="0" w:type="auto"/>
        <w:jc w:val="left"/>
        <w:tblInd w:w="1134" w:type="dxa"/>
        <w:tblLayout w:type="fixed"/>
        <w:tblCellMar>
          <w:top w:w="0" w:type="dxa"/>
          <w:left w:w="0" w:type="dxa"/>
          <w:bottom w:w="0" w:type="dxa"/>
          <w:right w:w="0" w:type="dxa"/>
        </w:tblCellMar>
        <w:tblLook w:val="01E0"/>
      </w:tblPr>
      <w:tblGrid>
        <w:gridCol w:w="8533"/>
      </w:tblGrid>
      <w:tr>
        <w:trPr>
          <w:trHeight w:val="370" w:hRule="exact"/>
        </w:trPr>
        <w:tc>
          <w:tcPr>
            <w:tcW w:w="85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28"/>
              <w:ind w:left="20" w:right="0"/>
              <w:jc w:val="left"/>
              <w:rPr>
                <w:rFonts w:ascii="宋体" w:hAnsi="宋体" w:cs="宋体" w:eastAsia="宋体" w:hint="default"/>
                <w:sz w:val="18"/>
                <w:szCs w:val="18"/>
              </w:rPr>
            </w:pPr>
            <w:r>
              <w:rPr>
                <w:rFonts w:ascii="宋体" w:hAnsi="宋体" w:cs="宋体" w:eastAsia="宋体" w:hint="default"/>
                <w:sz w:val="18"/>
                <w:szCs w:val="18"/>
              </w:rPr>
              <w:t>深圳市威富通科技有限公司（以下简称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威富通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85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深圳市购购通电商科技有限公司（以下简称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购购通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85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跨境通移动科技有限公司（以下简称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跨境通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85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深圳市智付通信息服务有限公司（以下简称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智付通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85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深圳市白龙移动科技有限公司（以下简称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白龙移动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71" w:hRule="exact"/>
        </w:trPr>
        <w:tc>
          <w:tcPr>
            <w:tcW w:w="8533" w:type="dxa"/>
            <w:tcBorders>
              <w:top w:val="single" w:sz="12" w:space="0" w:color="000000"/>
              <w:left w:val="nil" w:sz="6" w:space="0" w:color="auto"/>
              <w:bottom w:val="single" w:sz="28" w:space="0" w:color="000000"/>
              <w:right w:val="nil" w:sz="6" w:space="0" w:color="auto"/>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深圳市智易信息服务有限公司（以下简称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智易信息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Heading2"/>
        <w:spacing w:line="240" w:lineRule="auto" w:before="26"/>
        <w:ind w:left="1134" w:right="0"/>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140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朱伟、唐伟</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left="1134" w:right="0"/>
        <w:jc w:val="left"/>
      </w:pPr>
      <w:r>
        <w:rPr/>
        <w:t>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2"/>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left="1134" w:right="0"/>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4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800"/>
        <w:gridCol w:w="677"/>
        <w:gridCol w:w="677"/>
        <w:gridCol w:w="703"/>
        <w:gridCol w:w="680"/>
        <w:gridCol w:w="674"/>
        <w:gridCol w:w="674"/>
        <w:gridCol w:w="674"/>
        <w:gridCol w:w="673"/>
        <w:gridCol w:w="674"/>
        <w:gridCol w:w="675"/>
        <w:gridCol w:w="673"/>
        <w:gridCol w:w="671"/>
        <w:gridCol w:w="644"/>
      </w:tblGrid>
      <w:tr>
        <w:trPr>
          <w:trHeight w:val="1338"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303"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75"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61"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2" w:right="150"/>
              <w:jc w:val="left"/>
              <w:rPr>
                <w:rFonts w:ascii="宋体" w:hAnsi="宋体" w:cs="宋体" w:eastAsia="宋体" w:hint="default"/>
                <w:sz w:val="18"/>
                <w:szCs w:val="18"/>
              </w:rPr>
            </w:pPr>
            <w:r>
              <w:rPr>
                <w:rFonts w:ascii="宋体" w:hAnsi="宋体" w:cs="宋体" w:eastAsia="宋体" w:hint="default"/>
                <w:sz w:val="18"/>
                <w:szCs w:val="18"/>
              </w:rPr>
              <w:t>（万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3"/>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0"/>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41"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6"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5"/>
              <w:jc w:val="both"/>
              <w:rPr>
                <w:rFonts w:ascii="宋体" w:hAnsi="宋体" w:cs="宋体" w:eastAsia="宋体" w:hint="default"/>
                <w:sz w:val="18"/>
                <w:szCs w:val="18"/>
              </w:rPr>
            </w:pPr>
            <w:r>
              <w:rPr>
                <w:rFonts w:ascii="宋体" w:hAnsi="宋体" w:cs="宋体" w:eastAsia="宋体" w:hint="default"/>
                <w:sz w:val="18"/>
                <w:szCs w:val="18"/>
              </w:rPr>
              <w:t>重庆华峰 化工有限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2"/>
              <w:jc w:val="both"/>
              <w:rPr>
                <w:rFonts w:ascii="宋体" w:hAnsi="宋体" w:cs="宋体" w:eastAsia="宋体" w:hint="default"/>
                <w:sz w:val="18"/>
                <w:szCs w:val="18"/>
              </w:rPr>
            </w:pPr>
            <w:r>
              <w:rPr>
                <w:rFonts w:ascii="宋体" w:hAnsi="宋体" w:cs="宋体" w:eastAsia="宋体" w:hint="default"/>
                <w:sz w:val="18"/>
                <w:szCs w:val="18"/>
              </w:rPr>
              <w:t>实际控 制人控 制的其 他企业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2"/>
              <w:jc w:val="left"/>
              <w:rPr>
                <w:rFonts w:ascii="宋体" w:hAnsi="宋体" w:cs="宋体" w:eastAsia="宋体" w:hint="default"/>
                <w:sz w:val="18"/>
                <w:szCs w:val="18"/>
              </w:rPr>
            </w:pPr>
            <w:r>
              <w:rPr>
                <w:rFonts w:ascii="宋体" w:hAnsi="宋体" w:cs="宋体" w:eastAsia="宋体" w:hint="default"/>
                <w:sz w:val="18"/>
                <w:szCs w:val="18"/>
              </w:rPr>
              <w:t>购买原 材料</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8"/>
              <w:jc w:val="left"/>
              <w:rPr>
                <w:rFonts w:ascii="宋体" w:hAnsi="宋体" w:cs="宋体" w:eastAsia="宋体" w:hint="default"/>
                <w:sz w:val="18"/>
                <w:szCs w:val="18"/>
              </w:rPr>
            </w:pPr>
            <w:r>
              <w:rPr>
                <w:rFonts w:ascii="宋体" w:hAnsi="宋体" w:cs="宋体" w:eastAsia="宋体" w:hint="default"/>
                <w:sz w:val="18"/>
                <w:szCs w:val="18"/>
              </w:rPr>
              <w:t>购买己 二酸</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7"/>
              <w:jc w:val="left"/>
              <w:rPr>
                <w:rFonts w:ascii="宋体" w:hAnsi="宋体" w:cs="宋体" w:eastAsia="宋体" w:hint="default"/>
                <w:sz w:val="18"/>
                <w:szCs w:val="18"/>
              </w:rPr>
            </w:pPr>
            <w:r>
              <w:rPr>
                <w:rFonts w:ascii="宋体" w:hAnsi="宋体" w:cs="宋体" w:eastAsia="宋体" w:hint="default"/>
                <w:sz w:val="18"/>
                <w:szCs w:val="18"/>
              </w:rPr>
              <w:t>遵循市 场定价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99"/>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3,189.3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5,000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月结</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98"/>
              <w:jc w:val="left"/>
              <w:rPr>
                <w:rFonts w:ascii="宋体" w:hAnsi="宋体" w:cs="宋体" w:eastAsia="宋体" w:hint="default"/>
                <w:sz w:val="18"/>
                <w:szCs w:val="18"/>
              </w:rPr>
            </w:pPr>
            <w:r>
              <w:rPr>
                <w:rFonts w:ascii="宋体" w:hAnsi="宋体" w:cs="宋体" w:eastAsia="宋体" w:hint="default"/>
                <w:sz w:val="18"/>
                <w:szCs w:val="18"/>
              </w:rPr>
              <w:t>同期市 场价格</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162" w:hRule="exact"/>
        </w:trPr>
        <w:tc>
          <w:tcPr>
            <w:tcW w:w="2856"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9" w:space="0" w:color="D2D2D2"/>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3,189.3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5,000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2856"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9" w:space="0" w:color="D2D2D2"/>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shd w:val="clear" w:color="auto" w:fill="D2D2D2"/>
          </w:tcPr>
          <w:p>
            <w:pPr/>
          </w:p>
        </w:tc>
        <w:tc>
          <w:tcPr>
            <w:tcW w:w="671" w:type="dxa"/>
            <w:vMerge/>
            <w:tcBorders>
              <w:left w:val="single" w:sz="4" w:space="0" w:color="000000"/>
              <w:right w:val="single" w:sz="4" w:space="0" w:color="000000"/>
            </w:tcBorders>
            <w:shd w:val="clear" w:color="auto" w:fill="D2D2D2"/>
          </w:tcPr>
          <w:p>
            <w:pPr/>
          </w:p>
        </w:tc>
        <w:tc>
          <w:tcPr>
            <w:tcW w:w="644" w:type="dxa"/>
            <w:vMerge/>
            <w:tcBorders>
              <w:left w:val="single" w:sz="4" w:space="0" w:color="000000"/>
              <w:right w:val="single" w:sz="4" w:space="0" w:color="000000"/>
            </w:tcBorders>
            <w:shd w:val="clear" w:color="auto" w:fill="D2D2D2"/>
          </w:tcPr>
          <w:p>
            <w:pPr/>
          </w:p>
        </w:tc>
      </w:tr>
      <w:tr>
        <w:trPr>
          <w:trHeight w:val="161" w:hRule="exact"/>
        </w:trPr>
        <w:tc>
          <w:tcPr>
            <w:tcW w:w="2856"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9" w:space="0" w:color="D2D2D2"/>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1" w:type="dxa"/>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6"/>
                <w:sz w:val="18"/>
                <w:szCs w:val="18"/>
              </w:rPr>
              <w:t>易进行总金额预计的，在报告期内的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实际履行情况（如有）</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2"/>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2856"/>
        <w:gridCol w:w="6714"/>
      </w:tblGrid>
      <w:tr>
        <w:trPr>
          <w:trHeight w:val="332" w:hRule="exact"/>
        </w:trPr>
        <w:tc>
          <w:tcPr>
            <w:tcW w:w="2856" w:type="dxa"/>
            <w:tcBorders>
              <w:top w:val="single" w:sz="6" w:space="0" w:color="000000"/>
              <w:left w:val="nil" w:sz="6" w:space="0" w:color="auto"/>
              <w:bottom w:val="single" w:sz="4" w:space="0" w:color="000000"/>
              <w:right w:val="nil" w:sz="6" w:space="0" w:color="auto"/>
            </w:tcBorders>
          </w:tcPr>
          <w:p>
            <w:pPr/>
          </w:p>
        </w:tc>
        <w:tc>
          <w:tcPr>
            <w:tcW w:w="6714" w:type="dxa"/>
            <w:tcBorders>
              <w:top w:val="single" w:sz="6" w:space="0" w:color="000000"/>
              <w:left w:val="nil" w:sz="6" w:space="0" w:color="auto"/>
              <w:bottom w:val="single" w:sz="4" w:space="0" w:color="000000"/>
              <w:right w:val="nil" w:sz="6" w:space="0" w:color="auto"/>
            </w:tcBorders>
          </w:tcPr>
          <w:p>
            <w:pPr/>
          </w:p>
        </w:tc>
      </w:tr>
      <w:tr>
        <w:trPr>
          <w:trHeight w:val="714" w:hRule="exact"/>
        </w:trPr>
        <w:tc>
          <w:tcPr>
            <w:tcW w:w="2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50"/>
        <w:gridCol w:w="751"/>
        <w:gridCol w:w="798"/>
        <w:gridCol w:w="803"/>
        <w:gridCol w:w="798"/>
        <w:gridCol w:w="796"/>
        <w:gridCol w:w="798"/>
        <w:gridCol w:w="796"/>
        <w:gridCol w:w="797"/>
        <w:gridCol w:w="796"/>
        <w:gridCol w:w="798"/>
        <w:gridCol w:w="792"/>
      </w:tblGrid>
      <w:tr>
        <w:trPr>
          <w:trHeight w:val="1026"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0"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6" w:right="35"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3" w:firstLine="9"/>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1"/>
                <w:sz w:val="18"/>
                <w:szCs w:val="18"/>
              </w:rPr>
              <w:t>值（万元）</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7" w:firstLine="10"/>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18"/>
                <w:sz w:val="18"/>
                <w:szCs w:val="18"/>
              </w:rPr>
              <w:t>值（万元</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196" w:lineRule="exact" w:before="76"/>
              <w:ind w:left="32"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19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2" w:right="33"/>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3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深圳市汇 商盈实业 中心（有 限合伙）</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5"/>
              <w:jc w:val="both"/>
              <w:rPr>
                <w:rFonts w:ascii="宋体" w:hAnsi="宋体" w:cs="宋体" w:eastAsia="宋体" w:hint="default"/>
                <w:sz w:val="18"/>
                <w:szCs w:val="18"/>
              </w:rPr>
            </w:pPr>
            <w:r>
              <w:rPr>
                <w:rFonts w:ascii="宋体" w:hAnsi="宋体" w:cs="宋体" w:eastAsia="宋体" w:hint="default"/>
                <w:sz w:val="18"/>
                <w:szCs w:val="18"/>
              </w:rPr>
              <w:t>与董事 共同成 立的公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34"/>
              <w:jc w:val="both"/>
              <w:rPr>
                <w:rFonts w:ascii="宋体" w:hAnsi="宋体" w:cs="宋体" w:eastAsia="宋体" w:hint="default"/>
                <w:sz w:val="18"/>
                <w:szCs w:val="18"/>
              </w:rPr>
            </w:pPr>
            <w:r>
              <w:rPr>
                <w:rFonts w:ascii="宋体" w:hAnsi="宋体" w:cs="宋体" w:eastAsia="宋体" w:hint="default"/>
                <w:sz w:val="18"/>
                <w:szCs w:val="18"/>
              </w:rPr>
              <w:t>转让汇商 通盈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股权</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5"/>
              <w:jc w:val="left"/>
              <w:rPr>
                <w:rFonts w:ascii="宋体" w:hAnsi="宋体" w:cs="宋体" w:eastAsia="宋体" w:hint="default"/>
                <w:sz w:val="18"/>
                <w:szCs w:val="18"/>
              </w:rPr>
            </w:pPr>
            <w:r>
              <w:rPr>
                <w:rFonts w:ascii="宋体" w:hAnsi="宋体" w:cs="宋体" w:eastAsia="宋体" w:hint="default"/>
                <w:sz w:val="18"/>
                <w:szCs w:val="18"/>
              </w:rPr>
              <w:t>按实际出 资额</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3"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3"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2017-047</w:t>
            </w:r>
          </w:p>
        </w:tc>
      </w:tr>
      <w:tr>
        <w:trPr>
          <w:trHeight w:val="714" w:hRule="exact"/>
        </w:trPr>
        <w:tc>
          <w:tcPr>
            <w:tcW w:w="32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 大的原因（如有）</w:t>
            </w:r>
          </w:p>
        </w:tc>
        <w:tc>
          <w:tcPr>
            <w:tcW w:w="637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2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637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2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如相关交易涉及业绩约定的，报告期内 的业绩实现情况</w:t>
            </w:r>
          </w:p>
        </w:tc>
        <w:tc>
          <w:tcPr>
            <w:tcW w:w="637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077"/>
        <w:gridCol w:w="1073"/>
        <w:gridCol w:w="1076"/>
        <w:gridCol w:w="1224"/>
        <w:gridCol w:w="1080"/>
        <w:gridCol w:w="1350"/>
        <w:gridCol w:w="1347"/>
        <w:gridCol w:w="1342"/>
      </w:tblGrid>
      <w:tr>
        <w:trPr>
          <w:trHeight w:val="713" w:hRule="exact"/>
        </w:trPr>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62" w:right="83"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 w:right="83"/>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9" w:right="38" w:hanging="90"/>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8" w:right="36" w:hanging="91"/>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6" w:right="35" w:hanging="90"/>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1026"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19"/>
              <w:jc w:val="center"/>
              <w:rPr>
                <w:rFonts w:ascii="宋体" w:hAnsi="宋体" w:cs="宋体" w:eastAsia="宋体" w:hint="default"/>
                <w:sz w:val="18"/>
                <w:szCs w:val="18"/>
              </w:rPr>
            </w:pPr>
            <w:r>
              <w:rPr>
                <w:rFonts w:ascii="宋体" w:hAnsi="宋体" w:cs="宋体" w:eastAsia="宋体" w:hint="default"/>
                <w:sz w:val="18"/>
                <w:szCs w:val="18"/>
              </w:rPr>
              <w:t>鲜丹、王彤</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3"/>
              <w:jc w:val="left"/>
              <w:rPr>
                <w:rFonts w:ascii="宋体" w:hAnsi="宋体" w:cs="宋体" w:eastAsia="宋体" w:hint="default"/>
                <w:sz w:val="18"/>
                <w:szCs w:val="18"/>
              </w:rPr>
            </w:pPr>
            <w:r>
              <w:rPr>
                <w:rFonts w:ascii="宋体" w:hAnsi="宋体" w:cs="宋体" w:eastAsia="宋体" w:hint="default"/>
                <w:sz w:val="18"/>
                <w:szCs w:val="18"/>
              </w:rPr>
              <w:t>深圳市汇商 盈实业中心</w:t>
            </w:r>
          </w:p>
          <w:p>
            <w:pPr>
              <w:pStyle w:val="TableParagraph"/>
              <w:spacing w:line="240" w:lineRule="auto" w:before="20"/>
              <w:ind w:left="22" w:right="-37"/>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投资兴办实业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4500000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21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35"/>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r>
        <w:rPr/>
        <w:pict>
          <v:group style="position:absolute;margin-left:218.300003pt;margin-top:-64.406326pt;width:60.7pt;height:15.6pt;mso-position-horizontal-relative:page;mso-position-vertical-relative:paragraph;z-index:-858880" coordorigin="4366,-1288" coordsize="1214,312">
            <v:shape style="position:absolute;left:4366;top:-1288;width:1214;height:312" coordorigin="4366,-1288" coordsize="1214,312" path="m4366,-976l5580,-976,5580,-1288,4366,-1288,4366,-976xe" filled="true" fillcolor="#ffffff" stroked="false">
              <v:path arrowok="t"/>
              <v:fill type="solid"/>
            </v:shape>
            <w10:wrap type="none"/>
          </v:group>
        </w:pict>
      </w: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38" w:lineRule="auto" w:before="43"/>
        <w:ind w:right="94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应收关联方债权</w:t>
      </w:r>
    </w:p>
    <w:p>
      <w:pPr>
        <w:spacing w:line="240" w:lineRule="auto" w:before="5"/>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934"/>
        <w:gridCol w:w="943"/>
        <w:gridCol w:w="958"/>
        <w:gridCol w:w="957"/>
        <w:gridCol w:w="958"/>
        <w:gridCol w:w="956"/>
        <w:gridCol w:w="958"/>
        <w:gridCol w:w="957"/>
        <w:gridCol w:w="958"/>
        <w:gridCol w:w="992"/>
      </w:tblGrid>
      <w:tr>
        <w:trPr>
          <w:trHeight w:val="1026"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9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6"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12"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22"/>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本期收回金 额（万元）</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92"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left="130" w:right="0"/>
              <w:jc w:val="left"/>
              <w:rPr>
                <w:rFonts w:ascii="宋体" w:hAnsi="宋体" w:cs="宋体" w:eastAsia="宋体" w:hint="default"/>
                <w:sz w:val="18"/>
                <w:szCs w:val="18"/>
              </w:rPr>
            </w:pPr>
            <w:r>
              <w:rPr>
                <w:rFonts w:ascii="宋体" w:hAnsi="宋体" w:cs="宋体" w:eastAsia="宋体" w:hint="default"/>
                <w:sz w:val="18"/>
                <w:szCs w:val="18"/>
              </w:rPr>
              <w:t>（万元）</w:t>
            </w:r>
          </w:p>
        </w:tc>
      </w:tr>
    </w:tbl>
    <w:p>
      <w:pPr>
        <w:pStyle w:val="BodyText"/>
        <w:spacing w:line="240" w:lineRule="auto" w:before="51"/>
        <w:ind w:left="1134" w:right="0"/>
        <w:jc w:val="left"/>
      </w:pPr>
      <w:r>
        <w:rPr/>
        <w:t>应付关联方债务</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158"/>
        <w:gridCol w:w="1038"/>
        <w:gridCol w:w="1045"/>
        <w:gridCol w:w="1044"/>
        <w:gridCol w:w="1044"/>
        <w:gridCol w:w="1044"/>
        <w:gridCol w:w="1044"/>
        <w:gridCol w:w="1044"/>
        <w:gridCol w:w="1106"/>
      </w:tblGrid>
      <w:tr>
        <w:trPr>
          <w:trHeight w:val="714" w:hRule="exact"/>
        </w:trPr>
        <w:tc>
          <w:tcPr>
            <w:tcW w:w="11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6"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7"/>
              <w:ind w:left="15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6" w:right="66"/>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6" w:right="66"/>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6"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7"/>
              <w:ind w:left="15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68" w:right="20" w:hanging="346"/>
              <w:jc w:val="left"/>
              <w:rPr>
                <w:rFonts w:ascii="宋体" w:hAnsi="宋体" w:cs="宋体" w:eastAsia="宋体" w:hint="default"/>
                <w:sz w:val="18"/>
                <w:szCs w:val="18"/>
              </w:rPr>
            </w:pPr>
            <w:r>
              <w:rPr>
                <w:rFonts w:ascii="宋体" w:hAnsi="宋体" w:cs="宋体" w:eastAsia="宋体" w:hint="default"/>
                <w:spacing w:val="-5"/>
                <w:sz w:val="18"/>
                <w:szCs w:val="18"/>
              </w:rPr>
              <w:t>期末余额（万</w:t>
            </w:r>
            <w:r>
              <w:rPr>
                <w:rFonts w:ascii="宋体" w:hAnsi="宋体" w:cs="宋体" w:eastAsia="宋体" w:hint="default"/>
                <w:sz w:val="18"/>
                <w:szCs w:val="18"/>
              </w:rPr>
              <w:t> 元）</w:t>
            </w:r>
          </w:p>
        </w:tc>
      </w:tr>
      <w:tr>
        <w:trPr>
          <w:trHeight w:val="714"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华峰集团有限 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3"/>
              <w:jc w:val="left"/>
              <w:rPr>
                <w:rFonts w:ascii="宋体" w:hAnsi="宋体" w:cs="宋体" w:eastAsia="宋体" w:hint="default"/>
                <w:sz w:val="18"/>
                <w:szCs w:val="18"/>
              </w:rPr>
            </w:pPr>
            <w:r>
              <w:rPr>
                <w:rFonts w:ascii="宋体" w:hAnsi="宋体" w:cs="宋体" w:eastAsia="宋体" w:hint="default"/>
                <w:sz w:val="18"/>
                <w:szCs w:val="18"/>
              </w:rPr>
              <w:t>实际控制人 控制企业</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对上市公司 资助</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144.88</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r>
      <w:tr>
        <w:trPr>
          <w:trHeight w:val="1026"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浙江华峰新材 料股份有限公 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3"/>
              <w:jc w:val="left"/>
              <w:rPr>
                <w:rFonts w:ascii="宋体" w:hAnsi="宋体" w:cs="宋体" w:eastAsia="宋体" w:hint="default"/>
                <w:sz w:val="18"/>
                <w:szCs w:val="18"/>
              </w:rPr>
            </w:pPr>
            <w:r>
              <w:rPr>
                <w:rFonts w:ascii="宋体" w:hAnsi="宋体" w:cs="宋体" w:eastAsia="宋体" w:hint="default"/>
                <w:sz w:val="18"/>
                <w:szCs w:val="18"/>
              </w:rPr>
              <w:t>实际控制人 控制企业</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对上市公司 资助</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浙江华峰合成 树脂有限公司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3"/>
              <w:jc w:val="left"/>
              <w:rPr>
                <w:rFonts w:ascii="宋体" w:hAnsi="宋体" w:cs="宋体" w:eastAsia="宋体" w:hint="default"/>
                <w:sz w:val="18"/>
                <w:szCs w:val="18"/>
              </w:rPr>
            </w:pPr>
            <w:r>
              <w:rPr>
                <w:rFonts w:ascii="宋体" w:hAnsi="宋体" w:cs="宋体" w:eastAsia="宋体" w:hint="default"/>
                <w:sz w:val="18"/>
                <w:szCs w:val="18"/>
              </w:rPr>
              <w:t>实际控制人 控制企业</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对上市公司 资助</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1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关联债务对公司经营成果 及财务状况的影响</w:t>
            </w:r>
          </w:p>
        </w:tc>
        <w:tc>
          <w:tcPr>
            <w:tcW w:w="737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1）担保情况" w:id="91"/>
      <w:bookmarkEnd w:id="91"/>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after="0" w:line="240" w:lineRule="auto"/>
        <w:jc w:val="right"/>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717"/>
        <w:gridCol w:w="908"/>
        <w:gridCol w:w="937"/>
        <w:gridCol w:w="1294"/>
        <w:gridCol w:w="1049"/>
        <w:gridCol w:w="1046"/>
        <w:gridCol w:w="1055"/>
        <w:gridCol w:w="786"/>
        <w:gridCol w:w="783"/>
      </w:tblGrid>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66" w:hRule="exact"/>
        </w:trPr>
        <w:tc>
          <w:tcPr>
            <w:tcW w:w="1717" w:type="dxa"/>
            <w:vMerge w:val="restart"/>
            <w:tcBorders>
              <w:top w:val="single" w:sz="4" w:space="0" w:color="000000"/>
              <w:left w:val="single" w:sz="4" w:space="0" w:color="000000"/>
              <w:right w:val="single" w:sz="4" w:space="0" w:color="000000"/>
            </w:tcBorders>
            <w:shd w:val="clear" w:color="auto" w:fill="D2D2D2"/>
          </w:tcPr>
          <w:p>
            <w:pPr/>
          </w:p>
        </w:tc>
        <w:tc>
          <w:tcPr>
            <w:tcW w:w="908" w:type="dxa"/>
            <w:vMerge w:val="restart"/>
            <w:tcBorders>
              <w:top w:val="single" w:sz="4" w:space="0" w:color="000000"/>
              <w:left w:val="single" w:sz="4" w:space="0" w:color="000000"/>
              <w:right w:val="single" w:sz="5" w:space="0" w:color="000000"/>
            </w:tcBorders>
            <w:shd w:val="clear" w:color="auto" w:fill="D2D2D2"/>
          </w:tcPr>
          <w:p>
            <w:pPr>
              <w:pStyle w:val="TableParagraph"/>
              <w:spacing w:line="319" w:lineRule="auto" w:before="56"/>
              <w:ind w:left="92" w:right="8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7" w:type="dxa"/>
            <w:vMerge w:val="restart"/>
            <w:tcBorders>
              <w:top w:val="single" w:sz="4" w:space="0" w:color="000000"/>
              <w:left w:val="single" w:sz="5" w:space="0" w:color="000000"/>
              <w:right w:val="single" w:sz="4" w:space="0" w:color="000000"/>
            </w:tcBorders>
            <w:shd w:val="clear" w:color="auto" w:fill="D2D2D2"/>
          </w:tcPr>
          <w:p>
            <w:pPr/>
          </w:p>
        </w:tc>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7" w:type="dxa"/>
            <w:vMerge/>
            <w:tcBorders>
              <w:left w:val="single" w:sz="4" w:space="0" w:color="000000"/>
              <w:bottom w:val="nil" w:sz="6" w:space="0" w:color="auto"/>
              <w:right w:val="single" w:sz="4" w:space="0" w:color="000000"/>
            </w:tcBorders>
            <w:shd w:val="clear" w:color="auto" w:fill="D2D2D2"/>
          </w:tcPr>
          <w:p>
            <w:pPr/>
          </w:p>
        </w:tc>
        <w:tc>
          <w:tcPr>
            <w:tcW w:w="908" w:type="dxa"/>
            <w:vMerge/>
            <w:tcBorders>
              <w:left w:val="single" w:sz="4" w:space="0" w:color="000000"/>
              <w:right w:val="single" w:sz="5" w:space="0" w:color="000000"/>
            </w:tcBorders>
            <w:shd w:val="clear" w:color="auto" w:fill="D2D2D2"/>
          </w:tcPr>
          <w:p>
            <w:pPr/>
          </w:p>
        </w:tc>
        <w:tc>
          <w:tcPr>
            <w:tcW w:w="937" w:type="dxa"/>
            <w:vMerge/>
            <w:tcBorders>
              <w:left w:val="single" w:sz="5" w:space="0" w:color="000000"/>
              <w:bottom w:val="nil" w:sz="6" w:space="0" w:color="auto"/>
              <w:right w:val="single" w:sz="4" w:space="0" w:color="000000"/>
            </w:tcBorders>
            <w:shd w:val="clear" w:color="auto" w:fill="D2D2D2"/>
          </w:tcPr>
          <w:p>
            <w:pPr/>
          </w:p>
        </w:tc>
        <w:tc>
          <w:tcPr>
            <w:tcW w:w="12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0"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5" w:right="6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9"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08" w:type="dxa"/>
            <w:vMerge/>
            <w:tcBorders>
              <w:left w:val="single" w:sz="4" w:space="0" w:color="000000"/>
              <w:right w:val="single" w:sz="5" w:space="0" w:color="000000"/>
            </w:tcBorders>
            <w:shd w:val="clear" w:color="auto" w:fill="D2D2D2"/>
          </w:tcPr>
          <w:p>
            <w:pPr/>
          </w:p>
        </w:tc>
        <w:tc>
          <w:tcPr>
            <w:tcW w:w="937" w:type="dxa"/>
            <w:tcBorders>
              <w:top w:val="nil" w:sz="6" w:space="0" w:color="auto"/>
              <w:left w:val="single" w:sz="5" w:space="0" w:color="000000"/>
              <w:bottom w:val="nil" w:sz="6" w:space="0" w:color="auto"/>
              <w:right w:val="single" w:sz="4" w:space="0" w:color="000000"/>
            </w:tcBorders>
            <w:shd w:val="clear" w:color="auto" w:fill="D2D2D2"/>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4" w:type="dxa"/>
            <w:vMerge/>
            <w:tcBorders>
              <w:left w:val="single" w:sz="4" w:space="0" w:color="000000"/>
              <w:right w:val="single" w:sz="4" w:space="0" w:color="000000"/>
            </w:tcBorders>
            <w:shd w:val="clear" w:color="auto" w:fill="D2D2D2"/>
          </w:tcPr>
          <w:p>
            <w:pPr/>
          </w:p>
        </w:tc>
        <w:tc>
          <w:tcPr>
            <w:tcW w:w="1049"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7"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0"/>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17" w:type="dxa"/>
            <w:vMerge w:val="restart"/>
            <w:tcBorders>
              <w:top w:val="nil" w:sz="6" w:space="0" w:color="auto"/>
              <w:left w:val="single" w:sz="4" w:space="0" w:color="000000"/>
              <w:right w:val="single" w:sz="4" w:space="0" w:color="000000"/>
            </w:tcBorders>
            <w:shd w:val="clear" w:color="auto" w:fill="D2D2D2"/>
          </w:tcPr>
          <w:p>
            <w:pPr/>
          </w:p>
        </w:tc>
        <w:tc>
          <w:tcPr>
            <w:tcW w:w="908" w:type="dxa"/>
            <w:vMerge/>
            <w:tcBorders>
              <w:left w:val="single" w:sz="4" w:space="0" w:color="000000"/>
              <w:right w:val="single" w:sz="5" w:space="0" w:color="000000"/>
            </w:tcBorders>
            <w:shd w:val="clear" w:color="auto" w:fill="D2D2D2"/>
          </w:tcPr>
          <w:p>
            <w:pPr/>
          </w:p>
        </w:tc>
        <w:tc>
          <w:tcPr>
            <w:tcW w:w="937" w:type="dxa"/>
            <w:vMerge w:val="restart"/>
            <w:tcBorders>
              <w:top w:val="nil" w:sz="6" w:space="0" w:color="auto"/>
              <w:left w:val="single" w:sz="5" w:space="0" w:color="000000"/>
              <w:right w:val="single" w:sz="4" w:space="0" w:color="000000"/>
            </w:tcBorders>
            <w:shd w:val="clear" w:color="auto" w:fill="D2D2D2"/>
          </w:tcPr>
          <w:p>
            <w:pPr/>
          </w:p>
        </w:tc>
        <w:tc>
          <w:tcPr>
            <w:tcW w:w="1294"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7" w:type="dxa"/>
            <w:vMerge/>
            <w:tcBorders>
              <w:left w:val="single" w:sz="4" w:space="0" w:color="000000"/>
              <w:bottom w:val="single" w:sz="4" w:space="0" w:color="000000"/>
              <w:right w:val="single" w:sz="4" w:space="0" w:color="000000"/>
            </w:tcBorders>
            <w:shd w:val="clear" w:color="auto" w:fill="D2D2D2"/>
          </w:tcPr>
          <w:p>
            <w:pPr/>
          </w:p>
        </w:tc>
        <w:tc>
          <w:tcPr>
            <w:tcW w:w="908" w:type="dxa"/>
            <w:vMerge/>
            <w:tcBorders>
              <w:left w:val="single" w:sz="4" w:space="0" w:color="000000"/>
              <w:bottom w:val="single" w:sz="4" w:space="0" w:color="000000"/>
              <w:right w:val="single" w:sz="5" w:space="0" w:color="000000"/>
            </w:tcBorders>
            <w:shd w:val="clear" w:color="auto" w:fill="D2D2D2"/>
          </w:tcPr>
          <w:p>
            <w:pPr/>
          </w:p>
        </w:tc>
        <w:tc>
          <w:tcPr>
            <w:tcW w:w="937" w:type="dxa"/>
            <w:vMerge/>
            <w:tcBorders>
              <w:left w:val="single" w:sz="5" w:space="0" w:color="000000"/>
              <w:bottom w:val="single" w:sz="4" w:space="0" w:color="000000"/>
              <w:right w:val="single" w:sz="4" w:space="0" w:color="000000"/>
            </w:tcBorders>
            <w:shd w:val="clear" w:color="auto" w:fill="D2D2D2"/>
          </w:tcPr>
          <w:p>
            <w:pPr/>
          </w:p>
        </w:tc>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26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3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3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717" w:type="dxa"/>
            <w:vMerge w:val="restart"/>
            <w:tcBorders>
              <w:top w:val="single" w:sz="4" w:space="0" w:color="000000"/>
              <w:left w:val="single" w:sz="4" w:space="0" w:color="000000"/>
              <w:right w:val="single" w:sz="4" w:space="0" w:color="000000"/>
            </w:tcBorders>
            <w:shd w:val="clear" w:color="auto" w:fill="D2D2D2"/>
          </w:tcPr>
          <w:p>
            <w:pPr/>
          </w:p>
        </w:tc>
        <w:tc>
          <w:tcPr>
            <w:tcW w:w="90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8" w:right="87"/>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7" w:type="dxa"/>
            <w:vMerge w:val="restart"/>
            <w:tcBorders>
              <w:top w:val="single" w:sz="4" w:space="0" w:color="000000"/>
              <w:left w:val="single" w:sz="4" w:space="0" w:color="000000"/>
              <w:right w:val="single" w:sz="4" w:space="0" w:color="000000"/>
            </w:tcBorders>
            <w:shd w:val="clear" w:color="auto" w:fill="D2D2D2"/>
          </w:tcPr>
          <w:p>
            <w:pPr/>
          </w:p>
        </w:tc>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7" w:type="dxa"/>
            <w:vMerge/>
            <w:tcBorders>
              <w:left w:val="single" w:sz="4" w:space="0" w:color="000000"/>
              <w:bottom w:val="nil" w:sz="6" w:space="0" w:color="auto"/>
              <w:right w:val="single" w:sz="4" w:space="0" w:color="000000"/>
            </w:tcBorders>
            <w:shd w:val="clear" w:color="auto" w:fill="D2D2D2"/>
          </w:tcPr>
          <w:p>
            <w:pPr/>
          </w:p>
        </w:tc>
        <w:tc>
          <w:tcPr>
            <w:tcW w:w="908" w:type="dxa"/>
            <w:vMerge/>
            <w:tcBorders>
              <w:left w:val="single" w:sz="4" w:space="0" w:color="000000"/>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12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0"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5" w:right="6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6"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08" w:type="dxa"/>
            <w:vMerge/>
            <w:tcBorders>
              <w:left w:val="single" w:sz="4" w:space="0" w:color="000000"/>
              <w:right w:val="single" w:sz="4" w:space="0" w:color="000000"/>
            </w:tcBorders>
            <w:shd w:val="clear" w:color="auto" w:fill="D2D2D2"/>
          </w:tcPr>
          <w:p>
            <w:pPr/>
          </w:p>
        </w:tc>
        <w:tc>
          <w:tcPr>
            <w:tcW w:w="9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4" w:type="dxa"/>
            <w:vMerge/>
            <w:tcBorders>
              <w:left w:val="single" w:sz="4" w:space="0" w:color="000000"/>
              <w:right w:val="single" w:sz="4" w:space="0" w:color="000000"/>
            </w:tcBorders>
            <w:shd w:val="clear" w:color="auto" w:fill="D2D2D2"/>
          </w:tcPr>
          <w:p>
            <w:pPr/>
          </w:p>
        </w:tc>
        <w:tc>
          <w:tcPr>
            <w:tcW w:w="1049"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7"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17" w:type="dxa"/>
            <w:vMerge w:val="restart"/>
            <w:tcBorders>
              <w:top w:val="nil" w:sz="6" w:space="0" w:color="auto"/>
              <w:left w:val="single" w:sz="4" w:space="0" w:color="000000"/>
              <w:right w:val="single" w:sz="4" w:space="0" w:color="000000"/>
            </w:tcBorders>
            <w:shd w:val="clear" w:color="auto" w:fill="D2D2D2"/>
          </w:tcPr>
          <w:p>
            <w:pPr/>
          </w:p>
        </w:tc>
        <w:tc>
          <w:tcPr>
            <w:tcW w:w="908" w:type="dxa"/>
            <w:vMerge/>
            <w:tcBorders>
              <w:left w:val="single" w:sz="4" w:space="0" w:color="000000"/>
              <w:right w:val="single" w:sz="4" w:space="0" w:color="000000"/>
            </w:tcBorders>
            <w:shd w:val="clear" w:color="auto" w:fill="D2D2D2"/>
          </w:tcPr>
          <w:p>
            <w:pPr/>
          </w:p>
        </w:tc>
        <w:tc>
          <w:tcPr>
            <w:tcW w:w="937" w:type="dxa"/>
            <w:vMerge w:val="restart"/>
            <w:tcBorders>
              <w:top w:val="nil" w:sz="6" w:space="0" w:color="auto"/>
              <w:left w:val="single" w:sz="4" w:space="0" w:color="000000"/>
              <w:right w:val="single" w:sz="4" w:space="0" w:color="000000"/>
            </w:tcBorders>
            <w:shd w:val="clear" w:color="auto" w:fill="D2D2D2"/>
          </w:tcPr>
          <w:p>
            <w:pPr/>
          </w:p>
        </w:tc>
        <w:tc>
          <w:tcPr>
            <w:tcW w:w="1294"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7" w:type="dxa"/>
            <w:vMerge/>
            <w:tcBorders>
              <w:left w:val="single" w:sz="4" w:space="0" w:color="000000"/>
              <w:bottom w:val="single" w:sz="4" w:space="0" w:color="000000"/>
              <w:right w:val="single" w:sz="4" w:space="0" w:color="000000"/>
            </w:tcBorders>
            <w:shd w:val="clear" w:color="auto" w:fill="D2D2D2"/>
          </w:tcPr>
          <w:p>
            <w:pPr/>
          </w:p>
        </w:tc>
        <w:tc>
          <w:tcPr>
            <w:tcW w:w="908" w:type="dxa"/>
            <w:vMerge/>
            <w:tcBorders>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江苏华峰超纤材料有 限公司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27,753.19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7"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江苏华峰超纤材料有 限公司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36,435.24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7"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5" w:right="117"/>
              <w:jc w:val="left"/>
              <w:rPr>
                <w:rFonts w:ascii="宋体" w:hAnsi="宋体" w:cs="宋体" w:eastAsia="宋体" w:hint="default"/>
                <w:sz w:val="18"/>
                <w:szCs w:val="18"/>
              </w:rPr>
            </w:pPr>
            <w:r>
              <w:rPr>
                <w:rFonts w:ascii="宋体" w:hAnsi="宋体" w:cs="宋体" w:eastAsia="宋体" w:hint="default"/>
                <w:sz w:val="18"/>
                <w:szCs w:val="18"/>
              </w:rPr>
              <w:t>同银行授信 期限</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江苏华峰超纤材料有 限公司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22,500</w:t>
            </w:r>
          </w:p>
        </w:tc>
        <w:tc>
          <w:tcPr>
            <w:tcW w:w="129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7"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43,325.93</w:t>
            </w:r>
          </w:p>
        </w:tc>
      </w:tr>
      <w:tr>
        <w:trPr>
          <w:trHeight w:val="719" w:hRule="exact"/>
        </w:trPr>
        <w:tc>
          <w:tcPr>
            <w:tcW w:w="26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2"/>
                <w:sz w:val="18"/>
              </w:rPr>
              <w:t>112,500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64,188.43</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7" w:type="dxa"/>
            <w:vMerge w:val="restart"/>
            <w:tcBorders>
              <w:top w:val="single" w:sz="4" w:space="0" w:color="000000"/>
              <w:left w:val="single" w:sz="4" w:space="0" w:color="000000"/>
              <w:right w:val="single" w:sz="4" w:space="0" w:color="000000"/>
            </w:tcBorders>
            <w:shd w:val="clear" w:color="auto" w:fill="D2D2D2"/>
          </w:tcPr>
          <w:p>
            <w:pPr/>
          </w:p>
        </w:tc>
        <w:tc>
          <w:tcPr>
            <w:tcW w:w="90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4" w:right="9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7" w:type="dxa"/>
            <w:vMerge w:val="restart"/>
            <w:tcBorders>
              <w:top w:val="single" w:sz="4" w:space="0" w:color="000000"/>
              <w:left w:val="single" w:sz="4" w:space="0" w:color="000000"/>
              <w:right w:val="single" w:sz="4" w:space="0" w:color="000000"/>
            </w:tcBorders>
            <w:shd w:val="clear" w:color="auto" w:fill="D2D2D2"/>
          </w:tcPr>
          <w:p>
            <w:pPr/>
          </w:p>
        </w:tc>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7" w:type="dxa"/>
            <w:vMerge/>
            <w:tcBorders>
              <w:left w:val="single" w:sz="4" w:space="0" w:color="000000"/>
              <w:bottom w:val="nil" w:sz="6" w:space="0" w:color="auto"/>
              <w:right w:val="single" w:sz="4" w:space="0" w:color="000000"/>
            </w:tcBorders>
            <w:shd w:val="clear" w:color="auto" w:fill="D2D2D2"/>
          </w:tcPr>
          <w:p>
            <w:pPr/>
          </w:p>
        </w:tc>
        <w:tc>
          <w:tcPr>
            <w:tcW w:w="908" w:type="dxa"/>
            <w:vMerge/>
            <w:tcBorders>
              <w:left w:val="single" w:sz="4" w:space="0" w:color="000000"/>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12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6" w:right="7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1"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08" w:type="dxa"/>
            <w:vMerge/>
            <w:tcBorders>
              <w:left w:val="single" w:sz="4" w:space="0" w:color="000000"/>
              <w:right w:val="single" w:sz="4" w:space="0" w:color="000000"/>
            </w:tcBorders>
            <w:shd w:val="clear" w:color="auto" w:fill="D2D2D2"/>
          </w:tcPr>
          <w:p>
            <w:pPr/>
          </w:p>
        </w:tc>
        <w:tc>
          <w:tcPr>
            <w:tcW w:w="9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4" w:type="dxa"/>
            <w:vMerge/>
            <w:tcBorders>
              <w:left w:val="single" w:sz="4" w:space="0" w:color="000000"/>
              <w:right w:val="single" w:sz="4" w:space="0" w:color="000000"/>
            </w:tcBorders>
            <w:shd w:val="clear" w:color="auto" w:fill="D2D2D2"/>
          </w:tcPr>
          <w:p>
            <w:pPr/>
          </w:p>
        </w:tc>
        <w:tc>
          <w:tcPr>
            <w:tcW w:w="1049"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17" w:type="dxa"/>
            <w:vMerge w:val="restart"/>
            <w:tcBorders>
              <w:top w:val="nil" w:sz="6" w:space="0" w:color="auto"/>
              <w:left w:val="single" w:sz="4" w:space="0" w:color="000000"/>
              <w:right w:val="single" w:sz="4" w:space="0" w:color="000000"/>
            </w:tcBorders>
            <w:shd w:val="clear" w:color="auto" w:fill="D2D2D2"/>
          </w:tcPr>
          <w:p>
            <w:pPr/>
          </w:p>
        </w:tc>
        <w:tc>
          <w:tcPr>
            <w:tcW w:w="908" w:type="dxa"/>
            <w:vMerge/>
            <w:tcBorders>
              <w:left w:val="single" w:sz="4" w:space="0" w:color="000000"/>
              <w:right w:val="single" w:sz="4" w:space="0" w:color="000000"/>
            </w:tcBorders>
            <w:shd w:val="clear" w:color="auto" w:fill="D2D2D2"/>
          </w:tcPr>
          <w:p>
            <w:pPr/>
          </w:p>
        </w:tc>
        <w:tc>
          <w:tcPr>
            <w:tcW w:w="937" w:type="dxa"/>
            <w:vMerge w:val="restart"/>
            <w:tcBorders>
              <w:top w:val="nil" w:sz="6" w:space="0" w:color="auto"/>
              <w:left w:val="single" w:sz="4" w:space="0" w:color="000000"/>
              <w:right w:val="single" w:sz="4" w:space="0" w:color="000000"/>
            </w:tcBorders>
            <w:shd w:val="clear" w:color="auto" w:fill="D2D2D2"/>
          </w:tcPr>
          <w:p>
            <w:pPr/>
          </w:p>
        </w:tc>
        <w:tc>
          <w:tcPr>
            <w:tcW w:w="1294"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7" w:type="dxa"/>
            <w:vMerge/>
            <w:tcBorders>
              <w:left w:val="single" w:sz="4" w:space="0" w:color="000000"/>
              <w:bottom w:val="single" w:sz="4" w:space="0" w:color="000000"/>
              <w:right w:val="single" w:sz="4" w:space="0" w:color="000000"/>
            </w:tcBorders>
            <w:shd w:val="clear" w:color="auto" w:fill="D2D2D2"/>
          </w:tcPr>
          <w:p>
            <w:pPr/>
          </w:p>
        </w:tc>
        <w:tc>
          <w:tcPr>
            <w:tcW w:w="908" w:type="dxa"/>
            <w:vMerge/>
            <w:tcBorders>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26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2" w:right="80"/>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43,325.93</w:t>
            </w:r>
          </w:p>
        </w:tc>
      </w:tr>
      <w:tr>
        <w:trPr>
          <w:trHeight w:val="714" w:hRule="exact"/>
        </w:trPr>
        <w:tc>
          <w:tcPr>
            <w:tcW w:w="26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2"/>
                <w:sz w:val="18"/>
              </w:rPr>
              <w:t>112,500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64,188.43</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13.19%</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4856"/>
        <w:gridCol w:w="4719"/>
      </w:tblGrid>
      <w:tr>
        <w:trPr>
          <w:trHeight w:val="714"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0"/>
        <w:jc w:val="left"/>
      </w:pPr>
      <w:r>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2）违规对外担保情况" w:id="92"/>
      <w:bookmarkEnd w:id="92"/>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单位：万元</w:t>
      </w:r>
    </w:p>
    <w:p>
      <w:pPr>
        <w:spacing w:after="0" w:line="240" w:lineRule="auto"/>
        <w:jc w:val="center"/>
        <w:sectPr>
          <w:type w:val="continuous"/>
          <w:pgSz w:w="11910" w:h="16840"/>
          <w:pgMar w:top="1060" w:bottom="1160" w:left="0" w:right="0"/>
          <w:cols w:num="2" w:equalWidth="0">
            <w:col w:w="2935" w:space="5805"/>
            <w:col w:w="317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1"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120,400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120,400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134" w:right="0"/>
        <w:jc w:val="left"/>
      </w:pPr>
      <w:r>
        <w:rPr/>
        <w:t>单项金额重大或安全性较低、流动性较差、不保本的高风险委托理财具体情况</w:t>
      </w:r>
    </w:p>
    <w:p>
      <w:pPr>
        <w:pStyle w:val="BodyText"/>
        <w:spacing w:line="340" w:lineRule="auto" w:before="116"/>
        <w:ind w:right="5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pStyle w:val="BodyText"/>
        <w:spacing w:line="240" w:lineRule="auto" w:before="4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ind w:left="1134" w:right="0"/>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after="0" w:line="340" w:lineRule="auto"/>
        <w:jc w:val="left"/>
        <w:sectPr>
          <w:type w:val="continuous"/>
          <w:pgSz w:w="11910" w:h="16840"/>
          <w:pgMar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七、社会责任情况" w:id="97"/>
      <w:bookmarkEnd w:id="97"/>
      <w:r>
        <w:rPr>
          <w:b w:val="0"/>
          <w:bCs w:val="0"/>
        </w:rPr>
      </w: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履行社会责任情况" w:id="98"/>
      <w:bookmarkEnd w:id="98"/>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18"/>
        <w:jc w:val="left"/>
      </w:pPr>
      <w:r>
        <w:rPr>
          <w:spacing w:val="-2"/>
        </w:rPr>
        <w:t>基于对社会责任的人事和理解，结合行业特色和华峰文化理念体系，公司通过公平运营、安全生产、绿色制造、技术创新与</w:t>
      </w:r>
      <w:r>
        <w:rPr>
          <w:spacing w:val="-66"/>
        </w:rPr>
        <w:t> </w:t>
      </w:r>
      <w:r>
        <w:rPr>
          <w:spacing w:val="-66"/>
        </w:rPr>
      </w:r>
      <w:r>
        <w:rPr>
          <w:spacing w:val="-2"/>
        </w:rPr>
        <w:t>应用、和谐劳动关系、社区参与和发展等方面，在企业追求经济利益的同时，全面考虑经济、社会和环境因素，有效管理企</w:t>
      </w:r>
      <w:r>
        <w:rPr>
          <w:spacing w:val="-68"/>
        </w:rPr>
        <w:t> </w:t>
      </w:r>
      <w:r>
        <w:rPr>
          <w:spacing w:val="-68"/>
        </w:rPr>
      </w:r>
      <w:r>
        <w:rPr/>
        <w:t>业运营对利益想对方、社会和环境的影响，追求经济、社会和环境综合价值的最大化。 一、我们倡导公平经营，恪守商业道德，严格执行</w:t>
      </w:r>
      <w:r>
        <w:rPr>
          <w:rFonts w:ascii="Times New Roman" w:hAnsi="Times New Roman" w:cs="Times New Roman" w:eastAsia="Times New Roman" w:hint="default"/>
        </w:rPr>
        <w:t>“</w:t>
      </w:r>
      <w:r>
        <w:rPr/>
        <w:t>透明采购</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阳光销售</w:t>
      </w:r>
      <w:r>
        <w:rPr>
          <w:rFonts w:ascii="Times New Roman" w:hAnsi="Times New Roman" w:cs="Times New Roman" w:eastAsia="Times New Roman" w:hint="default"/>
        </w:rPr>
        <w:t>”</w:t>
      </w:r>
      <w:r>
        <w:rPr/>
        <w:t>，积极促进健康和谐的商业生态。 </w:t>
      </w:r>
      <w:r>
        <w:rPr>
          <w:spacing w:val="-2"/>
        </w:rPr>
        <w:t>二、我们高度关注节能环保，采用污染物排放量少的工艺、设备，减少污染物的产生。时刻牢记安全生产，竭力实现绿色发</w:t>
      </w:r>
      <w:r>
        <w:rPr>
          <w:spacing w:val="-68"/>
        </w:rPr>
        <w:t> </w:t>
      </w:r>
      <w:r>
        <w:rPr>
          <w:spacing w:val="-68"/>
        </w:rPr>
      </w:r>
      <w:r>
        <w:rPr/>
        <w:t>展。</w:t>
      </w:r>
    </w:p>
    <w:p>
      <w:pPr>
        <w:pStyle w:val="BodyText"/>
        <w:spacing w:line="316" w:lineRule="auto" w:before="20"/>
        <w:ind w:right="1118"/>
        <w:jc w:val="left"/>
      </w:pPr>
      <w:r>
        <w:rPr/>
        <w:t>三、我们努力开发和推广环境友好型技术，加强企业行为自律，实现清洁生产。 </w:t>
      </w:r>
      <w:r>
        <w:rPr>
          <w:spacing w:val="-2"/>
        </w:rPr>
        <w:t>四、我们推行职业安全健康政策，将职业安全健康政策文件化，实施和保持，建立和完善安全生产的制度体系，在可能的条</w:t>
      </w:r>
      <w:r>
        <w:rPr>
          <w:spacing w:val="-66"/>
        </w:rPr>
        <w:t> </w:t>
      </w:r>
      <w:r>
        <w:rPr>
          <w:spacing w:val="-66"/>
        </w:rPr>
      </w:r>
      <w:r>
        <w:rPr>
          <w:spacing w:val="-2"/>
        </w:rPr>
        <w:t>件下最大限度地降低工作环境中的不安全因素，保障员工的安全和健康。并采取多项措施预防工伤和职业病，对特殊群体提</w:t>
      </w:r>
      <w:r>
        <w:rPr>
          <w:spacing w:val="-66"/>
        </w:rPr>
        <w:t> </w:t>
      </w:r>
      <w:r>
        <w:rPr>
          <w:spacing w:val="-66"/>
        </w:rPr>
      </w:r>
      <w:r>
        <w:rPr/>
        <w:t>供保护。</w:t>
      </w:r>
    </w:p>
    <w:p>
      <w:pPr>
        <w:pStyle w:val="BodyText"/>
        <w:spacing w:line="240" w:lineRule="auto" w:before="59"/>
        <w:ind w:right="0"/>
        <w:jc w:val="left"/>
      </w:pPr>
      <w:r>
        <w:rPr/>
        <w:t>五、我们积极参与社区公益事业，鼓励和支持员工投身社区志愿服务。</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履行精准扶贫社会责任情况" w:id="99"/>
      <w:bookmarkEnd w:id="99"/>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精准扶贫规划" w:id="100"/>
      <w:bookmarkEnd w:id="100"/>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环境保护相关的情况" w:id="101"/>
      <w:bookmarkEnd w:id="101"/>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5712"/>
        <w:jc w:val="left"/>
      </w:pPr>
      <w:r>
        <w:rPr/>
        <w:t>上市公司及其子公司是否属于环境保护部门公布的重点排污单位 是</w:t>
      </w:r>
    </w:p>
    <w:tbl>
      <w:tblPr>
        <w:tblW w:w="0" w:type="auto"/>
        <w:jc w:val="left"/>
        <w:tblInd w:w="1129" w:type="dxa"/>
        <w:tblLayout w:type="fixed"/>
        <w:tblCellMar>
          <w:top w:w="0" w:type="dxa"/>
          <w:left w:w="0" w:type="dxa"/>
          <w:bottom w:w="0" w:type="dxa"/>
          <w:right w:w="0" w:type="dxa"/>
        </w:tblCellMar>
        <w:tblLook w:val="01E0"/>
      </w:tblPr>
      <w:tblGrid>
        <w:gridCol w:w="960"/>
        <w:gridCol w:w="956"/>
        <w:gridCol w:w="956"/>
        <w:gridCol w:w="957"/>
        <w:gridCol w:w="956"/>
        <w:gridCol w:w="956"/>
        <w:gridCol w:w="958"/>
        <w:gridCol w:w="957"/>
        <w:gridCol w:w="958"/>
        <w:gridCol w:w="956"/>
      </w:tblGrid>
      <w:tr>
        <w:trPr>
          <w:trHeight w:val="1025"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4" w:right="24" w:hanging="180"/>
              <w:jc w:val="left"/>
              <w:rPr>
                <w:rFonts w:ascii="宋体" w:hAnsi="宋体" w:cs="宋体" w:eastAsia="宋体" w:hint="default"/>
                <w:sz w:val="18"/>
                <w:szCs w:val="18"/>
              </w:rPr>
            </w:pPr>
            <w:r>
              <w:rPr>
                <w:rFonts w:ascii="宋体" w:hAnsi="宋体" w:cs="宋体" w:eastAsia="宋体" w:hint="default"/>
                <w:sz w:val="18"/>
                <w:szCs w:val="18"/>
              </w:rPr>
              <w:t>公司或子公 司名称</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主要污染物 及特征污染 物的名称</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排放方式</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排放口数量</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92" w:right="23" w:hanging="270"/>
              <w:jc w:val="left"/>
              <w:rPr>
                <w:rFonts w:ascii="宋体" w:hAnsi="宋体" w:cs="宋体" w:eastAsia="宋体" w:hint="default"/>
                <w:sz w:val="18"/>
                <w:szCs w:val="18"/>
              </w:rPr>
            </w:pPr>
            <w:r>
              <w:rPr>
                <w:rFonts w:ascii="宋体" w:hAnsi="宋体" w:cs="宋体" w:eastAsia="宋体" w:hint="default"/>
                <w:sz w:val="18"/>
                <w:szCs w:val="18"/>
              </w:rPr>
              <w:t>排放口分布 情况</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排放浓度</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执行的污染 物排放标准</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排放总量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92" w:right="23" w:hanging="270"/>
              <w:jc w:val="left"/>
              <w:rPr>
                <w:rFonts w:ascii="宋体" w:hAnsi="宋体" w:cs="宋体" w:eastAsia="宋体" w:hint="default"/>
                <w:sz w:val="18"/>
                <w:szCs w:val="18"/>
              </w:rPr>
            </w:pPr>
            <w:r>
              <w:rPr>
                <w:rFonts w:ascii="宋体" w:hAnsi="宋体" w:cs="宋体" w:eastAsia="宋体" w:hint="default"/>
                <w:sz w:val="18"/>
                <w:szCs w:val="18"/>
              </w:rPr>
              <w:t>核定的排放 总量</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82" w:right="23" w:hanging="360"/>
              <w:jc w:val="left"/>
              <w:rPr>
                <w:rFonts w:ascii="宋体" w:hAnsi="宋体" w:cs="宋体" w:eastAsia="宋体" w:hint="default"/>
                <w:sz w:val="18"/>
                <w:szCs w:val="18"/>
              </w:rPr>
            </w:pPr>
            <w:r>
              <w:rPr>
                <w:rFonts w:ascii="宋体" w:hAnsi="宋体" w:cs="宋体" w:eastAsia="宋体" w:hint="default"/>
                <w:sz w:val="18"/>
                <w:szCs w:val="18"/>
              </w:rPr>
              <w:t>超标排放情 况</w:t>
            </w:r>
          </w:p>
        </w:tc>
      </w:tr>
      <w:tr>
        <w:trPr>
          <w:trHeight w:val="165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27"/>
              <w:jc w:val="both"/>
              <w:rPr>
                <w:rFonts w:ascii="宋体" w:hAnsi="宋体" w:cs="宋体" w:eastAsia="宋体" w:hint="default"/>
                <w:sz w:val="18"/>
                <w:szCs w:val="18"/>
              </w:rPr>
            </w:pPr>
            <w:r>
              <w:rPr>
                <w:rFonts w:ascii="宋体" w:hAnsi="宋体" w:cs="宋体" w:eastAsia="宋体" w:hint="default"/>
                <w:sz w:val="18"/>
                <w:szCs w:val="18"/>
              </w:rPr>
              <w:t>上海华峰超 纤材料股份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氮氧化物</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直接排放</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厂区东侧</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150mg/m3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上海市锅炉 大气污染物 排放标准</w:t>
            </w:r>
          </w:p>
          <w:p>
            <w:pPr>
              <w:pStyle w:val="TableParagraph"/>
              <w:spacing w:line="362" w:lineRule="auto" w:before="58"/>
              <w:ind w:left="22" w:right="23"/>
              <w:jc w:val="both"/>
              <w:rPr>
                <w:rFonts w:ascii="Times New Roman" w:hAnsi="Times New Roman" w:cs="Times New Roman" w:eastAsia="Times New Roman" w:hint="default"/>
                <w:sz w:val="18"/>
                <w:szCs w:val="18"/>
              </w:rPr>
            </w:pPr>
            <w:r>
              <w:rPr>
                <w:rFonts w:ascii="Times New Roman"/>
                <w:sz w:val="18"/>
              </w:rPr>
              <w:t>DB31/387-2</w:t>
            </w:r>
            <w:r>
              <w:rPr>
                <w:rFonts w:ascii="Times New Roman"/>
                <w:w w:val="99"/>
                <w:sz w:val="18"/>
              </w:rPr>
              <w:t> </w:t>
            </w:r>
            <w:r>
              <w:rPr>
                <w:rFonts w:ascii="Times New Roman"/>
                <w:sz w:val="18"/>
              </w:rPr>
              <w:t>014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91.35t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5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27"/>
              <w:jc w:val="both"/>
              <w:rPr>
                <w:rFonts w:ascii="宋体" w:hAnsi="宋体" w:cs="宋体" w:eastAsia="宋体" w:hint="default"/>
                <w:sz w:val="18"/>
                <w:szCs w:val="18"/>
              </w:rPr>
            </w:pPr>
            <w:r>
              <w:rPr>
                <w:rFonts w:ascii="宋体" w:hAnsi="宋体" w:cs="宋体" w:eastAsia="宋体" w:hint="default"/>
                <w:sz w:val="18"/>
                <w:szCs w:val="18"/>
              </w:rPr>
              <w:t>上海华峰超 纤材料股份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化学需氧量</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间接排放</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厂区东侧</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w:t>
            </w:r>
            <w:r>
              <w:rPr>
                <w:rFonts w:ascii="Times New Roman"/>
                <w:spacing w:val="-1"/>
                <w:sz w:val="18"/>
              </w:rPr>
              <w:t> </w:t>
            </w:r>
            <w:r>
              <w:rPr>
                <w:rFonts w:ascii="Times New Roman"/>
                <w:sz w:val="18"/>
              </w:rPr>
              <w:t>mg/L</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污水排入城 镇下水道水 质标准</w:t>
            </w:r>
          </w:p>
          <w:p>
            <w:pPr>
              <w:pStyle w:val="TableParagraph"/>
              <w:spacing w:line="362" w:lineRule="auto" w:before="58"/>
              <w:ind w:left="22" w:right="53"/>
              <w:jc w:val="both"/>
              <w:rPr>
                <w:rFonts w:ascii="Times New Roman" w:hAnsi="Times New Roman" w:cs="Times New Roman" w:eastAsia="Times New Roman" w:hint="default"/>
                <w:sz w:val="18"/>
                <w:szCs w:val="18"/>
              </w:rPr>
            </w:pPr>
            <w:r>
              <w:rPr>
                <w:rFonts w:ascii="Times New Roman"/>
                <w:sz w:val="18"/>
              </w:rPr>
              <w:t>GB/T</w:t>
            </w:r>
            <w:r>
              <w:rPr>
                <w:rFonts w:ascii="Times New Roman"/>
                <w:w w:val="99"/>
                <w:sz w:val="18"/>
              </w:rPr>
              <w:t> </w:t>
            </w:r>
            <w:r>
              <w:rPr>
                <w:rFonts w:ascii="Times New Roman"/>
                <w:sz w:val="18"/>
              </w:rPr>
              <w:t>31962-2015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126.48t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57" w:lineRule="auto" w:before="68"/>
        <w:ind w:left="1134" w:right="8232"/>
        <w:jc w:val="left"/>
      </w:pPr>
      <w:r>
        <w:rPr/>
        <w:t>防治污染设施的建设和运行情况 环保设施运行正常</w:t>
      </w:r>
    </w:p>
    <w:p>
      <w:pPr>
        <w:pStyle w:val="BodyText"/>
        <w:spacing w:line="357" w:lineRule="auto" w:before="29"/>
        <w:ind w:left="1134" w:right="6612"/>
        <w:jc w:val="left"/>
      </w:pPr>
      <w:r>
        <w:rPr/>
        <w:t>建设项目环境影响评价及其他环境保护行政许可情况 无</w:t>
      </w:r>
    </w:p>
    <w:p>
      <w:pPr>
        <w:spacing w:after="0" w:line="357"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突发环境事件应急预案</w:t>
      </w:r>
    </w:p>
    <w:p>
      <w:pPr>
        <w:pStyle w:val="BodyText"/>
        <w:spacing w:line="304" w:lineRule="auto" w:before="115"/>
        <w:ind w:right="1132"/>
        <w:jc w:val="both"/>
      </w:pPr>
      <w:r>
        <w:rPr/>
        <w:t>根据《上海市企业突发环境事件风险评估报告编制指南（试行）》（</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月）和《上海企业事业单位突发环境事件应急 </w:t>
      </w:r>
      <w:r>
        <w:rPr>
          <w:spacing w:val="-2"/>
        </w:rPr>
        <w:t>预案编制指南（试行）》（</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w:t>
      </w:r>
      <w:r>
        <w:rPr>
          <w:spacing w:val="-2"/>
        </w:rPr>
        <w:t>月）两个文件要求，编制了突发环境事件应急预案体系。应急预案体系包括</w:t>
      </w:r>
      <w:r>
        <w:rPr>
          <w:rFonts w:ascii="Times New Roman" w:hAnsi="Times New Roman" w:cs="Times New Roman" w:eastAsia="Times New Roman" w:hint="default"/>
          <w:spacing w:val="-2"/>
        </w:rPr>
        <w:t>1</w:t>
      </w:r>
      <w:r>
        <w:rPr>
          <w:spacing w:val="-2"/>
        </w:rPr>
        <w:t>部《综合应</w:t>
      </w:r>
      <w:r>
        <w:rPr>
          <w:spacing w:val="-61"/>
        </w:rPr>
        <w:t> </w:t>
      </w:r>
      <w:r>
        <w:rPr>
          <w:spacing w:val="-61"/>
        </w:rPr>
      </w:r>
      <w:r>
        <w:rPr>
          <w:spacing w:val="-2"/>
        </w:rPr>
        <w:t>急预案》、</w:t>
      </w:r>
      <w:r>
        <w:rPr>
          <w:rFonts w:ascii="Times New Roman" w:hAnsi="Times New Roman" w:cs="Times New Roman" w:eastAsia="Times New Roman" w:hint="default"/>
          <w:spacing w:val="-2"/>
        </w:rPr>
        <w:t>2</w:t>
      </w:r>
      <w:r>
        <w:rPr>
          <w:spacing w:val="-2"/>
        </w:rPr>
        <w:t>部《火灾事故专项应急预案》《泄露事故专项应急预案》和</w:t>
      </w:r>
      <w:r>
        <w:rPr>
          <w:rFonts w:ascii="Times New Roman" w:hAnsi="Times New Roman" w:cs="Times New Roman" w:eastAsia="Times New Roman" w:hint="default"/>
          <w:spacing w:val="-2"/>
        </w:rPr>
        <w:t>5</w:t>
      </w:r>
      <w:r>
        <w:rPr>
          <w:spacing w:val="-2"/>
        </w:rPr>
        <w:t>部现场处置方案组成。应急预案体系充分涵盖了公</w:t>
      </w:r>
      <w:r>
        <w:rPr>
          <w:spacing w:val="-66"/>
        </w:rPr>
        <w:t> </w:t>
      </w:r>
      <w:r>
        <w:rPr>
          <w:spacing w:val="-66"/>
        </w:rPr>
      </w:r>
      <w:r>
        <w:rPr>
          <w:spacing w:val="-2"/>
        </w:rPr>
        <w:t>司可能发生的突发环境事件并针对性地作出处置方案，最大程度减少突发环境事件带来的环境污染事故。公司每年根据预案</w:t>
      </w:r>
      <w:r>
        <w:rPr>
          <w:spacing w:val="-64"/>
        </w:rPr>
        <w:t> </w:t>
      </w:r>
      <w:r>
        <w:rPr>
          <w:spacing w:val="-64"/>
        </w:rPr>
      </w:r>
      <w:r>
        <w:rPr/>
        <w:t>体系进行演练，不断增强了环保意识、查找应急不足、锻炼临场指挥和提高应急能力，确保环境突发事件平稳可控。</w:t>
      </w:r>
    </w:p>
    <w:p>
      <w:pPr>
        <w:pStyle w:val="BodyText"/>
        <w:spacing w:line="338" w:lineRule="auto" w:before="68"/>
        <w:ind w:right="0"/>
        <w:jc w:val="left"/>
      </w:pPr>
      <w:r>
        <w:rPr/>
        <w:t>环境自行监测方案 </w:t>
      </w:r>
      <w:r>
        <w:rPr>
          <w:spacing w:val="-2"/>
        </w:rPr>
        <w:t>根据上海华峰超纤材料股份有限公司的基本情况，公司采取委托监测的方式对污染物排放进行监测。公司按照环境主管部门</w:t>
      </w:r>
      <w:r>
        <w:rPr>
          <w:spacing w:val="-64"/>
        </w:rPr>
        <w:t> </w:t>
      </w:r>
      <w:r>
        <w:rPr>
          <w:spacing w:val="-64"/>
        </w:rPr>
      </w:r>
      <w:r>
        <w:rPr>
          <w:spacing w:val="-2"/>
        </w:rPr>
        <w:t>要求，通过上海市企事业单位环境信息公开平台，向社会公布自行监测信息。公布内容：企业基础信息，自行监测方案，自</w:t>
      </w:r>
    </w:p>
    <w:p>
      <w:pPr>
        <w:pStyle w:val="BodyText"/>
        <w:spacing w:line="360" w:lineRule="auto" w:before="2"/>
        <w:ind w:right="4453"/>
        <w:jc w:val="left"/>
      </w:pPr>
      <w:r>
        <w:rPr/>
        <w:t>行监测结果，及其他内容。监测结果在企业获得监测数据后的当月或下月公布。 其他应当公开的环境信息</w:t>
      </w:r>
    </w:p>
    <w:p>
      <w:pPr>
        <w:pStyle w:val="BodyText"/>
        <w:spacing w:line="357" w:lineRule="auto" w:before="26"/>
        <w:ind w:left="1134" w:right="9312"/>
        <w:jc w:val="left"/>
      </w:pPr>
      <w:r>
        <w:rPr/>
        <w:t>无 其他环保相关信息 无</w:t>
      </w:r>
    </w:p>
    <w:p>
      <w:pPr>
        <w:spacing w:line="240" w:lineRule="auto" w:before="5"/>
        <w:rPr>
          <w:rFonts w:ascii="宋体" w:hAnsi="宋体" w:cs="宋体" w:eastAsia="宋体" w:hint="default"/>
          <w:sz w:val="18"/>
          <w:szCs w:val="18"/>
        </w:rPr>
      </w:pPr>
    </w:p>
    <w:p>
      <w:pPr>
        <w:pStyle w:val="Heading2"/>
        <w:spacing w:line="240" w:lineRule="auto"/>
        <w:ind w:left="1134" w:right="0"/>
        <w:jc w:val="left"/>
        <w:rPr>
          <w:b w:val="0"/>
          <w:bCs w:val="0"/>
        </w:rPr>
      </w:pPr>
      <w:bookmarkStart w:name="十八、其他重大事项的说明" w:id="102"/>
      <w:bookmarkEnd w:id="102"/>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九、公司子公司重大事项" w:id="103"/>
      <w:bookmarkEnd w:id="103"/>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5" w:right="0"/>
        <w:jc w:val="left"/>
        <w:rPr>
          <w:b w:val="0"/>
          <w:bCs w:val="0"/>
        </w:rPr>
      </w:pPr>
      <w:bookmarkStart w:name="_TOC_250006" w:id="104"/>
      <w:bookmarkStart w:name="第六节 股份变动及股东情况" w:id="105"/>
      <w:r>
        <w:rPr>
          <w:b w:val="0"/>
          <w:bCs w:val="0"/>
        </w:rPr>
      </w:r>
      <w:r>
        <w:rPr/>
        <w:t>第六节</w:t>
      </w:r>
      <w:r>
        <w:rPr>
          <w:spacing w:val="-10"/>
        </w:rPr>
        <w:t> </w:t>
      </w:r>
      <w:r>
        <w:rPr/>
        <w:t>股份变动及股东情况</w:t>
      </w:r>
      <w:bookmarkEnd w:id="10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6"/>
      <w:bookmarkEnd w:id="106"/>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7"/>
      <w:bookmarkEnd w:id="10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175,058,1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36.85%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156,019,8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-80,000,0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76,019,83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251,078,0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39.79%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3.37%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-16,000,0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-16,000,0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159,058,1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13.47%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156,019,8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-64,000,0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92,019,83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251,078,0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39.79%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12.32%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26,513,38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-58,500,0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26,513,38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26,513,38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4.20%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100,558,1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21.17%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129,506,4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-5,500,00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124,006,4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224,564,6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35.59%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299,941,8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63.15%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379,941,8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60.21%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299,941,8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63.15%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379,941,8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60.21%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156,019,8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156,019,8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631,019,8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t>根据本公司</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年第二次临时股东大会决议、第三届董事会第十九次会议决议，并经中国证券监督管理委员会</w:t>
      </w:r>
      <w:r>
        <w:rPr>
          <w:rFonts w:ascii="Times New Roman" w:hAnsi="Times New Roman" w:cs="Times New Roman" w:eastAsia="Times New Roman" w:hint="default"/>
        </w:rPr>
        <w:t>“</w:t>
      </w:r>
      <w:r>
        <w:rPr/>
        <w:t>证监许可</w:t>
      </w:r>
    </w:p>
    <w:p>
      <w:pPr>
        <w:pStyle w:val="BodyText"/>
        <w:spacing w:line="240" w:lineRule="auto" w:before="63"/>
        <w:ind w:left="1134" w:right="0"/>
        <w:jc w:val="left"/>
      </w:pPr>
      <w:r>
        <w:rPr>
          <w:rFonts w:ascii="Times New Roman" w:hAnsi="Times New Roman" w:cs="Times New Roman" w:eastAsia="Times New Roman" w:hint="default"/>
        </w:rPr>
        <w:t>[2017]855</w:t>
      </w:r>
      <w:r>
        <w:rPr>
          <w:rFonts w:ascii="Times New Roman" w:hAnsi="Times New Roman" w:cs="Times New Roman" w:eastAsia="Times New Roman" w:hint="default"/>
          <w:spacing w:val="-14"/>
        </w:rPr>
        <w:t> </w:t>
      </w:r>
      <w:r>
        <w:rPr/>
        <w:t>号</w:t>
      </w:r>
      <w:r>
        <w:rPr>
          <w:rFonts w:ascii="Times New Roman" w:hAnsi="Times New Roman" w:cs="Times New Roman" w:eastAsia="Times New Roman" w:hint="default"/>
        </w:rPr>
        <w:t>”</w:t>
      </w:r>
      <w:r>
        <w:rPr/>
        <w:t>核准，公司向鲜丹发行</w:t>
      </w:r>
      <w:r>
        <w:rPr>
          <w:spacing w:val="-59"/>
        </w:rPr>
        <w:t> </w:t>
      </w:r>
      <w:r>
        <w:rPr>
          <w:rFonts w:ascii="Times New Roman" w:hAnsi="Times New Roman" w:cs="Times New Roman" w:eastAsia="Times New Roman" w:hint="default"/>
        </w:rPr>
        <w:t>45,923,991</w:t>
      </w:r>
      <w:r>
        <w:rPr>
          <w:rFonts w:ascii="Times New Roman" w:hAnsi="Times New Roman" w:cs="Times New Roman" w:eastAsia="Times New Roman" w:hint="default"/>
          <w:spacing w:val="-13"/>
        </w:rPr>
        <w:t> </w:t>
      </w:r>
      <w:r>
        <w:rPr/>
        <w:t>股股份，向蔡友弟发行</w:t>
      </w:r>
      <w:r>
        <w:rPr>
          <w:spacing w:val="-59"/>
        </w:rPr>
        <w:t> </w:t>
      </w:r>
      <w:r>
        <w:rPr>
          <w:rFonts w:ascii="Times New Roman" w:hAnsi="Times New Roman" w:cs="Times New Roman" w:eastAsia="Times New Roman" w:hint="default"/>
        </w:rPr>
        <w:t>29,178,369</w:t>
      </w:r>
      <w:r>
        <w:rPr>
          <w:rFonts w:ascii="Times New Roman" w:hAnsi="Times New Roman" w:cs="Times New Roman" w:eastAsia="Times New Roman" w:hint="default"/>
          <w:spacing w:val="-14"/>
        </w:rPr>
        <w:t> </w:t>
      </w:r>
      <w:r>
        <w:rPr/>
        <w:t>股股份，向北京奕铭投资管理中心（有限</w:t>
      </w:r>
    </w:p>
    <w:p>
      <w:pPr>
        <w:pStyle w:val="BodyText"/>
        <w:spacing w:line="240" w:lineRule="auto" w:before="63"/>
        <w:ind w:right="0"/>
        <w:jc w:val="left"/>
        <w:rPr>
          <w:rFonts w:ascii="Times New Roman" w:hAnsi="Times New Roman" w:cs="Times New Roman" w:eastAsia="Times New Roman" w:hint="default"/>
        </w:rPr>
      </w:pPr>
      <w:r>
        <w:rPr/>
        <w:t>合伙）发行</w:t>
      </w:r>
      <w:r>
        <w:rPr>
          <w:spacing w:val="-47"/>
        </w:rPr>
        <w:t> </w:t>
      </w:r>
      <w:r>
        <w:rPr>
          <w:rFonts w:ascii="Times New Roman" w:hAnsi="Times New Roman" w:cs="Times New Roman" w:eastAsia="Times New Roman" w:hint="default"/>
        </w:rPr>
        <w:t>20,875,797</w:t>
      </w:r>
      <w:r>
        <w:rPr>
          <w:rFonts w:ascii="Times New Roman" w:hAnsi="Times New Roman" w:cs="Times New Roman" w:eastAsia="Times New Roman" w:hint="default"/>
          <w:spacing w:val="-2"/>
        </w:rPr>
        <w:t> </w:t>
      </w:r>
      <w:r>
        <w:rPr/>
        <w:t>股股份，向王彤发行</w:t>
      </w:r>
      <w:r>
        <w:rPr>
          <w:spacing w:val="-47"/>
        </w:rPr>
        <w:t> </w:t>
      </w:r>
      <w:r>
        <w:rPr>
          <w:rFonts w:ascii="Times New Roman" w:hAnsi="Times New Roman" w:cs="Times New Roman" w:eastAsia="Times New Roman" w:hint="default"/>
        </w:rPr>
        <w:t>13,456,086</w:t>
      </w:r>
      <w:r>
        <w:rPr>
          <w:rFonts w:ascii="Times New Roman" w:hAnsi="Times New Roman" w:cs="Times New Roman" w:eastAsia="Times New Roman" w:hint="default"/>
          <w:spacing w:val="-1"/>
        </w:rPr>
        <w:t> </w:t>
      </w:r>
      <w:r>
        <w:rPr/>
        <w:t>股股份，向尤光兴发行</w:t>
      </w:r>
      <w:r>
        <w:rPr>
          <w:spacing w:val="-47"/>
        </w:rPr>
        <w:t> </w:t>
      </w:r>
      <w:r>
        <w:rPr>
          <w:rFonts w:ascii="Times New Roman" w:hAnsi="Times New Roman" w:cs="Times New Roman" w:eastAsia="Times New Roman" w:hint="default"/>
        </w:rPr>
        <w:t>8,052,307</w:t>
      </w:r>
      <w:r>
        <w:rPr>
          <w:rFonts w:ascii="Times New Roman" w:hAnsi="Times New Roman" w:cs="Times New Roman" w:eastAsia="Times New Roman" w:hint="default"/>
          <w:spacing w:val="-2"/>
        </w:rPr>
        <w:t> </w:t>
      </w:r>
      <w:r>
        <w:rPr/>
        <w:t>股股份，向邓振国发行</w:t>
      </w:r>
      <w:r>
        <w:rPr>
          <w:spacing w:val="-47"/>
        </w:rPr>
        <w:t> </w:t>
      </w:r>
      <w:r>
        <w:rPr>
          <w:rFonts w:ascii="Times New Roman" w:hAnsi="Times New Roman" w:cs="Times New Roman" w:eastAsia="Times New Roman" w:hint="default"/>
        </w:rPr>
        <w:t>5,636,154</w:t>
      </w:r>
    </w:p>
    <w:p>
      <w:pPr>
        <w:pStyle w:val="BodyText"/>
        <w:spacing w:line="240" w:lineRule="auto" w:before="63"/>
        <w:ind w:right="0"/>
        <w:jc w:val="left"/>
      </w:pPr>
      <w:r>
        <w:rPr/>
        <w:t>股股份，向蔡小如发行</w:t>
      </w:r>
      <w:r>
        <w:rPr>
          <w:spacing w:val="-62"/>
        </w:rPr>
        <w:t> </w:t>
      </w:r>
      <w:r>
        <w:rPr>
          <w:rFonts w:ascii="Times New Roman" w:hAnsi="Times New Roman" w:cs="Times New Roman" w:eastAsia="Times New Roman" w:hint="default"/>
        </w:rPr>
        <w:t>4,026,154</w:t>
      </w:r>
      <w:r>
        <w:rPr>
          <w:rFonts w:ascii="Times New Roman" w:hAnsi="Times New Roman" w:cs="Times New Roman" w:eastAsia="Times New Roman" w:hint="default"/>
          <w:spacing w:val="-17"/>
        </w:rPr>
        <w:t> </w:t>
      </w:r>
      <w:r>
        <w:rPr/>
        <w:t>股股份，向中山市微远创新投资基金管理中心（有限合伙）发行</w:t>
      </w:r>
      <w:r>
        <w:rPr>
          <w:spacing w:val="-61"/>
        </w:rPr>
        <w:t> </w:t>
      </w:r>
      <w:r>
        <w:rPr>
          <w:rFonts w:ascii="Times New Roman" w:hAnsi="Times New Roman" w:cs="Times New Roman" w:eastAsia="Times New Roman" w:hint="default"/>
        </w:rPr>
        <w:t>2,790,609</w:t>
      </w:r>
      <w:r>
        <w:rPr>
          <w:rFonts w:ascii="Times New Roman" w:hAnsi="Times New Roman" w:cs="Times New Roman" w:eastAsia="Times New Roman" w:hint="default"/>
          <w:spacing w:val="-17"/>
        </w:rPr>
        <w:t> </w:t>
      </w:r>
      <w:r>
        <w:rPr>
          <w:spacing w:val="-3"/>
        </w:rPr>
        <w:t>股股份，向于净</w:t>
      </w:r>
    </w:p>
    <w:p>
      <w:pPr>
        <w:pStyle w:val="BodyText"/>
        <w:spacing w:line="240" w:lineRule="auto" w:before="63"/>
        <w:ind w:right="0"/>
        <w:jc w:val="left"/>
      </w:pPr>
      <w:r>
        <w:rPr/>
        <w:t>发行</w:t>
      </w:r>
      <w:r>
        <w:rPr>
          <w:spacing w:val="-47"/>
        </w:rPr>
        <w:t> </w:t>
      </w:r>
      <w:r>
        <w:rPr>
          <w:rFonts w:ascii="Times New Roman" w:hAnsi="Times New Roman" w:cs="Times New Roman" w:eastAsia="Times New Roman" w:hint="default"/>
        </w:rPr>
        <w:t>3,221,154</w:t>
      </w:r>
      <w:r>
        <w:rPr>
          <w:rFonts w:ascii="Times New Roman" w:hAnsi="Times New Roman" w:cs="Times New Roman" w:eastAsia="Times New Roman" w:hint="default"/>
          <w:spacing w:val="-1"/>
        </w:rPr>
        <w:t> </w:t>
      </w:r>
      <w:r>
        <w:rPr/>
        <w:t>股股份，向林松柏发行</w:t>
      </w:r>
      <w:r>
        <w:rPr>
          <w:spacing w:val="-47"/>
        </w:rPr>
        <w:t> </w:t>
      </w:r>
      <w:r>
        <w:rPr>
          <w:rFonts w:ascii="Times New Roman" w:hAnsi="Times New Roman" w:cs="Times New Roman" w:eastAsia="Times New Roman" w:hint="default"/>
        </w:rPr>
        <w:t>3,221,153</w:t>
      </w:r>
      <w:r>
        <w:rPr>
          <w:rFonts w:ascii="Times New Roman" w:hAnsi="Times New Roman" w:cs="Times New Roman" w:eastAsia="Times New Roman" w:hint="default"/>
          <w:spacing w:val="-2"/>
        </w:rPr>
        <w:t> </w:t>
      </w:r>
      <w:r>
        <w:rPr/>
        <w:t>股股份，向叶成春发行</w:t>
      </w:r>
      <w:r>
        <w:rPr>
          <w:spacing w:val="-47"/>
        </w:rPr>
        <w:t> </w:t>
      </w:r>
      <w:r>
        <w:rPr>
          <w:rFonts w:ascii="Times New Roman" w:hAnsi="Times New Roman" w:cs="Times New Roman" w:eastAsia="Times New Roman" w:hint="default"/>
        </w:rPr>
        <w:t>1,783,951</w:t>
      </w:r>
      <w:r>
        <w:rPr>
          <w:rFonts w:ascii="Times New Roman" w:hAnsi="Times New Roman" w:cs="Times New Roman" w:eastAsia="Times New Roman" w:hint="default"/>
          <w:spacing w:val="-2"/>
        </w:rPr>
        <w:t> </w:t>
      </w:r>
      <w:r>
        <w:rPr/>
        <w:t>股股份购买相关资产，以及非公开发行</w:t>
      </w:r>
    </w:p>
    <w:p>
      <w:pPr>
        <w:pStyle w:val="BodyText"/>
        <w:spacing w:line="338" w:lineRule="auto" w:before="64"/>
        <w:ind w:right="4689"/>
        <w:jc w:val="left"/>
      </w:pPr>
      <w:r>
        <w:rPr>
          <w:rFonts w:ascii="Times New Roman" w:hAnsi="Times New Roman" w:cs="Times New Roman" w:eastAsia="Times New Roman" w:hint="default"/>
        </w:rPr>
        <w:t>17,854,114</w:t>
      </w:r>
      <w:r>
        <w:rPr>
          <w:rFonts w:ascii="Times New Roman" w:hAnsi="Times New Roman" w:cs="Times New Roman" w:eastAsia="Times New Roman" w:hint="default"/>
          <w:spacing w:val="-1"/>
        </w:rPr>
        <w:t> </w:t>
      </w:r>
      <w:r>
        <w:rPr/>
        <w:t>股人民币普通股，并于</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日在深圳证券交易所上市。 股份变动的批准情况</w:t>
      </w:r>
    </w:p>
    <w:p>
      <w:pPr>
        <w:pStyle w:val="BodyText"/>
        <w:spacing w:line="319" w:lineRule="auto" w:before="43"/>
        <w:ind w:right="16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本公司</w:t>
      </w:r>
      <w:r>
        <w:rPr>
          <w:rFonts w:ascii="Times New Roman" w:hAnsi="Times New Roman" w:cs="Times New Roman" w:eastAsia="Times New Roman" w:hint="default"/>
        </w:rPr>
        <w:t>2016</w:t>
      </w:r>
      <w:r>
        <w:rPr/>
        <w:t>年第二次临时股东大会决议、第三届董事会第十九次会议决议，并经中国证券监督管理委员会</w:t>
      </w:r>
      <w:r>
        <w:rPr>
          <w:rFonts w:ascii="Times New Roman" w:hAnsi="Times New Roman" w:cs="Times New Roman" w:eastAsia="Times New Roman" w:hint="default"/>
        </w:rPr>
        <w:t>“</w:t>
      </w:r>
      <w:r>
        <w:rPr/>
        <w:t>证监许可 </w:t>
      </w:r>
      <w:r>
        <w:rPr>
          <w:rFonts w:ascii="Times New Roman" w:hAnsi="Times New Roman" w:cs="Times New Roman" w:eastAsia="Times New Roman" w:hint="default"/>
        </w:rPr>
        <w:t>[2017]855</w:t>
      </w:r>
      <w:r>
        <w:rPr/>
        <w:t>号</w:t>
      </w:r>
      <w:r>
        <w:rPr>
          <w:rFonts w:ascii="Times New Roman" w:hAnsi="Times New Roman" w:cs="Times New Roman" w:eastAsia="Times New Roman" w:hint="default"/>
        </w:rPr>
        <w:t>”</w:t>
      </w:r>
      <w:r>
        <w:rPr/>
        <w:t>核准</w:t>
      </w:r>
    </w:p>
    <w:p>
      <w:pPr>
        <w:spacing w:after="0" w:line="319"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股份变动的过户情况</w:t>
      </w:r>
    </w:p>
    <w:p>
      <w:pPr>
        <w:pStyle w:val="BodyText"/>
        <w:spacing w:line="338" w:lineRule="auto" w:before="116"/>
        <w:ind w:left="1307" w:right="6169" w:hanging="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已过户完成并于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日在深圳证券交易所上市。</w:t>
      </w:r>
    </w:p>
    <w:p>
      <w:pPr>
        <w:pStyle w:val="BodyText"/>
        <w:spacing w:line="240" w:lineRule="auto" w:before="22"/>
        <w:ind w:right="0"/>
        <w:jc w:val="left"/>
      </w:pPr>
      <w:r>
        <w:rPr/>
        <w:t>股份变动对最近一年和最近一期基本每股收益和稀释每股收益、归属于公司普通股股东的每股净资产等财务指标的影响</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40" w:lineRule="auto" w:before="102"/>
        <w:ind w:right="4181" w:firstLine="362"/>
        <w:jc w:val="left"/>
      </w:pPr>
      <w:r>
        <w:rPr>
          <w:rFonts w:ascii="Times New Roman" w:hAnsi="Times New Roman" w:cs="Times New Roman" w:eastAsia="Times New Roman" w:hint="default"/>
        </w:rPr>
        <w:t>2017</w:t>
      </w:r>
      <w:r>
        <w:rPr/>
        <w:t>年公司合并报表基本每股收益和稀释每股收益</w:t>
      </w:r>
      <w:r>
        <w:rPr>
          <w:rFonts w:ascii="Times New Roman" w:hAnsi="Times New Roman" w:cs="Times New Roman" w:eastAsia="Times New Roman" w:hint="default"/>
        </w:rPr>
        <w:t>0.45</w:t>
      </w:r>
      <w:r>
        <w:rPr/>
        <w:t>元，每股净资产</w:t>
      </w:r>
      <w:r>
        <w:rPr>
          <w:rFonts w:ascii="Times New Roman" w:hAnsi="Times New Roman" w:cs="Times New Roman" w:eastAsia="Times New Roman" w:hint="default"/>
        </w:rPr>
        <w:t>7.71</w:t>
      </w:r>
      <w:r>
        <w:rPr/>
        <w:t>元。 公司认为必要或证券监管机构要求披露的其他内容</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08"/>
      <w:bookmarkEnd w:id="10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96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华安未来资产－ 工商银行－长安 国际信托－长安 权</w:t>
            </w:r>
            <w:r>
              <w:rPr>
                <w:rFonts w:ascii="Times New Roman" w:hAnsi="Times New Roman" w:cs="Times New Roman" w:eastAsia="Times New Roman" w:hint="default"/>
                <w:sz w:val="18"/>
                <w:szCs w:val="18"/>
              </w:rPr>
              <w:t>·</w:t>
            </w:r>
            <w:r>
              <w:rPr>
                <w:rFonts w:ascii="宋体" w:hAnsi="宋体" w:cs="宋体" w:eastAsia="宋体" w:hint="default"/>
                <w:sz w:val="18"/>
                <w:szCs w:val="18"/>
              </w:rPr>
              <w:t>华峰超纤定 增权益投资单一 资金信托计划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23,700,000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23,700,000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3" w:right="75"/>
              <w:jc w:val="left"/>
              <w:rPr>
                <w:rFonts w:ascii="宋体" w:hAnsi="宋体" w:cs="宋体" w:eastAsia="宋体" w:hint="default"/>
                <w:sz w:val="18"/>
                <w:szCs w:val="18"/>
              </w:rPr>
            </w:pPr>
            <w:r>
              <w:rPr>
                <w:rFonts w:ascii="宋体" w:hAnsi="宋体" w:cs="宋体" w:eastAsia="宋体" w:hint="default"/>
                <w:sz w:val="18"/>
                <w:szCs w:val="18"/>
              </w:rPr>
              <w:t>非公开发行锁定 一年</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北信瑞丰基金－ 工商银行－北信 瑞丰基金丰庆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 </w:t>
            </w:r>
            <w:r>
              <w:rPr>
                <w:rFonts w:ascii="宋体" w:hAnsi="宋体" w:cs="宋体" w:eastAsia="宋体" w:hint="default"/>
                <w:sz w:val="18"/>
                <w:szCs w:val="18"/>
              </w:rPr>
              <w:t>号资产管理计划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75"/>
              <w:jc w:val="left"/>
              <w:rPr>
                <w:rFonts w:ascii="宋体" w:hAnsi="宋体" w:cs="宋体" w:eastAsia="宋体" w:hint="default"/>
                <w:sz w:val="18"/>
                <w:szCs w:val="18"/>
              </w:rPr>
            </w:pPr>
            <w:r>
              <w:rPr>
                <w:rFonts w:ascii="宋体" w:hAnsi="宋体" w:cs="宋体" w:eastAsia="宋体" w:hint="default"/>
                <w:sz w:val="18"/>
                <w:szCs w:val="18"/>
              </w:rPr>
              <w:t>非公开发行锁定 一年</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中广核资本控股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5"/>
              <w:jc w:val="left"/>
              <w:rPr>
                <w:rFonts w:ascii="宋体" w:hAnsi="宋体" w:cs="宋体" w:eastAsia="宋体" w:hint="default"/>
                <w:sz w:val="18"/>
                <w:szCs w:val="18"/>
              </w:rPr>
            </w:pPr>
            <w:r>
              <w:rPr>
                <w:rFonts w:ascii="宋体" w:hAnsi="宋体" w:cs="宋体" w:eastAsia="宋体" w:hint="default"/>
                <w:sz w:val="18"/>
                <w:szCs w:val="18"/>
              </w:rPr>
              <w:t>非公开发行锁定 一年</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中欧盛世资产－ 广发银行－中欧 盛世景鑫</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号资 产管理计划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75"/>
              <w:jc w:val="left"/>
              <w:rPr>
                <w:rFonts w:ascii="宋体" w:hAnsi="宋体" w:cs="宋体" w:eastAsia="宋体" w:hint="default"/>
                <w:sz w:val="18"/>
                <w:szCs w:val="18"/>
              </w:rPr>
            </w:pPr>
            <w:r>
              <w:rPr>
                <w:rFonts w:ascii="宋体" w:hAnsi="宋体" w:cs="宋体" w:eastAsia="宋体" w:hint="default"/>
                <w:sz w:val="18"/>
                <w:szCs w:val="18"/>
              </w:rPr>
              <w:t>非公开发行锁定 一年</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刘建国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5"/>
              <w:jc w:val="left"/>
              <w:rPr>
                <w:rFonts w:ascii="宋体" w:hAnsi="宋体" w:cs="宋体" w:eastAsia="宋体" w:hint="default"/>
                <w:sz w:val="18"/>
                <w:szCs w:val="18"/>
              </w:rPr>
            </w:pPr>
            <w:r>
              <w:rPr>
                <w:rFonts w:ascii="宋体" w:hAnsi="宋体" w:cs="宋体" w:eastAsia="宋体" w:hint="default"/>
                <w:sz w:val="18"/>
                <w:szCs w:val="18"/>
              </w:rPr>
              <w:t>非公开发行锁定 一年</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鲜丹</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45,923,991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45,923,991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3"/>
              <w:jc w:val="left"/>
              <w:rPr>
                <w:rFonts w:ascii="宋体" w:hAnsi="宋体" w:cs="宋体" w:eastAsia="宋体" w:hint="default"/>
                <w:sz w:val="18"/>
                <w:szCs w:val="18"/>
              </w:rPr>
            </w:pPr>
            <w:r>
              <w:rPr>
                <w:rFonts w:ascii="宋体" w:hAnsi="宋体" w:cs="宋体" w:eastAsia="宋体" w:hint="default"/>
                <w:sz w:val="18"/>
                <w:szCs w:val="18"/>
              </w:rPr>
              <w:t>重大资产重组锁 定三年</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蔡友弟</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29,178,369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29,178,369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5"/>
              <w:jc w:val="left"/>
              <w:rPr>
                <w:rFonts w:ascii="宋体" w:hAnsi="宋体" w:cs="宋体" w:eastAsia="宋体" w:hint="default"/>
                <w:sz w:val="18"/>
                <w:szCs w:val="18"/>
              </w:rPr>
            </w:pPr>
            <w:r>
              <w:rPr>
                <w:rFonts w:ascii="宋体" w:hAnsi="宋体" w:cs="宋体" w:eastAsia="宋体" w:hint="default"/>
                <w:sz w:val="18"/>
                <w:szCs w:val="18"/>
              </w:rPr>
              <w:t>重大资产重组锁 定三年</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北京奕铭</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20,875,797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20,875,797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5"/>
              <w:jc w:val="left"/>
              <w:rPr>
                <w:rFonts w:ascii="宋体" w:hAnsi="宋体" w:cs="宋体" w:eastAsia="宋体" w:hint="default"/>
                <w:sz w:val="18"/>
                <w:szCs w:val="18"/>
              </w:rPr>
            </w:pPr>
            <w:r>
              <w:rPr>
                <w:rFonts w:ascii="宋体" w:hAnsi="宋体" w:cs="宋体" w:eastAsia="宋体" w:hint="default"/>
                <w:sz w:val="18"/>
                <w:szCs w:val="18"/>
              </w:rPr>
              <w:t>重大资产重组锁 定三年</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王彤</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13,456,086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13,456,086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1"/>
              <w:jc w:val="center"/>
              <w:rPr>
                <w:rFonts w:ascii="宋体" w:hAnsi="宋体" w:cs="宋体" w:eastAsia="宋体" w:hint="default"/>
                <w:sz w:val="18"/>
                <w:szCs w:val="18"/>
              </w:rPr>
            </w:pPr>
            <w:r>
              <w:rPr>
                <w:rFonts w:ascii="宋体" w:hAnsi="宋体" w:cs="宋体" w:eastAsia="宋体" w:hint="default"/>
                <w:sz w:val="18"/>
                <w:szCs w:val="18"/>
              </w:rPr>
              <w:t>重大资产重组锁</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362"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定三年</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尤光兴</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8,052,307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8,052,307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5"/>
              <w:jc w:val="left"/>
              <w:rPr>
                <w:rFonts w:ascii="宋体" w:hAnsi="宋体" w:cs="宋体" w:eastAsia="宋体" w:hint="default"/>
                <w:sz w:val="18"/>
                <w:szCs w:val="18"/>
              </w:rPr>
            </w:pPr>
            <w:r>
              <w:rPr>
                <w:rFonts w:ascii="宋体" w:hAnsi="宋体" w:cs="宋体" w:eastAsia="宋体" w:hint="default"/>
                <w:sz w:val="18"/>
                <w:szCs w:val="18"/>
              </w:rPr>
              <w:t>重大资产重组锁 定三年</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邓振国</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5,636,154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5,636,154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5"/>
              <w:jc w:val="left"/>
              <w:rPr>
                <w:rFonts w:ascii="宋体" w:hAnsi="宋体" w:cs="宋体" w:eastAsia="宋体" w:hint="default"/>
                <w:sz w:val="18"/>
                <w:szCs w:val="18"/>
              </w:rPr>
            </w:pPr>
            <w:r>
              <w:rPr>
                <w:rFonts w:ascii="宋体" w:hAnsi="宋体" w:cs="宋体" w:eastAsia="宋体" w:hint="default"/>
                <w:sz w:val="18"/>
                <w:szCs w:val="18"/>
              </w:rPr>
              <w:t>重大资产重组锁 定三年</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蔡小如</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4,026,154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4,026,154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5"/>
              <w:jc w:val="left"/>
              <w:rPr>
                <w:rFonts w:ascii="宋体" w:hAnsi="宋体" w:cs="宋体" w:eastAsia="宋体" w:hint="default"/>
                <w:sz w:val="18"/>
                <w:szCs w:val="18"/>
              </w:rPr>
            </w:pPr>
            <w:r>
              <w:rPr>
                <w:rFonts w:ascii="宋体" w:hAnsi="宋体" w:cs="宋体" w:eastAsia="宋体" w:hint="default"/>
                <w:sz w:val="18"/>
                <w:szCs w:val="18"/>
              </w:rPr>
              <w:t>重大资产重组锁 定三年</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中山微远</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2,790,609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2,790,609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5"/>
              <w:jc w:val="left"/>
              <w:rPr>
                <w:rFonts w:ascii="宋体" w:hAnsi="宋体" w:cs="宋体" w:eastAsia="宋体" w:hint="default"/>
                <w:sz w:val="18"/>
                <w:szCs w:val="18"/>
              </w:rPr>
            </w:pPr>
            <w:r>
              <w:rPr>
                <w:rFonts w:ascii="宋体" w:hAnsi="宋体" w:cs="宋体" w:eastAsia="宋体" w:hint="default"/>
                <w:sz w:val="18"/>
                <w:szCs w:val="18"/>
              </w:rPr>
              <w:t>重大资产重组锁 定三年</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3,221,154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3,221,154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5"/>
              <w:jc w:val="left"/>
              <w:rPr>
                <w:rFonts w:ascii="宋体" w:hAnsi="宋体" w:cs="宋体" w:eastAsia="宋体" w:hint="default"/>
                <w:sz w:val="18"/>
                <w:szCs w:val="18"/>
              </w:rPr>
            </w:pPr>
            <w:r>
              <w:rPr>
                <w:rFonts w:ascii="宋体" w:hAnsi="宋体" w:cs="宋体" w:eastAsia="宋体" w:hint="default"/>
                <w:sz w:val="18"/>
                <w:szCs w:val="18"/>
              </w:rPr>
              <w:t>重大资产重组锁 定三年</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林松柏</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3,221,153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3,221,153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5"/>
              <w:jc w:val="left"/>
              <w:rPr>
                <w:rFonts w:ascii="宋体" w:hAnsi="宋体" w:cs="宋体" w:eastAsia="宋体" w:hint="default"/>
                <w:sz w:val="18"/>
                <w:szCs w:val="18"/>
              </w:rPr>
            </w:pPr>
            <w:r>
              <w:rPr>
                <w:rFonts w:ascii="宋体" w:hAnsi="宋体" w:cs="宋体" w:eastAsia="宋体" w:hint="default"/>
                <w:sz w:val="18"/>
                <w:szCs w:val="18"/>
              </w:rPr>
              <w:t>重大资产重组锁 定三年</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叶成春</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1,783,951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1,783,951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5"/>
              <w:jc w:val="left"/>
              <w:rPr>
                <w:rFonts w:ascii="宋体" w:hAnsi="宋体" w:cs="宋体" w:eastAsia="宋体" w:hint="default"/>
                <w:sz w:val="18"/>
                <w:szCs w:val="18"/>
              </w:rPr>
            </w:pPr>
            <w:r>
              <w:rPr>
                <w:rFonts w:ascii="宋体" w:hAnsi="宋体" w:cs="宋体" w:eastAsia="宋体" w:hint="default"/>
                <w:sz w:val="18"/>
                <w:szCs w:val="18"/>
              </w:rPr>
              <w:t>重大资产重组锁 定三年</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尤小平</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10,736,677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10,736,677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5"/>
              <w:jc w:val="left"/>
              <w:rPr>
                <w:rFonts w:ascii="宋体" w:hAnsi="宋体" w:cs="宋体" w:eastAsia="宋体" w:hint="default"/>
                <w:sz w:val="18"/>
                <w:szCs w:val="18"/>
              </w:rPr>
            </w:pPr>
            <w:r>
              <w:rPr>
                <w:rFonts w:ascii="宋体" w:hAnsi="宋体" w:cs="宋体" w:eastAsia="宋体" w:hint="default"/>
                <w:sz w:val="18"/>
                <w:szCs w:val="18"/>
              </w:rPr>
              <w:t>重大资产重组锁 定三年</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4,270,462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4,270,462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5"/>
              <w:jc w:val="left"/>
              <w:rPr>
                <w:rFonts w:ascii="宋体" w:hAnsi="宋体" w:cs="宋体" w:eastAsia="宋体" w:hint="default"/>
                <w:sz w:val="18"/>
                <w:szCs w:val="18"/>
              </w:rPr>
            </w:pPr>
            <w:r>
              <w:rPr>
                <w:rFonts w:ascii="宋体" w:hAnsi="宋体" w:cs="宋体" w:eastAsia="宋体" w:hint="default"/>
                <w:sz w:val="18"/>
                <w:szCs w:val="18"/>
              </w:rPr>
              <w:t>重大资产重组锁 定三年</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上海并购基金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2,846,975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2,846,975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5"/>
              <w:jc w:val="left"/>
              <w:rPr>
                <w:rFonts w:ascii="宋体" w:hAnsi="宋体" w:cs="宋体" w:eastAsia="宋体" w:hint="default"/>
                <w:sz w:val="18"/>
                <w:szCs w:val="18"/>
              </w:rPr>
            </w:pPr>
            <w:r>
              <w:rPr>
                <w:rFonts w:ascii="宋体" w:hAnsi="宋体" w:cs="宋体" w:eastAsia="宋体" w:hint="default"/>
                <w:sz w:val="18"/>
                <w:szCs w:val="18"/>
              </w:rPr>
              <w:t>重大资产重组锁 定三年</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80,000,000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80,000,000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156,019,839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156,019,839</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二、证券发行与上市情况" w:id="109"/>
      <w:bookmarkEnd w:id="109"/>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10"/>
      <w:bookmarkEnd w:id="11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1026"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8"/>
              <w:jc w:val="both"/>
              <w:rPr>
                <w:rFonts w:ascii="宋体" w:hAnsi="宋体" w:cs="宋体" w:eastAsia="宋体" w:hint="default"/>
                <w:sz w:val="18"/>
                <w:szCs w:val="18"/>
              </w:rPr>
            </w:pPr>
            <w:r>
              <w:rPr>
                <w:rFonts w:ascii="宋体" w:hAnsi="宋体" w:cs="宋体" w:eastAsia="宋体" w:hint="default"/>
                <w:sz w:val="18"/>
                <w:szCs w:val="18"/>
              </w:rPr>
              <w:t>重大资产重组向 全体交易对方发 行股份</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12.73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138,165,725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138,165,725</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8"/>
              <w:jc w:val="left"/>
              <w:rPr>
                <w:rFonts w:ascii="宋体" w:hAnsi="宋体" w:cs="宋体" w:eastAsia="宋体" w:hint="default"/>
                <w:sz w:val="18"/>
                <w:szCs w:val="18"/>
              </w:rPr>
            </w:pPr>
            <w:r>
              <w:rPr>
                <w:rFonts w:ascii="宋体" w:hAnsi="宋体" w:cs="宋体" w:eastAsia="宋体" w:hint="default"/>
                <w:sz w:val="18"/>
                <w:szCs w:val="18"/>
              </w:rPr>
              <w:t>重大资产重组配 套募集资金</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14.05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17,854,114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17,854,114</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52"/>
        <w:ind w:left="1134" w:right="0"/>
        <w:jc w:val="left"/>
      </w:pPr>
      <w:r>
        <w:rPr/>
        <w:t>报告期内证券发行（不含优先股）情况的说明</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2" w:lineRule="auto" w:before="44"/>
        <w:ind w:right="1125"/>
        <w:jc w:val="left"/>
      </w:pPr>
      <w:r>
        <w:rPr/>
        <w:t>华峰超纤本次向重大资产重组全体交易对方非公开发行新股数量为</w:t>
      </w:r>
      <w:r>
        <w:rPr>
          <w:spacing w:val="-46"/>
        </w:rPr>
        <w:t> </w:t>
      </w:r>
      <w:r>
        <w:rPr>
          <w:rFonts w:ascii="Times New Roman" w:hAnsi="Times New Roman" w:cs="Times New Roman" w:eastAsia="Times New Roman" w:hint="default"/>
        </w:rPr>
        <w:t>138,165,725</w:t>
      </w:r>
      <w:r>
        <w:rPr>
          <w:rFonts w:ascii="Times New Roman" w:hAnsi="Times New Roman" w:cs="Times New Roman" w:eastAsia="Times New Roman" w:hint="default"/>
          <w:spacing w:val="-2"/>
        </w:rPr>
        <w:t> </w:t>
      </w:r>
      <w:r>
        <w:rPr/>
        <w:t>股，发行价格为</w:t>
      </w:r>
      <w:r>
        <w:rPr>
          <w:spacing w:val="-47"/>
        </w:rPr>
        <w:t> </w:t>
      </w:r>
      <w:r>
        <w:rPr>
          <w:rFonts w:ascii="Times New Roman" w:hAnsi="Times New Roman" w:cs="Times New Roman" w:eastAsia="Times New Roman" w:hint="default"/>
        </w:rPr>
        <w:t>12.73</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股，限售期三十六 个月。</w:t>
      </w:r>
    </w:p>
    <w:p>
      <w:pPr>
        <w:pStyle w:val="BodyText"/>
        <w:spacing w:line="302" w:lineRule="auto" w:before="68"/>
        <w:ind w:right="1116"/>
        <w:jc w:val="left"/>
      </w:pPr>
      <w:r>
        <w:rPr/>
        <w:t>华峰超纤本次向尤小平、王蔚、上海并购基金发行新股</w:t>
      </w:r>
      <w:r>
        <w:rPr>
          <w:spacing w:val="-67"/>
        </w:rPr>
        <w:t> </w:t>
      </w:r>
      <w:r>
        <w:rPr>
          <w:rFonts w:ascii="Times New Roman" w:hAnsi="Times New Roman" w:cs="Times New Roman" w:eastAsia="Times New Roman" w:hint="default"/>
        </w:rPr>
        <w:t>17,854,114</w:t>
      </w:r>
      <w:r>
        <w:rPr>
          <w:rFonts w:ascii="Times New Roman" w:hAnsi="Times New Roman" w:cs="Times New Roman" w:eastAsia="Times New Roman" w:hint="default"/>
          <w:spacing w:val="-22"/>
        </w:rPr>
        <w:t> </w:t>
      </w:r>
      <w:r>
        <w:rPr/>
        <w:t>股募集配套资金，发行价格为</w:t>
      </w:r>
      <w:r>
        <w:rPr>
          <w:spacing w:val="-67"/>
        </w:rPr>
        <w:t> </w:t>
      </w:r>
      <w:r>
        <w:rPr>
          <w:rFonts w:ascii="Times New Roman" w:hAnsi="Times New Roman" w:cs="Times New Roman" w:eastAsia="Times New Roman" w:hint="default"/>
        </w:rPr>
        <w:t>14.05</w:t>
      </w:r>
      <w:r>
        <w:rPr>
          <w:rFonts w:ascii="Times New Roman" w:hAnsi="Times New Roman" w:cs="Times New Roman" w:eastAsia="Times New Roman" w:hint="default"/>
          <w:spacing w:val="-22"/>
        </w:rPr>
        <w:t> </w:t>
      </w:r>
      <w:r>
        <w:rPr/>
        <w:t>元</w:t>
      </w:r>
      <w:r>
        <w:rPr>
          <w:rFonts w:ascii="Times New Roman" w:hAnsi="Times New Roman" w:cs="Times New Roman" w:eastAsia="Times New Roman" w:hint="default"/>
        </w:rPr>
        <w:t>/</w:t>
      </w:r>
      <w:r>
        <w:rPr/>
        <w:t>股，限售期三十六 个月。</w:t>
      </w:r>
    </w:p>
    <w:p>
      <w:pPr>
        <w:pStyle w:val="BodyText"/>
        <w:spacing w:line="240" w:lineRule="auto" w:before="71"/>
        <w:ind w:right="0"/>
        <w:jc w:val="left"/>
      </w:pPr>
      <w:r>
        <w:rPr/>
        <w:t>本次发行新增股份的性质为有限售条件流通股，上市日为</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111"/>
      <w:bookmarkEnd w:id="11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t>上市公司原总股本为</w:t>
      </w:r>
      <w:r>
        <w:rPr>
          <w:spacing w:val="-52"/>
        </w:rPr>
        <w:t> </w:t>
      </w:r>
      <w:r>
        <w:rPr>
          <w:rFonts w:ascii="Times New Roman" w:hAnsi="Times New Roman" w:cs="Times New Roman" w:eastAsia="Times New Roman" w:hint="default"/>
        </w:rPr>
        <w:t>475,000,000</w:t>
      </w:r>
      <w:r>
        <w:rPr>
          <w:rFonts w:ascii="Times New Roman" w:hAnsi="Times New Roman" w:cs="Times New Roman" w:eastAsia="Times New Roman" w:hint="default"/>
          <w:spacing w:val="-7"/>
        </w:rPr>
        <w:t> </w:t>
      </w:r>
      <w:r>
        <w:rPr>
          <w:spacing w:val="-3"/>
        </w:rPr>
        <w:t>股，按照本次交易方案，上市公司本次将发行</w:t>
      </w:r>
      <w:r>
        <w:rPr>
          <w:spacing w:val="-52"/>
        </w:rPr>
        <w:t> </w:t>
      </w:r>
      <w:r>
        <w:rPr>
          <w:rFonts w:ascii="Times New Roman" w:hAnsi="Times New Roman" w:cs="Times New Roman" w:eastAsia="Times New Roman" w:hint="default"/>
        </w:rPr>
        <w:t>138,165,725</w:t>
      </w:r>
      <w:r>
        <w:rPr>
          <w:rFonts w:ascii="Times New Roman" w:hAnsi="Times New Roman" w:cs="Times New Roman" w:eastAsia="Times New Roman" w:hint="default"/>
          <w:spacing w:val="-7"/>
        </w:rPr>
        <w:t> </w:t>
      </w:r>
      <w:r>
        <w:rPr/>
        <w:t>股普通股用于购买标的资产，并</w:t>
      </w:r>
    </w:p>
    <w:p>
      <w:pPr>
        <w:pStyle w:val="BodyText"/>
        <w:spacing w:line="240" w:lineRule="auto" w:before="64"/>
        <w:ind w:right="0"/>
        <w:jc w:val="left"/>
      </w:pPr>
      <w:r>
        <w:rPr/>
        <w:t>拟发行 </w:t>
      </w:r>
      <w:r>
        <w:rPr>
          <w:rFonts w:ascii="Times New Roman" w:hAnsi="Times New Roman" w:cs="Times New Roman" w:eastAsia="Times New Roman" w:hint="default"/>
        </w:rPr>
        <w:t>17,854,114</w:t>
      </w:r>
      <w:r>
        <w:rPr>
          <w:rFonts w:ascii="Times New Roman" w:hAnsi="Times New Roman" w:cs="Times New Roman" w:eastAsia="Times New Roman" w:hint="default"/>
          <w:spacing w:val="-9"/>
        </w:rPr>
        <w:t> </w:t>
      </w:r>
      <w:r>
        <w:rPr/>
        <w:t>股普通股用于募集配套资金。本次交易前后上市公司的股权结构变化如下表所示：</w:t>
      </w:r>
    </w:p>
    <w:p>
      <w:pPr>
        <w:spacing w:line="240" w:lineRule="auto" w:before="12"/>
        <w:rPr>
          <w:rFonts w:ascii="宋体" w:hAnsi="宋体" w:cs="宋体" w:eastAsia="宋体" w:hint="default"/>
          <w:sz w:val="6"/>
          <w:szCs w:val="6"/>
        </w:rPr>
      </w:pPr>
    </w:p>
    <w:tbl>
      <w:tblPr>
        <w:tblW w:w="0" w:type="auto"/>
        <w:jc w:val="left"/>
        <w:tblInd w:w="1126" w:type="dxa"/>
        <w:tblLayout w:type="fixed"/>
        <w:tblCellMar>
          <w:top w:w="0" w:type="dxa"/>
          <w:left w:w="0" w:type="dxa"/>
          <w:bottom w:w="0" w:type="dxa"/>
          <w:right w:w="0" w:type="dxa"/>
        </w:tblCellMar>
        <w:tblLook w:val="01E0"/>
      </w:tblPr>
      <w:tblGrid>
        <w:gridCol w:w="534"/>
        <w:gridCol w:w="1118"/>
        <w:gridCol w:w="1279"/>
        <w:gridCol w:w="989"/>
        <w:gridCol w:w="1291"/>
        <w:gridCol w:w="1027"/>
      </w:tblGrid>
      <w:tr>
        <w:trPr>
          <w:trHeight w:val="788" w:hRule="exact"/>
        </w:trPr>
        <w:tc>
          <w:tcPr>
            <w:tcW w:w="534" w:type="dxa"/>
            <w:vMerge w:val="restart"/>
            <w:tcBorders>
              <w:top w:val="single" w:sz="6" w:space="0" w:color="008000"/>
              <w:left w:val="single" w:sz="6" w:space="0" w:color="008000"/>
              <w:right w:val="single" w:sz="12" w:space="0" w:color="008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118" w:type="dxa"/>
            <w:vMerge w:val="restart"/>
            <w:tcBorders>
              <w:top w:val="single" w:sz="6" w:space="0" w:color="008000"/>
              <w:left w:val="single" w:sz="12" w:space="0" w:color="008000"/>
              <w:right w:val="single" w:sz="12" w:space="0" w:color="008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2268" w:type="dxa"/>
            <w:gridSpan w:val="2"/>
            <w:tcBorders>
              <w:top w:val="single" w:sz="6" w:space="0" w:color="008000"/>
              <w:left w:val="single" w:sz="12" w:space="0" w:color="008000"/>
              <w:bottom w:val="single" w:sz="12" w:space="0" w:color="008000"/>
              <w:right w:val="single" w:sz="12" w:space="0" w:color="008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本次交易前</w:t>
            </w:r>
          </w:p>
        </w:tc>
        <w:tc>
          <w:tcPr>
            <w:tcW w:w="2318" w:type="dxa"/>
            <w:gridSpan w:val="2"/>
            <w:tcBorders>
              <w:top w:val="single" w:sz="6" w:space="0" w:color="008000"/>
              <w:left w:val="single" w:sz="12" w:space="0" w:color="008000"/>
              <w:bottom w:val="single" w:sz="12" w:space="0" w:color="008000"/>
              <w:right w:val="single" w:sz="12" w:space="0" w:color="008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本次交易后</w:t>
            </w:r>
          </w:p>
        </w:tc>
      </w:tr>
      <w:tr>
        <w:trPr>
          <w:trHeight w:val="432" w:hRule="exact"/>
        </w:trPr>
        <w:tc>
          <w:tcPr>
            <w:tcW w:w="534" w:type="dxa"/>
            <w:vMerge/>
            <w:tcBorders>
              <w:left w:val="single" w:sz="6" w:space="0" w:color="008000"/>
              <w:bottom w:val="single" w:sz="12" w:space="0" w:color="008000"/>
              <w:right w:val="single" w:sz="12" w:space="0" w:color="008000"/>
            </w:tcBorders>
          </w:tcPr>
          <w:p>
            <w:pPr/>
          </w:p>
        </w:tc>
        <w:tc>
          <w:tcPr>
            <w:tcW w:w="1118" w:type="dxa"/>
            <w:vMerge/>
            <w:tcBorders>
              <w:left w:val="single" w:sz="12" w:space="0" w:color="008000"/>
              <w:bottom w:val="single" w:sz="12" w:space="0" w:color="008000"/>
              <w:right w:val="single" w:sz="12" w:space="0" w:color="008000"/>
            </w:tcBorders>
          </w:tcPr>
          <w:p>
            <w:pPr/>
          </w:p>
        </w:tc>
        <w:tc>
          <w:tcPr>
            <w:tcW w:w="127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51"/>
              <w:ind w:left="-5" w:right="-7"/>
              <w:jc w:val="left"/>
              <w:rPr>
                <w:rFonts w:ascii="宋体" w:hAnsi="宋体" w:cs="宋体" w:eastAsia="宋体" w:hint="default"/>
                <w:sz w:val="18"/>
                <w:szCs w:val="18"/>
              </w:rPr>
            </w:pPr>
            <w:r>
              <w:rPr>
                <w:rFonts w:ascii="宋体" w:hAnsi="宋体" w:cs="宋体" w:eastAsia="宋体" w:hint="default"/>
                <w:sz w:val="18"/>
                <w:szCs w:val="18"/>
              </w:rPr>
              <w:t>持股数量（股）</w:t>
            </w:r>
          </w:p>
        </w:tc>
        <w:tc>
          <w:tcPr>
            <w:tcW w:w="98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291"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持股数量（股）</w:t>
            </w:r>
          </w:p>
        </w:tc>
        <w:tc>
          <w:tcPr>
            <w:tcW w:w="1027"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持股比例</w:t>
            </w:r>
          </w:p>
        </w:tc>
      </w:tr>
      <w:tr>
        <w:trPr>
          <w:trHeight w:val="432" w:hRule="exact"/>
        </w:trPr>
        <w:tc>
          <w:tcPr>
            <w:tcW w:w="534" w:type="dxa"/>
            <w:tcBorders>
              <w:top w:val="single" w:sz="12" w:space="0" w:color="008000"/>
              <w:left w:val="single" w:sz="6" w:space="0" w:color="008000"/>
              <w:bottom w:val="single" w:sz="12" w:space="0" w:color="008000"/>
              <w:right w:val="single" w:sz="12" w:space="0" w:color="008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1</w:t>
            </w:r>
          </w:p>
        </w:tc>
        <w:tc>
          <w:tcPr>
            <w:tcW w:w="1118"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华峰集团</w:t>
            </w:r>
          </w:p>
        </w:tc>
        <w:tc>
          <w:tcPr>
            <w:tcW w:w="127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58,750,000</w:t>
            </w:r>
          </w:p>
        </w:tc>
        <w:tc>
          <w:tcPr>
            <w:tcW w:w="98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12.37%</w:t>
            </w:r>
          </w:p>
        </w:tc>
        <w:tc>
          <w:tcPr>
            <w:tcW w:w="1291"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58,750,000</w:t>
            </w:r>
          </w:p>
        </w:tc>
        <w:tc>
          <w:tcPr>
            <w:tcW w:w="1027"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9.31%</w:t>
            </w:r>
          </w:p>
        </w:tc>
      </w:tr>
      <w:tr>
        <w:trPr>
          <w:trHeight w:val="432" w:hRule="exact"/>
        </w:trPr>
        <w:tc>
          <w:tcPr>
            <w:tcW w:w="534" w:type="dxa"/>
            <w:tcBorders>
              <w:top w:val="single" w:sz="12" w:space="0" w:color="008000"/>
              <w:left w:val="single" w:sz="6" w:space="0" w:color="008000"/>
              <w:bottom w:val="single" w:sz="12" w:space="0" w:color="008000"/>
              <w:right w:val="single" w:sz="12" w:space="0" w:color="008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2</w:t>
            </w:r>
          </w:p>
        </w:tc>
        <w:tc>
          <w:tcPr>
            <w:tcW w:w="1118"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尤金焕</w:t>
            </w:r>
          </w:p>
        </w:tc>
        <w:tc>
          <w:tcPr>
            <w:tcW w:w="127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39,125,000</w:t>
            </w:r>
          </w:p>
        </w:tc>
        <w:tc>
          <w:tcPr>
            <w:tcW w:w="98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8.24%</w:t>
            </w:r>
          </w:p>
        </w:tc>
        <w:tc>
          <w:tcPr>
            <w:tcW w:w="1291"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39,125,000</w:t>
            </w:r>
          </w:p>
        </w:tc>
        <w:tc>
          <w:tcPr>
            <w:tcW w:w="1027"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6.20%</w:t>
            </w:r>
          </w:p>
        </w:tc>
      </w:tr>
      <w:tr>
        <w:trPr>
          <w:trHeight w:val="432" w:hRule="exact"/>
        </w:trPr>
        <w:tc>
          <w:tcPr>
            <w:tcW w:w="534" w:type="dxa"/>
            <w:tcBorders>
              <w:top w:val="single" w:sz="12" w:space="0" w:color="008000"/>
              <w:left w:val="single" w:sz="6" w:space="0" w:color="008000"/>
              <w:bottom w:val="single" w:sz="12" w:space="0" w:color="008000"/>
              <w:right w:val="single" w:sz="12" w:space="0" w:color="008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3</w:t>
            </w:r>
          </w:p>
        </w:tc>
        <w:tc>
          <w:tcPr>
            <w:tcW w:w="1118"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尤小华</w:t>
            </w:r>
          </w:p>
        </w:tc>
        <w:tc>
          <w:tcPr>
            <w:tcW w:w="127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27,750,000</w:t>
            </w:r>
          </w:p>
        </w:tc>
        <w:tc>
          <w:tcPr>
            <w:tcW w:w="98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5.84%</w:t>
            </w:r>
          </w:p>
        </w:tc>
        <w:tc>
          <w:tcPr>
            <w:tcW w:w="1291"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27,750,000</w:t>
            </w:r>
          </w:p>
        </w:tc>
        <w:tc>
          <w:tcPr>
            <w:tcW w:w="1027"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4.40%</w:t>
            </w:r>
          </w:p>
        </w:tc>
      </w:tr>
      <w:tr>
        <w:trPr>
          <w:trHeight w:val="432" w:hRule="exact"/>
        </w:trPr>
        <w:tc>
          <w:tcPr>
            <w:tcW w:w="534" w:type="dxa"/>
            <w:tcBorders>
              <w:top w:val="single" w:sz="12" w:space="0" w:color="008000"/>
              <w:left w:val="single" w:sz="6" w:space="0" w:color="008000"/>
              <w:bottom w:val="single" w:sz="12" w:space="0" w:color="008000"/>
              <w:right w:val="single" w:sz="12" w:space="0" w:color="008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4</w:t>
            </w:r>
          </w:p>
        </w:tc>
        <w:tc>
          <w:tcPr>
            <w:tcW w:w="1118"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陈林真</w:t>
            </w:r>
          </w:p>
        </w:tc>
        <w:tc>
          <w:tcPr>
            <w:tcW w:w="127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16,250,000</w:t>
            </w:r>
          </w:p>
        </w:tc>
        <w:tc>
          <w:tcPr>
            <w:tcW w:w="98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3.42%</w:t>
            </w:r>
          </w:p>
        </w:tc>
        <w:tc>
          <w:tcPr>
            <w:tcW w:w="1291"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16,250,000</w:t>
            </w:r>
          </w:p>
        </w:tc>
        <w:tc>
          <w:tcPr>
            <w:tcW w:w="1027"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2.58%</w:t>
            </w:r>
          </w:p>
        </w:tc>
      </w:tr>
      <w:tr>
        <w:trPr>
          <w:trHeight w:val="432" w:hRule="exact"/>
        </w:trPr>
        <w:tc>
          <w:tcPr>
            <w:tcW w:w="534" w:type="dxa"/>
            <w:tcBorders>
              <w:top w:val="single" w:sz="12" w:space="0" w:color="008000"/>
              <w:left w:val="single" w:sz="6" w:space="0" w:color="008000"/>
              <w:bottom w:val="single" w:sz="12" w:space="0" w:color="008000"/>
              <w:right w:val="single" w:sz="12" w:space="0" w:color="008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5</w:t>
            </w:r>
          </w:p>
        </w:tc>
        <w:tc>
          <w:tcPr>
            <w:tcW w:w="1118"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尤小玲</w:t>
            </w:r>
          </w:p>
        </w:tc>
        <w:tc>
          <w:tcPr>
            <w:tcW w:w="127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14,500,000</w:t>
            </w:r>
          </w:p>
        </w:tc>
        <w:tc>
          <w:tcPr>
            <w:tcW w:w="98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3.05%</w:t>
            </w:r>
          </w:p>
        </w:tc>
        <w:tc>
          <w:tcPr>
            <w:tcW w:w="1291"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14,500,000</w:t>
            </w:r>
          </w:p>
        </w:tc>
        <w:tc>
          <w:tcPr>
            <w:tcW w:w="1027"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2.30%</w:t>
            </w:r>
          </w:p>
        </w:tc>
      </w:tr>
      <w:tr>
        <w:trPr>
          <w:trHeight w:val="432" w:hRule="exact"/>
        </w:trPr>
        <w:tc>
          <w:tcPr>
            <w:tcW w:w="534" w:type="dxa"/>
            <w:tcBorders>
              <w:top w:val="single" w:sz="12" w:space="0" w:color="008000"/>
              <w:left w:val="single" w:sz="6" w:space="0" w:color="008000"/>
              <w:bottom w:val="single" w:sz="12" w:space="0" w:color="008000"/>
              <w:right w:val="single" w:sz="12" w:space="0" w:color="008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6</w:t>
            </w:r>
          </w:p>
        </w:tc>
        <w:tc>
          <w:tcPr>
            <w:tcW w:w="1118"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尤小燕</w:t>
            </w:r>
          </w:p>
        </w:tc>
        <w:tc>
          <w:tcPr>
            <w:tcW w:w="127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14,500,000</w:t>
            </w:r>
          </w:p>
        </w:tc>
        <w:tc>
          <w:tcPr>
            <w:tcW w:w="98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3.05%</w:t>
            </w:r>
          </w:p>
        </w:tc>
        <w:tc>
          <w:tcPr>
            <w:tcW w:w="1291"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14,500,000</w:t>
            </w:r>
          </w:p>
        </w:tc>
        <w:tc>
          <w:tcPr>
            <w:tcW w:w="1027"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2.30%</w:t>
            </w:r>
          </w:p>
        </w:tc>
      </w:tr>
      <w:tr>
        <w:trPr>
          <w:trHeight w:val="432" w:hRule="exact"/>
        </w:trPr>
        <w:tc>
          <w:tcPr>
            <w:tcW w:w="534" w:type="dxa"/>
            <w:tcBorders>
              <w:top w:val="single" w:sz="12" w:space="0" w:color="008000"/>
              <w:left w:val="single" w:sz="6" w:space="0" w:color="008000"/>
              <w:bottom w:val="single" w:sz="12" w:space="0" w:color="008000"/>
              <w:right w:val="single" w:sz="12" w:space="0" w:color="008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7</w:t>
            </w:r>
          </w:p>
        </w:tc>
        <w:tc>
          <w:tcPr>
            <w:tcW w:w="1118"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鲜丹</w:t>
            </w:r>
          </w:p>
        </w:tc>
        <w:tc>
          <w:tcPr>
            <w:tcW w:w="127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1"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45,923,991</w:t>
            </w:r>
          </w:p>
        </w:tc>
        <w:tc>
          <w:tcPr>
            <w:tcW w:w="1027"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7.28%</w:t>
            </w:r>
          </w:p>
        </w:tc>
      </w:tr>
      <w:tr>
        <w:trPr>
          <w:trHeight w:val="432" w:hRule="exact"/>
        </w:trPr>
        <w:tc>
          <w:tcPr>
            <w:tcW w:w="534" w:type="dxa"/>
            <w:tcBorders>
              <w:top w:val="single" w:sz="12" w:space="0" w:color="008000"/>
              <w:left w:val="single" w:sz="6" w:space="0" w:color="008000"/>
              <w:bottom w:val="single" w:sz="12" w:space="0" w:color="008000"/>
              <w:right w:val="single" w:sz="12" w:space="0" w:color="008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8</w:t>
            </w:r>
          </w:p>
        </w:tc>
        <w:tc>
          <w:tcPr>
            <w:tcW w:w="1118"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蔡友弟</w:t>
            </w:r>
          </w:p>
        </w:tc>
        <w:tc>
          <w:tcPr>
            <w:tcW w:w="127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1"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29,178,369</w:t>
            </w:r>
          </w:p>
        </w:tc>
        <w:tc>
          <w:tcPr>
            <w:tcW w:w="1027"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4.62%</w:t>
            </w:r>
          </w:p>
        </w:tc>
      </w:tr>
      <w:tr>
        <w:trPr>
          <w:trHeight w:val="432" w:hRule="exact"/>
        </w:trPr>
        <w:tc>
          <w:tcPr>
            <w:tcW w:w="534" w:type="dxa"/>
            <w:tcBorders>
              <w:top w:val="single" w:sz="12" w:space="0" w:color="008000"/>
              <w:left w:val="single" w:sz="6" w:space="0" w:color="008000"/>
              <w:bottom w:val="single" w:sz="12" w:space="0" w:color="008000"/>
              <w:right w:val="single" w:sz="12" w:space="0" w:color="008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9</w:t>
            </w:r>
          </w:p>
        </w:tc>
        <w:tc>
          <w:tcPr>
            <w:tcW w:w="1118"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王彤</w:t>
            </w:r>
          </w:p>
        </w:tc>
        <w:tc>
          <w:tcPr>
            <w:tcW w:w="127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1"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13,456,086</w:t>
            </w:r>
          </w:p>
        </w:tc>
        <w:tc>
          <w:tcPr>
            <w:tcW w:w="1027"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2.13%</w:t>
            </w:r>
          </w:p>
        </w:tc>
      </w:tr>
      <w:tr>
        <w:trPr>
          <w:trHeight w:val="432" w:hRule="exact"/>
        </w:trPr>
        <w:tc>
          <w:tcPr>
            <w:tcW w:w="534" w:type="dxa"/>
            <w:tcBorders>
              <w:top w:val="single" w:sz="12" w:space="0" w:color="008000"/>
              <w:left w:val="single" w:sz="6" w:space="0" w:color="008000"/>
              <w:bottom w:val="single" w:sz="12" w:space="0" w:color="008000"/>
              <w:right w:val="single" w:sz="12" w:space="0" w:color="008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10</w:t>
            </w:r>
          </w:p>
        </w:tc>
        <w:tc>
          <w:tcPr>
            <w:tcW w:w="1118"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北京奕铭</w:t>
            </w:r>
          </w:p>
        </w:tc>
        <w:tc>
          <w:tcPr>
            <w:tcW w:w="127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1"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20,875,797</w:t>
            </w:r>
          </w:p>
        </w:tc>
        <w:tc>
          <w:tcPr>
            <w:tcW w:w="1027"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3.31%</w:t>
            </w:r>
          </w:p>
        </w:tc>
      </w:tr>
      <w:tr>
        <w:trPr>
          <w:trHeight w:val="432" w:hRule="exact"/>
        </w:trPr>
        <w:tc>
          <w:tcPr>
            <w:tcW w:w="534" w:type="dxa"/>
            <w:tcBorders>
              <w:top w:val="single" w:sz="12" w:space="0" w:color="008000"/>
              <w:left w:val="single" w:sz="6" w:space="0" w:color="008000"/>
              <w:bottom w:val="single" w:sz="12" w:space="0" w:color="008000"/>
              <w:right w:val="single" w:sz="12" w:space="0" w:color="008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18"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尤光兴</w:t>
            </w:r>
          </w:p>
        </w:tc>
        <w:tc>
          <w:tcPr>
            <w:tcW w:w="127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1"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8,052,307</w:t>
            </w:r>
          </w:p>
        </w:tc>
        <w:tc>
          <w:tcPr>
            <w:tcW w:w="1027"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1.28%</w:t>
            </w:r>
          </w:p>
        </w:tc>
      </w:tr>
      <w:tr>
        <w:trPr>
          <w:trHeight w:val="432" w:hRule="exact"/>
        </w:trPr>
        <w:tc>
          <w:tcPr>
            <w:tcW w:w="534" w:type="dxa"/>
            <w:tcBorders>
              <w:top w:val="single" w:sz="12" w:space="0" w:color="008000"/>
              <w:left w:val="single" w:sz="6" w:space="0" w:color="008000"/>
              <w:bottom w:val="single" w:sz="12" w:space="0" w:color="008000"/>
              <w:right w:val="single" w:sz="12" w:space="0" w:color="008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12</w:t>
            </w:r>
          </w:p>
        </w:tc>
        <w:tc>
          <w:tcPr>
            <w:tcW w:w="1118"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邓振国</w:t>
            </w:r>
          </w:p>
        </w:tc>
        <w:tc>
          <w:tcPr>
            <w:tcW w:w="127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1"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5,636,154</w:t>
            </w:r>
          </w:p>
        </w:tc>
        <w:tc>
          <w:tcPr>
            <w:tcW w:w="1027"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0.89%</w:t>
            </w:r>
          </w:p>
        </w:tc>
      </w:tr>
      <w:tr>
        <w:trPr>
          <w:trHeight w:val="432" w:hRule="exact"/>
        </w:trPr>
        <w:tc>
          <w:tcPr>
            <w:tcW w:w="534" w:type="dxa"/>
            <w:tcBorders>
              <w:top w:val="single" w:sz="12" w:space="0" w:color="008000"/>
              <w:left w:val="single" w:sz="6" w:space="0" w:color="008000"/>
              <w:bottom w:val="single" w:sz="12" w:space="0" w:color="008000"/>
              <w:right w:val="single" w:sz="12" w:space="0" w:color="008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13</w:t>
            </w:r>
          </w:p>
        </w:tc>
        <w:tc>
          <w:tcPr>
            <w:tcW w:w="1118"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蔡小如</w:t>
            </w:r>
          </w:p>
        </w:tc>
        <w:tc>
          <w:tcPr>
            <w:tcW w:w="127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1"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4,026,154</w:t>
            </w:r>
          </w:p>
        </w:tc>
        <w:tc>
          <w:tcPr>
            <w:tcW w:w="1027"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0.64%</w:t>
            </w:r>
          </w:p>
        </w:tc>
      </w:tr>
      <w:tr>
        <w:trPr>
          <w:trHeight w:val="432" w:hRule="exact"/>
        </w:trPr>
        <w:tc>
          <w:tcPr>
            <w:tcW w:w="534" w:type="dxa"/>
            <w:tcBorders>
              <w:top w:val="single" w:sz="12" w:space="0" w:color="008000"/>
              <w:left w:val="single" w:sz="6" w:space="0" w:color="008000"/>
              <w:bottom w:val="single" w:sz="12" w:space="0" w:color="008000"/>
              <w:right w:val="single" w:sz="12" w:space="0" w:color="008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14</w:t>
            </w:r>
          </w:p>
        </w:tc>
        <w:tc>
          <w:tcPr>
            <w:tcW w:w="1118"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中山微远</w:t>
            </w:r>
          </w:p>
        </w:tc>
        <w:tc>
          <w:tcPr>
            <w:tcW w:w="127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1"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2,790,609</w:t>
            </w:r>
          </w:p>
        </w:tc>
        <w:tc>
          <w:tcPr>
            <w:tcW w:w="1027"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0.44%</w:t>
            </w:r>
          </w:p>
        </w:tc>
      </w:tr>
      <w:tr>
        <w:trPr>
          <w:trHeight w:val="432" w:hRule="exact"/>
        </w:trPr>
        <w:tc>
          <w:tcPr>
            <w:tcW w:w="534" w:type="dxa"/>
            <w:tcBorders>
              <w:top w:val="single" w:sz="12" w:space="0" w:color="008000"/>
              <w:left w:val="single" w:sz="6" w:space="0" w:color="008000"/>
              <w:bottom w:val="single" w:sz="12" w:space="0" w:color="008000"/>
              <w:right w:val="single" w:sz="12" w:space="0" w:color="008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15</w:t>
            </w:r>
          </w:p>
        </w:tc>
        <w:tc>
          <w:tcPr>
            <w:tcW w:w="1118"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于净</w:t>
            </w:r>
          </w:p>
        </w:tc>
        <w:tc>
          <w:tcPr>
            <w:tcW w:w="127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1"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3,221,154</w:t>
            </w:r>
          </w:p>
        </w:tc>
        <w:tc>
          <w:tcPr>
            <w:tcW w:w="1027"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0.51%</w:t>
            </w:r>
          </w:p>
        </w:tc>
      </w:tr>
      <w:tr>
        <w:trPr>
          <w:trHeight w:val="432" w:hRule="exact"/>
        </w:trPr>
        <w:tc>
          <w:tcPr>
            <w:tcW w:w="534" w:type="dxa"/>
            <w:tcBorders>
              <w:top w:val="single" w:sz="12" w:space="0" w:color="008000"/>
              <w:left w:val="single" w:sz="6" w:space="0" w:color="008000"/>
              <w:bottom w:val="single" w:sz="12" w:space="0" w:color="008000"/>
              <w:right w:val="single" w:sz="12" w:space="0" w:color="008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16</w:t>
            </w:r>
          </w:p>
        </w:tc>
        <w:tc>
          <w:tcPr>
            <w:tcW w:w="1118"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林松柏</w:t>
            </w:r>
          </w:p>
        </w:tc>
        <w:tc>
          <w:tcPr>
            <w:tcW w:w="127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1"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3,221,153</w:t>
            </w:r>
          </w:p>
        </w:tc>
        <w:tc>
          <w:tcPr>
            <w:tcW w:w="1027"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0.51%</w:t>
            </w:r>
          </w:p>
        </w:tc>
      </w:tr>
      <w:tr>
        <w:trPr>
          <w:trHeight w:val="432" w:hRule="exact"/>
        </w:trPr>
        <w:tc>
          <w:tcPr>
            <w:tcW w:w="534" w:type="dxa"/>
            <w:tcBorders>
              <w:top w:val="single" w:sz="12" w:space="0" w:color="008000"/>
              <w:left w:val="single" w:sz="6" w:space="0" w:color="008000"/>
              <w:bottom w:val="single" w:sz="12" w:space="0" w:color="008000"/>
              <w:right w:val="single" w:sz="12" w:space="0" w:color="008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17</w:t>
            </w:r>
          </w:p>
        </w:tc>
        <w:tc>
          <w:tcPr>
            <w:tcW w:w="1118"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叶成春</w:t>
            </w:r>
          </w:p>
        </w:tc>
        <w:tc>
          <w:tcPr>
            <w:tcW w:w="127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1"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1,783,951</w:t>
            </w:r>
          </w:p>
        </w:tc>
        <w:tc>
          <w:tcPr>
            <w:tcW w:w="1027"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0.28%</w:t>
            </w:r>
          </w:p>
        </w:tc>
      </w:tr>
      <w:tr>
        <w:trPr>
          <w:trHeight w:val="432" w:hRule="exact"/>
        </w:trPr>
        <w:tc>
          <w:tcPr>
            <w:tcW w:w="534" w:type="dxa"/>
            <w:tcBorders>
              <w:top w:val="single" w:sz="12" w:space="0" w:color="008000"/>
              <w:left w:val="single" w:sz="6" w:space="0" w:color="008000"/>
              <w:bottom w:val="single" w:sz="12" w:space="0" w:color="008000"/>
              <w:right w:val="single" w:sz="12" w:space="0" w:color="008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18</w:t>
            </w:r>
          </w:p>
        </w:tc>
        <w:tc>
          <w:tcPr>
            <w:tcW w:w="1118"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尤小平</w:t>
            </w:r>
          </w:p>
        </w:tc>
        <w:tc>
          <w:tcPr>
            <w:tcW w:w="127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1"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10,736,677</w:t>
            </w:r>
          </w:p>
        </w:tc>
        <w:tc>
          <w:tcPr>
            <w:tcW w:w="1027"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1.70%</w:t>
            </w:r>
          </w:p>
        </w:tc>
      </w:tr>
      <w:tr>
        <w:trPr>
          <w:trHeight w:val="432" w:hRule="exact"/>
        </w:trPr>
        <w:tc>
          <w:tcPr>
            <w:tcW w:w="534" w:type="dxa"/>
            <w:tcBorders>
              <w:top w:val="single" w:sz="12" w:space="0" w:color="008000"/>
              <w:left w:val="single" w:sz="6" w:space="0" w:color="008000"/>
              <w:bottom w:val="single" w:sz="12" w:space="0" w:color="008000"/>
              <w:right w:val="single" w:sz="12" w:space="0" w:color="008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19</w:t>
            </w:r>
          </w:p>
        </w:tc>
        <w:tc>
          <w:tcPr>
            <w:tcW w:w="1118"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王蔚</w:t>
            </w:r>
          </w:p>
        </w:tc>
        <w:tc>
          <w:tcPr>
            <w:tcW w:w="127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1"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4,270,462</w:t>
            </w:r>
          </w:p>
        </w:tc>
        <w:tc>
          <w:tcPr>
            <w:tcW w:w="1027"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0.68%</w:t>
            </w:r>
          </w:p>
        </w:tc>
      </w:tr>
      <w:tr>
        <w:trPr>
          <w:trHeight w:val="432" w:hRule="exact"/>
        </w:trPr>
        <w:tc>
          <w:tcPr>
            <w:tcW w:w="534" w:type="dxa"/>
            <w:tcBorders>
              <w:top w:val="single" w:sz="12" w:space="0" w:color="008000"/>
              <w:left w:val="single" w:sz="6" w:space="0" w:color="008000"/>
              <w:bottom w:val="single" w:sz="12" w:space="0" w:color="008000"/>
              <w:right w:val="single" w:sz="12" w:space="0" w:color="008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20</w:t>
            </w:r>
          </w:p>
        </w:tc>
        <w:tc>
          <w:tcPr>
            <w:tcW w:w="1118"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上海并购基金</w:t>
            </w:r>
          </w:p>
        </w:tc>
        <w:tc>
          <w:tcPr>
            <w:tcW w:w="127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1"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2,846,975</w:t>
            </w:r>
          </w:p>
        </w:tc>
        <w:tc>
          <w:tcPr>
            <w:tcW w:w="1027"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0.45%</w:t>
            </w:r>
          </w:p>
        </w:tc>
      </w:tr>
      <w:tr>
        <w:trPr>
          <w:trHeight w:val="432" w:hRule="exact"/>
        </w:trPr>
        <w:tc>
          <w:tcPr>
            <w:tcW w:w="534" w:type="dxa"/>
            <w:tcBorders>
              <w:top w:val="single" w:sz="12" w:space="0" w:color="008000"/>
              <w:left w:val="single" w:sz="6" w:space="0" w:color="008000"/>
              <w:bottom w:val="single" w:sz="12" w:space="0" w:color="008000"/>
              <w:right w:val="single" w:sz="12" w:space="0" w:color="008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21</w:t>
            </w:r>
          </w:p>
        </w:tc>
        <w:tc>
          <w:tcPr>
            <w:tcW w:w="1118"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其他股东</w:t>
            </w:r>
          </w:p>
        </w:tc>
        <w:tc>
          <w:tcPr>
            <w:tcW w:w="127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304,125,000</w:t>
            </w:r>
          </w:p>
        </w:tc>
        <w:tc>
          <w:tcPr>
            <w:tcW w:w="989"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64.03%</w:t>
            </w:r>
          </w:p>
        </w:tc>
        <w:tc>
          <w:tcPr>
            <w:tcW w:w="1291"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304,125,000</w:t>
            </w:r>
          </w:p>
        </w:tc>
        <w:tc>
          <w:tcPr>
            <w:tcW w:w="1027" w:type="dxa"/>
            <w:tcBorders>
              <w:top w:val="single" w:sz="12" w:space="0" w:color="008000"/>
              <w:left w:val="single" w:sz="12" w:space="0" w:color="008000"/>
              <w:bottom w:val="single" w:sz="12" w:space="0" w:color="008000"/>
              <w:right w:val="single" w:sz="12" w:space="0" w:color="008000"/>
            </w:tcBorders>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48.20%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1652"/>
        <w:gridCol w:w="1279"/>
        <w:gridCol w:w="989"/>
        <w:gridCol w:w="1291"/>
        <w:gridCol w:w="1027"/>
      </w:tblGrid>
      <w:tr>
        <w:trPr>
          <w:trHeight w:val="435" w:hRule="exact"/>
        </w:trPr>
        <w:tc>
          <w:tcPr>
            <w:tcW w:w="1652" w:type="dxa"/>
            <w:tcBorders>
              <w:top w:val="single" w:sz="6" w:space="0" w:color="008000"/>
              <w:left w:val="single" w:sz="6" w:space="0" w:color="008000"/>
              <w:bottom w:val="single" w:sz="12" w:space="0" w:color="008000"/>
              <w:right w:val="single" w:sz="12" w:space="0" w:color="008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9" w:type="dxa"/>
            <w:tcBorders>
              <w:top w:val="single" w:sz="6" w:space="0" w:color="008000"/>
              <w:left w:val="single" w:sz="12" w:space="0" w:color="008000"/>
              <w:bottom w:val="single" w:sz="12" w:space="0" w:color="008000"/>
              <w:right w:val="single" w:sz="12" w:space="0" w:color="008000"/>
            </w:tcBorders>
          </w:tcPr>
          <w:p>
            <w:pPr>
              <w:pStyle w:val="TableParagraph"/>
              <w:spacing w:line="240" w:lineRule="auto" w:before="102"/>
              <w:ind w:left="-5" w:right="0"/>
              <w:jc w:val="left"/>
              <w:rPr>
                <w:rFonts w:ascii="Times New Roman" w:hAnsi="Times New Roman" w:cs="Times New Roman" w:eastAsia="Times New Roman" w:hint="default"/>
                <w:sz w:val="18"/>
                <w:szCs w:val="18"/>
              </w:rPr>
            </w:pPr>
            <w:r>
              <w:rPr>
                <w:rFonts w:ascii="Times New Roman"/>
                <w:sz w:val="18"/>
              </w:rPr>
              <w:t>475,000,000</w:t>
            </w:r>
          </w:p>
        </w:tc>
        <w:tc>
          <w:tcPr>
            <w:tcW w:w="989" w:type="dxa"/>
            <w:tcBorders>
              <w:top w:val="single" w:sz="6" w:space="0" w:color="008000"/>
              <w:left w:val="single" w:sz="12" w:space="0" w:color="008000"/>
              <w:bottom w:val="single" w:sz="12" w:space="0" w:color="008000"/>
              <w:right w:val="single" w:sz="12" w:space="0" w:color="008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100.00%</w:t>
            </w:r>
          </w:p>
        </w:tc>
        <w:tc>
          <w:tcPr>
            <w:tcW w:w="1291" w:type="dxa"/>
            <w:tcBorders>
              <w:top w:val="single" w:sz="6" w:space="0" w:color="008000"/>
              <w:left w:val="single" w:sz="12" w:space="0" w:color="008000"/>
              <w:bottom w:val="single" w:sz="12" w:space="0" w:color="008000"/>
              <w:right w:val="single" w:sz="12" w:space="0" w:color="008000"/>
            </w:tcBorders>
          </w:tcPr>
          <w:p>
            <w:pPr>
              <w:pStyle w:val="TableParagraph"/>
              <w:spacing w:line="240" w:lineRule="auto" w:before="102"/>
              <w:ind w:left="-5" w:right="0"/>
              <w:jc w:val="left"/>
              <w:rPr>
                <w:rFonts w:ascii="Times New Roman" w:hAnsi="Times New Roman" w:cs="Times New Roman" w:eastAsia="Times New Roman" w:hint="default"/>
                <w:sz w:val="18"/>
                <w:szCs w:val="18"/>
              </w:rPr>
            </w:pPr>
            <w:r>
              <w:rPr>
                <w:rFonts w:ascii="Times New Roman"/>
                <w:sz w:val="18"/>
              </w:rPr>
              <w:t>631,019,839</w:t>
            </w:r>
          </w:p>
        </w:tc>
        <w:tc>
          <w:tcPr>
            <w:tcW w:w="1027" w:type="dxa"/>
            <w:tcBorders>
              <w:top w:val="single" w:sz="6" w:space="0" w:color="008000"/>
              <w:left w:val="single" w:sz="12" w:space="0" w:color="008000"/>
              <w:bottom w:val="single" w:sz="12" w:space="0" w:color="008000"/>
              <w:right w:val="single" w:sz="12" w:space="0" w:color="008000"/>
            </w:tcBorders>
          </w:tcPr>
          <w:p>
            <w:pPr>
              <w:pStyle w:val="TableParagraph"/>
              <w:spacing w:line="240" w:lineRule="auto" w:before="102"/>
              <w:ind w:left="-5" w:right="0"/>
              <w:jc w:val="lef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0"/>
        <w:jc w:val="left"/>
      </w:pPr>
      <w:r>
        <w:rPr/>
        <w:t>本次交易完成后，上市公司资产总额增加，净资产相应增加，有利于公司的长期持续发展。</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现存的内部职工股情况" w:id="112"/>
      <w:bookmarkEnd w:id="11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13"/>
      <w:bookmarkEnd w:id="113"/>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4"/>
      <w:bookmarkEnd w:id="11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shape style="position:absolute;margin-left:449.277008pt;margin-top:70.55175pt;width:85.6pt;height:31.2pt;mso-position-horizontal-relative:page;mso-position-vertical-relative:paragraph;z-index:-858832" type="#_x0000_t202" filled="false" stroked="false">
            <v:textbox inset="0,0,0,0">
              <w:txbxContent>
                <w:p>
                  <w:pPr>
                    <w:pStyle w:val="BodyText"/>
                    <w:spacing w:line="205" w:lineRule="exact"/>
                    <w:ind w:left="0" w:right="0"/>
                    <w:jc w:val="left"/>
                  </w:pPr>
                  <w:r>
                    <w:rPr/>
                    <w:t>（如有）</w:t>
                  </w:r>
                </w:p>
              </w:txbxContent>
            </v:textbox>
            <w10:wrap type="none"/>
          </v:shape>
        </w:pict>
      </w:r>
      <w:r>
        <w:rPr/>
        <w:pict>
          <v:group style="position:absolute;margin-left:482.399994pt;margin-top:70.55175pt;width:52.45pt;height:31.2pt;mso-position-horizontal-relative:page;mso-position-vertical-relative:paragraph;z-index:-858808" coordorigin="9648,1411" coordsize="1049,624">
            <v:shape style="position:absolute;left:9648;top:1411;width:1049;height:624" coordorigin="9648,1411" coordsize="1049,624" path="m9648,2035l10697,2035,10697,1411,9648,1411,9648,2035xe" filled="true" fillcolor="#ffffff" stroked="false">
              <v:path arrowok="t"/>
              <v:fill type="solid"/>
            </v:shape>
            <w10:wrap type="none"/>
          </v:group>
        </w:pict>
      </w:r>
      <w:r>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35"/>
        <w:gridCol w:w="134"/>
        <w:gridCol w:w="673"/>
        <w:gridCol w:w="739"/>
        <w:gridCol w:w="744"/>
        <w:gridCol w:w="831"/>
        <w:gridCol w:w="344"/>
        <w:gridCol w:w="445"/>
        <w:gridCol w:w="824"/>
        <w:gridCol w:w="802"/>
        <w:gridCol w:w="323"/>
        <w:gridCol w:w="1027"/>
        <w:gridCol w:w="279"/>
        <w:gridCol w:w="513"/>
        <w:gridCol w:w="558"/>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6,986</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9" w:right="0"/>
              <w:jc w:val="left"/>
              <w:rPr>
                <w:rFonts w:ascii="Times New Roman" w:hAnsi="Times New Roman" w:cs="Times New Roman" w:eastAsia="Times New Roman" w:hint="default"/>
                <w:sz w:val="18"/>
                <w:szCs w:val="18"/>
              </w:rPr>
            </w:pPr>
            <w:r>
              <w:rPr>
                <w:rFonts w:ascii="Times New Roman"/>
                <w:sz w:val="18"/>
              </w:rPr>
              <w:t>7,186</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1"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华峰集团有限公 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9.31%</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58,750,00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58,750,00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9" w:space="0" w:color="D2D2D2"/>
              <w:left w:val="single" w:sz="4" w:space="0" w:color="000000"/>
              <w:bottom w:val="single" w:sz="4" w:space="0" w:color="000000"/>
              <w:right w:val="single" w:sz="4" w:space="0" w:color="000000"/>
            </w:tcBorders>
          </w:tcPr>
          <w:p>
            <w:pPr/>
          </w:p>
        </w:tc>
        <w:tc>
          <w:tcPr>
            <w:tcW w:w="1350" w:type="dxa"/>
            <w:gridSpan w:val="3"/>
            <w:tcBorders>
              <w:top w:val="single" w:sz="49" w:space="0" w:color="D2D2D2"/>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鲜丹</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7.28%</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45,923,99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45,923,99</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1</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尤金焕</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6.20%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39,125,00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29,343,75</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9,781,250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蔡友弟</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4.62%</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29,178,36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29,178,36</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9</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尤小华</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4.40%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27,750,00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20,812,50</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6,937,500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招商证券国际有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客户资金</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3.75%</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23,649,05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23,649,05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北京奕铭投资管 理中心（有限合 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3.31%</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20,875,79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20,875,79</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7</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20,800,000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陈林真</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2.58%</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12,187,50</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4,062,500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尤小玲</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2.30%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10,875,00</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3,625,000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69"/>
        <w:gridCol w:w="1405"/>
        <w:gridCol w:w="794"/>
        <w:gridCol w:w="786"/>
        <w:gridCol w:w="788"/>
        <w:gridCol w:w="786"/>
        <w:gridCol w:w="840"/>
        <w:gridCol w:w="1349"/>
        <w:gridCol w:w="1350"/>
      </w:tblGrid>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尤小燕</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2.30%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10,875,00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3,625,000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5"/>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4"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4" w:type="dxa"/>
            <w:gridSpan w:val="7"/>
            <w:tcBorders>
              <w:top w:val="single" w:sz="4" w:space="0" w:color="000000"/>
              <w:left w:val="single" w:sz="9" w:space="0" w:color="D2D2D2"/>
              <w:bottom w:val="single" w:sz="4" w:space="0" w:color="000000"/>
              <w:right w:val="single" w:sz="4" w:space="0" w:color="000000"/>
            </w:tcBorders>
          </w:tcPr>
          <w:p>
            <w:pPr>
              <w:pStyle w:val="TableParagraph"/>
              <w:spacing w:line="319" w:lineRule="auto" w:before="51"/>
              <w:ind w:left="21" w:right="22"/>
              <w:jc w:val="left"/>
              <w:rPr>
                <w:rFonts w:ascii="宋体" w:hAnsi="宋体" w:cs="宋体" w:eastAsia="宋体" w:hint="default"/>
                <w:sz w:val="18"/>
                <w:szCs w:val="18"/>
              </w:rPr>
            </w:pPr>
            <w:r>
              <w:rPr>
                <w:rFonts w:ascii="宋体" w:hAnsi="宋体" w:cs="宋体" w:eastAsia="宋体" w:hint="default"/>
                <w:spacing w:val="-1"/>
                <w:sz w:val="18"/>
                <w:szCs w:val="18"/>
              </w:rPr>
              <w:t>第一大股东华峰集团有限公司之控股股东尤小平及其直系亲属尤金焕、尤小华、尤小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燕、尤小玲、陈林真为本公司实际控制人，为一致行动人。</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7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5"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7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5"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75" w:type="dxa"/>
            <w:gridSpan w:val="2"/>
            <w:vMerge/>
            <w:tcBorders>
              <w:left w:val="single" w:sz="4" w:space="0" w:color="000000"/>
              <w:bottom w:val="nil" w:sz="6" w:space="0" w:color="auto"/>
              <w:right w:val="single" w:sz="4" w:space="0" w:color="000000"/>
            </w:tcBorders>
            <w:shd w:val="clear" w:color="auto" w:fill="D2D2D2"/>
          </w:tcPr>
          <w:p>
            <w:pPr/>
          </w:p>
        </w:tc>
        <w:tc>
          <w:tcPr>
            <w:tcW w:w="3995"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7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5"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58,750,000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58,750,000</w:t>
            </w: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招商证券国际有限公司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客户资金</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23,649,052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23,649,052</w:t>
            </w:r>
          </w:p>
        </w:tc>
      </w:tr>
      <w:tr>
        <w:trPr>
          <w:trHeight w:val="714"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华宝信托有限责任公司</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辉煌</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w w:val="100"/>
                <w:sz w:val="18"/>
                <w:szCs w:val="18"/>
              </w:rPr>
              <w:t> </w:t>
            </w:r>
            <w:r>
              <w:rPr>
                <w:rFonts w:ascii="宋体" w:hAnsi="宋体" w:cs="宋体" w:eastAsia="宋体" w:hint="default"/>
                <w:sz w:val="18"/>
                <w:szCs w:val="18"/>
              </w:rPr>
              <w:t>单一资金信托</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10,415,103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10,415,103</w:t>
            </w: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尤金焕</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9,781,250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9,781,250</w:t>
            </w:r>
          </w:p>
        </w:tc>
      </w:tr>
      <w:tr>
        <w:trPr>
          <w:trHeight w:val="1026"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华安未来资产－工商银行－长安国 际信托－长安权</w:t>
            </w:r>
            <w:r>
              <w:rPr>
                <w:rFonts w:ascii="Times New Roman" w:hAnsi="Times New Roman" w:cs="Times New Roman" w:eastAsia="Times New Roman" w:hint="default"/>
                <w:sz w:val="18"/>
                <w:szCs w:val="18"/>
              </w:rPr>
              <w:t>•</w:t>
            </w:r>
            <w:r>
              <w:rPr>
                <w:rFonts w:ascii="宋体" w:hAnsi="宋体" w:cs="宋体" w:eastAsia="宋体" w:hint="default"/>
                <w:sz w:val="18"/>
                <w:szCs w:val="18"/>
              </w:rPr>
              <w:t>华峰超纤定增权益 投资单一资金信托计划</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9,700,000</w:t>
            </w: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沈宁</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8,900,000</w:t>
            </w:r>
          </w:p>
        </w:tc>
      </w:tr>
      <w:tr>
        <w:trPr>
          <w:trHeight w:val="714"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中欧盛世资产－广发银行－中欧盛 世景鑫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8,389,853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8,389,853</w:t>
            </w:r>
          </w:p>
        </w:tc>
      </w:tr>
      <w:tr>
        <w:trPr>
          <w:trHeight w:val="714"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北信瑞丰基金－工商银行－北信瑞 丰基金丰庆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 </w:t>
            </w:r>
            <w:r>
              <w:rPr>
                <w:rFonts w:ascii="宋体" w:hAnsi="宋体" w:cs="宋体" w:eastAsia="宋体" w:hint="default"/>
                <w:sz w:val="18"/>
                <w:szCs w:val="18"/>
              </w:rPr>
              <w:t>号资产管理计划</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7,989,802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7,989,802</w:t>
            </w: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尤小华</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6,937,500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6,937,500</w:t>
            </w:r>
          </w:p>
        </w:tc>
      </w:tr>
      <w:tr>
        <w:trPr>
          <w:trHeight w:val="714"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
              <w:jc w:val="left"/>
              <w:rPr>
                <w:rFonts w:ascii="宋体" w:hAnsi="宋体" w:cs="宋体" w:eastAsia="宋体" w:hint="default"/>
                <w:sz w:val="18"/>
                <w:szCs w:val="18"/>
              </w:rPr>
            </w:pPr>
            <w:r>
              <w:rPr>
                <w:rFonts w:ascii="宋体" w:hAnsi="宋体" w:cs="宋体" w:eastAsia="宋体" w:hint="default"/>
                <w:spacing w:val="-4"/>
                <w:sz w:val="18"/>
                <w:szCs w:val="18"/>
              </w:rPr>
              <w:t>易方达资产管理（香港）有限公司－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客户资金（交易所）</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6,919,858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6,919,858</w:t>
            </w:r>
          </w:p>
        </w:tc>
      </w:tr>
      <w:tr>
        <w:trPr>
          <w:trHeight w:val="1338" w:hRule="exact"/>
        </w:trPr>
        <w:tc>
          <w:tcPr>
            <w:tcW w:w="28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16"/>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94"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1" w:right="22"/>
              <w:jc w:val="left"/>
              <w:rPr>
                <w:rFonts w:ascii="宋体" w:hAnsi="宋体" w:cs="宋体" w:eastAsia="宋体" w:hint="default"/>
                <w:sz w:val="18"/>
                <w:szCs w:val="18"/>
              </w:rPr>
            </w:pPr>
            <w:r>
              <w:rPr>
                <w:rFonts w:ascii="宋体" w:hAnsi="宋体" w:cs="宋体" w:eastAsia="宋体" w:hint="default"/>
                <w:spacing w:val="-1"/>
                <w:sz w:val="18"/>
                <w:szCs w:val="18"/>
              </w:rPr>
              <w:t>第一大股东华峰集团有限公司之控股股东尤小平及其直系亲属尤金焕、尤小华、尤小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燕、尤小玲、陈林真为本公司实际控制人，为一致行动人。</w:t>
            </w:r>
          </w:p>
        </w:tc>
      </w:tr>
      <w:tr>
        <w:trPr>
          <w:trHeight w:val="714" w:hRule="exact"/>
        </w:trPr>
        <w:tc>
          <w:tcPr>
            <w:tcW w:w="28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94"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沈宁通过证券公司信用账户持有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3"/>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5"/>
      <w:bookmarkEnd w:id="11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控股股东性质：自然人控股</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57" w:lineRule="auto" w:before="44"/>
        <w:ind w:right="8233"/>
        <w:jc w:val="left"/>
      </w:pPr>
      <w:r>
        <w:rPr/>
        <w:t>控股股东类型：不存在 公司不存在控股股东情况的说明</w:t>
      </w:r>
    </w:p>
    <w:p>
      <w:pPr>
        <w:pStyle w:val="BodyText"/>
        <w:spacing w:line="360" w:lineRule="auto" w:before="28"/>
        <w:ind w:right="3013"/>
        <w:jc w:val="left"/>
      </w:pPr>
      <w:r>
        <w:rPr/>
        <w:t>本公司无控股股东，为实际控制人尤小平、尤金焕、尤小华、尤小燕、尤小玲、陈林真共同控制。 控股股东报告期内变更</w:t>
      </w:r>
    </w:p>
    <w:p>
      <w:pPr>
        <w:pStyle w:val="BodyText"/>
        <w:spacing w:line="340" w:lineRule="auto" w:before="26"/>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公司实际控制人情况" w:id="116"/>
      <w:bookmarkEnd w:id="116"/>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3"/>
        <w:jc w:val="left"/>
      </w:pPr>
      <w:r>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35"/>
        <w:gridCol w:w="2057"/>
        <w:gridCol w:w="4176"/>
      </w:tblGrid>
      <w:tr>
        <w:trPr>
          <w:trHeight w:val="401"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尤小平</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尤金焕</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尤小华</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尤小燕</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尤小玲</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陈林真</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上述人员均在华峰集团有限公司及下属各子公司任职</w:t>
            </w:r>
          </w:p>
        </w:tc>
      </w:tr>
      <w:tr>
        <w:trPr>
          <w:trHeight w:val="404"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控股深交所中小板上市公司浙江华峰氨纶股份有限公司，股票代码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002064</w:t>
            </w:r>
          </w:p>
        </w:tc>
      </w:tr>
    </w:tbl>
    <w:p>
      <w:pPr>
        <w:pStyle w:val="BodyText"/>
        <w:spacing w:line="240" w:lineRule="auto" w:before="68"/>
        <w:ind w:left="1134" w:right="0"/>
        <w:jc w:val="left"/>
      </w:pPr>
      <w:r>
        <w:rPr/>
        <w:t>实际控制人报告期内变更</w:t>
      </w:r>
    </w:p>
    <w:p>
      <w:pPr>
        <w:pStyle w:val="BodyText"/>
        <w:spacing w:line="348"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7"/>
        <w:rPr>
          <w:rFonts w:ascii="宋体" w:hAnsi="宋体" w:cs="宋体" w:eastAsia="宋体" w:hint="default"/>
          <w:sz w:val="17"/>
          <w:szCs w:val="17"/>
        </w:rPr>
      </w:pPr>
    </w:p>
    <w:p>
      <w:pPr>
        <w:spacing w:line="3024" w:lineRule="exact"/>
        <w:ind w:left="3060" w:right="0" w:firstLine="0"/>
        <w:rPr>
          <w:rFonts w:ascii="宋体" w:hAnsi="宋体" w:cs="宋体" w:eastAsia="宋体" w:hint="default"/>
          <w:sz w:val="20"/>
          <w:szCs w:val="20"/>
        </w:rPr>
      </w:pPr>
      <w:r>
        <w:rPr>
          <w:rFonts w:ascii="宋体" w:hAnsi="宋体" w:cs="宋体" w:eastAsia="宋体" w:hint="default"/>
          <w:position w:val="-59"/>
          <w:sz w:val="20"/>
          <w:szCs w:val="20"/>
        </w:rPr>
        <w:drawing>
          <wp:inline distT="0" distB="0" distL="0" distR="0">
            <wp:extent cx="3673475" cy="1920239"/>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4" cstate="print"/>
                    <a:stretch>
                      <a:fillRect/>
                    </a:stretch>
                  </pic:blipFill>
                  <pic:spPr>
                    <a:xfrm>
                      <a:off x="0" y="0"/>
                      <a:ext cx="3673475" cy="1920239"/>
                    </a:xfrm>
                    <a:prstGeom prst="rect">
                      <a:avLst/>
                    </a:prstGeom>
                  </pic:spPr>
                </pic:pic>
              </a:graphicData>
            </a:graphic>
          </wp:inline>
        </w:drawing>
      </w:r>
      <w:r>
        <w:rPr>
          <w:rFonts w:ascii="宋体" w:hAnsi="宋体" w:cs="宋体" w:eastAsia="宋体" w:hint="default"/>
          <w:position w:val="-59"/>
          <w:sz w:val="20"/>
          <w:szCs w:val="20"/>
        </w:rPr>
      </w:r>
    </w:p>
    <w:p>
      <w:pPr>
        <w:spacing w:line="240" w:lineRule="auto" w:before="12"/>
        <w:rPr>
          <w:rFonts w:ascii="宋体" w:hAnsi="宋体" w:cs="宋体" w:eastAsia="宋体" w:hint="default"/>
          <w:sz w:val="19"/>
          <w:szCs w:val="19"/>
        </w:rPr>
      </w:pPr>
    </w:p>
    <w:p>
      <w:pPr>
        <w:pStyle w:val="BodyText"/>
        <w:spacing w:line="240" w:lineRule="auto"/>
        <w:ind w:right="0"/>
        <w:jc w:val="left"/>
      </w:pPr>
      <w:r>
        <w:rPr/>
        <w:t>实际控制人通过信托或其他资产管理方式控制公司</w:t>
      </w:r>
    </w:p>
    <w:p>
      <w:pPr>
        <w:spacing w:line="240" w:lineRule="auto" w:before="4"/>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其他持股在10%以上的法人股东" w:id="117"/>
      <w:bookmarkEnd w:id="117"/>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18"/>
      <w:bookmarkEnd w:id="11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_TOC_250005" w:id="119"/>
      <w:bookmarkStart w:name="第七节 优先股相关情况" w:id="120"/>
      <w:r>
        <w:rPr>
          <w:b w:val="0"/>
          <w:bCs w:val="0"/>
        </w:rPr>
      </w:r>
      <w:r>
        <w:rPr/>
        <w:t>第七节</w:t>
      </w:r>
      <w:r>
        <w:rPr>
          <w:spacing w:val="-8"/>
        </w:rPr>
        <w:t> </w:t>
      </w:r>
      <w:r>
        <w:rPr/>
        <w:t>优先股相关情况</w:t>
      </w:r>
      <w:bookmarkEnd w:id="119"/>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0"/>
        <w:jc w:val="left"/>
        <w:rPr>
          <w:b w:val="0"/>
          <w:bCs w:val="0"/>
        </w:rPr>
      </w:pPr>
      <w:bookmarkStart w:name="_TOC_250004" w:id="121"/>
      <w:bookmarkStart w:name="第八节 董事、监事、高级管理人员和员工情况" w:id="122"/>
      <w:r>
        <w:rPr>
          <w:b w:val="0"/>
          <w:bCs w:val="0"/>
        </w:rPr>
      </w:r>
      <w:r>
        <w:rPr/>
        <w:t>第八节</w:t>
      </w:r>
      <w:r>
        <w:rPr>
          <w:spacing w:val="-16"/>
        </w:rPr>
        <w:t> </w:t>
      </w:r>
      <w:r>
        <w:rPr/>
        <w:t>董事、监事、高级管理人员和员工情况</w:t>
      </w:r>
      <w:bookmarkEnd w:id="121"/>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3"/>
      <w:bookmarkEnd w:id="123"/>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尤小平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10,736,67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10,736,67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段伟东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11,339,75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11,339,75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鲜丹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45,923,99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45,923,99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13,456,08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13,456,08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赵鸿凯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2,154,500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2,154,500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程鸣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董事，董 事会秘书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贺璇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刘勇胜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78,600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1,046,400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余少挺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蔡开成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黄康军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陈南梁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吴伟明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易颜新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尹建平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14,619,25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78,600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70,116,75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84,657,40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公司董事、监事、高级管理人员变动情况" w:id="124"/>
      <w:bookmarkEnd w:id="124"/>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任职情况" w:id="125"/>
      <w:bookmarkEnd w:id="125"/>
      <w:r>
        <w:rPr>
          <w:b w:val="0"/>
          <w:bCs w:val="0"/>
        </w:rPr>
      </w:r>
      <w:r>
        <w:rPr/>
        <w:t>三、任职情况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493" w:right="1123" w:hanging="360"/>
        <w:jc w:val="left"/>
      </w:pPr>
      <w:r>
        <w:rPr/>
        <w:t>公司现任董事、监事、高级管理人员专业背景、主要工作经历以及目前在公司的主要职责 尤小平先生：中国国籍，无境外永久居留权。</w:t>
      </w:r>
      <w:r>
        <w:rPr>
          <w:rFonts w:ascii="Times New Roman" w:hAnsi="Times New Roman" w:cs="Times New Roman" w:eastAsia="Times New Roman" w:hint="default"/>
        </w:rPr>
        <w:t>1958</w:t>
      </w:r>
      <w:r>
        <w:rPr/>
        <w:t>年</w:t>
      </w:r>
      <w:r>
        <w:rPr>
          <w:rFonts w:ascii="Times New Roman" w:hAnsi="Times New Roman" w:cs="Times New Roman" w:eastAsia="Times New Roman" w:hint="default"/>
        </w:rPr>
        <w:t>1</w:t>
      </w:r>
      <w:r>
        <w:rPr/>
        <w:t>月出生，大专学历。第十一、十二届全国人民代表大会代表，中</w:t>
      </w:r>
    </w:p>
    <w:p>
      <w:pPr>
        <w:pStyle w:val="BodyText"/>
        <w:spacing w:line="214" w:lineRule="exact"/>
        <w:ind w:right="0"/>
        <w:jc w:val="left"/>
      </w:pPr>
      <w:r>
        <w:rPr/>
        <w:t>国石油和化学工业协会副会长，浙江省工商联第八、九届常务委员，曾荣获</w:t>
      </w:r>
      <w:r>
        <w:rPr>
          <w:rFonts w:ascii="Times New Roman" w:hAnsi="Times New Roman" w:cs="Times New Roman" w:eastAsia="Times New Roman" w:hint="default"/>
        </w:rPr>
        <w:t>“</w:t>
      </w:r>
      <w:r>
        <w:rPr/>
        <w:t>浙江省劳动模范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浙江省优秀中国特色社会</w:t>
      </w:r>
    </w:p>
    <w:p>
      <w:pPr>
        <w:pStyle w:val="BodyText"/>
        <w:spacing w:line="300" w:lineRule="auto" w:before="63"/>
        <w:ind w:right="1133"/>
        <w:jc w:val="left"/>
      </w:pPr>
      <w:r>
        <w:rPr/>
        <w:t>主义事业建设者</w:t>
      </w:r>
      <w:r>
        <w:rPr>
          <w:rFonts w:ascii="Times New Roman" w:hAnsi="Times New Roman" w:cs="Times New Roman" w:eastAsia="Times New Roman" w:hint="default"/>
        </w:rPr>
        <w:t>”</w:t>
      </w:r>
      <w:r>
        <w:rPr/>
        <w:t>等荣誉称号。曾任瑞安市塑料七厂副厂长，瑞安市塑料十一厂厂长等职。现任华峰集团有限公司董事、浙 江华峰氨纶股份有限公司董事及本公司董事长。</w:t>
      </w:r>
    </w:p>
    <w:p>
      <w:pPr>
        <w:pStyle w:val="BodyText"/>
        <w:spacing w:line="307" w:lineRule="auto" w:before="31"/>
        <w:ind w:right="1132" w:firstLine="360"/>
        <w:jc w:val="both"/>
      </w:pPr>
      <w:r>
        <w:rPr/>
        <w:t>段伟东先生：中国国籍，男，</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6</w:t>
      </w:r>
      <w:r>
        <w:rPr/>
        <w:t>月出生，硕士研究生学历。曾任黑龙江齐亿合成树脂有限公司经理、华峰集团有 </w:t>
      </w:r>
      <w:r>
        <w:rPr>
          <w:spacing w:val="-2"/>
        </w:rPr>
        <w:t>限公司副总经理等职务。</w:t>
      </w:r>
      <w:r>
        <w:rPr>
          <w:rFonts w:ascii="Times New Roman" w:hAnsi="Times New Roman" w:cs="Times New Roman" w:eastAsia="Times New Roman" w:hint="default"/>
          <w:spacing w:val="-2"/>
        </w:rPr>
        <w:t>2009</w:t>
      </w:r>
      <w:r>
        <w:rPr>
          <w:spacing w:val="-2"/>
        </w:rPr>
        <w:t>年至</w:t>
      </w:r>
      <w:r>
        <w:rPr>
          <w:rFonts w:ascii="Times New Roman" w:hAnsi="Times New Roman" w:cs="Times New Roman" w:eastAsia="Times New Roman" w:hint="default"/>
          <w:spacing w:val="-2"/>
        </w:rPr>
        <w:t>2013</w:t>
      </w:r>
      <w:r>
        <w:rPr>
          <w:spacing w:val="-2"/>
        </w:rPr>
        <w:t>年期间，任浙江华峰新材料股份有限公司总经理、浙江华峰合成树脂有限公司总经理</w:t>
      </w:r>
      <w:r>
        <w:rPr>
          <w:spacing w:val="-58"/>
        </w:rPr>
        <w:t> </w:t>
      </w:r>
      <w:r>
        <w:rPr>
          <w:spacing w:val="-58"/>
        </w:rPr>
      </w:r>
      <w:r>
        <w:rPr>
          <w:spacing w:val="-2"/>
        </w:rPr>
        <w:t>等职务。还担任中国聚氨酯工业协会鞋用树脂专业委员会主任，是中国聚氨酯工业协会第五届理事会专家库成员。现担任本</w:t>
      </w:r>
      <w:r>
        <w:rPr>
          <w:spacing w:val="-66"/>
        </w:rPr>
        <w:t> </w:t>
      </w:r>
      <w:r>
        <w:rPr>
          <w:spacing w:val="-66"/>
        </w:rPr>
      </w:r>
      <w:r>
        <w:rPr/>
        <w:t>公司董事、总经理。</w:t>
      </w:r>
    </w:p>
    <w:p>
      <w:pPr>
        <w:pStyle w:val="BodyText"/>
        <w:spacing w:line="316" w:lineRule="auto" w:before="26"/>
        <w:ind w:right="1130" w:firstLine="360"/>
        <w:jc w:val="both"/>
      </w:pPr>
      <w:r>
        <w:rPr>
          <w:spacing w:val="-2"/>
        </w:rPr>
        <w:t>鲜丹先生：中国国籍，无境外永久居留权。</w:t>
      </w:r>
      <w:r>
        <w:rPr>
          <w:rFonts w:ascii="宋体" w:hAnsi="宋体" w:cs="宋体" w:eastAsia="宋体" w:hint="default"/>
          <w:spacing w:val="-2"/>
        </w:rPr>
        <w:t>1973</w:t>
      </w:r>
      <w:r>
        <w:rPr>
          <w:spacing w:val="-2"/>
        </w:rPr>
        <w:t>年出生，</w:t>
      </w:r>
      <w:r>
        <w:rPr>
          <w:rFonts w:ascii="宋体" w:hAnsi="宋体" w:cs="宋体" w:eastAsia="宋体" w:hint="default"/>
          <w:spacing w:val="-2"/>
        </w:rPr>
        <w:t>2002</w:t>
      </w:r>
      <w:r>
        <w:rPr>
          <w:spacing w:val="-2"/>
        </w:rPr>
        <w:t>年</w:t>
      </w:r>
      <w:r>
        <w:rPr>
          <w:rFonts w:ascii="宋体" w:hAnsi="宋体" w:cs="宋体" w:eastAsia="宋体" w:hint="default"/>
          <w:spacing w:val="-2"/>
        </w:rPr>
        <w:t>5</w:t>
      </w:r>
      <w:r>
        <w:rPr>
          <w:spacing w:val="-2"/>
        </w:rPr>
        <w:t>月至</w:t>
      </w:r>
      <w:r>
        <w:rPr>
          <w:rFonts w:ascii="宋体" w:hAnsi="宋体" w:cs="宋体" w:eastAsia="宋体" w:hint="default"/>
          <w:spacing w:val="-2"/>
        </w:rPr>
        <w:t>2003</w:t>
      </w:r>
      <w:r>
        <w:rPr>
          <w:spacing w:val="-2"/>
        </w:rPr>
        <w:t>年</w:t>
      </w:r>
      <w:r>
        <w:rPr>
          <w:rFonts w:ascii="宋体" w:hAnsi="宋体" w:cs="宋体" w:eastAsia="宋体" w:hint="default"/>
          <w:spacing w:val="-2"/>
        </w:rPr>
        <w:t>5</w:t>
      </w:r>
      <w:r>
        <w:rPr>
          <w:spacing w:val="-2"/>
        </w:rPr>
        <w:t>月就职于深圳普诺玛商业安全设备有限公</w:t>
      </w:r>
      <w:r>
        <w:rPr/>
        <w:t> </w:t>
      </w:r>
      <w:r>
        <w:rPr>
          <w:spacing w:val="-2"/>
        </w:rPr>
        <w:t>司，从事</w:t>
      </w:r>
      <w:r>
        <w:rPr>
          <w:rFonts w:ascii="宋体" w:hAnsi="宋体" w:cs="宋体" w:eastAsia="宋体" w:hint="default"/>
          <w:spacing w:val="-2"/>
        </w:rPr>
        <w:t>RFID/NFC</w:t>
      </w:r>
      <w:r>
        <w:rPr>
          <w:spacing w:val="-2"/>
        </w:rPr>
        <w:t>相关技术和商务工作；</w:t>
      </w:r>
      <w:r>
        <w:rPr>
          <w:rFonts w:ascii="宋体" w:hAnsi="宋体" w:cs="宋体" w:eastAsia="宋体" w:hint="default"/>
          <w:spacing w:val="-2"/>
        </w:rPr>
        <w:t>2003</w:t>
      </w:r>
      <w:r>
        <w:rPr>
          <w:spacing w:val="-2"/>
        </w:rPr>
        <w:t>年</w:t>
      </w:r>
      <w:r>
        <w:rPr>
          <w:rFonts w:ascii="宋体" w:hAnsi="宋体" w:cs="宋体" w:eastAsia="宋体" w:hint="default"/>
          <w:spacing w:val="-2"/>
        </w:rPr>
        <w:t>5</w:t>
      </w:r>
      <w:r>
        <w:rPr>
          <w:spacing w:val="-2"/>
        </w:rPr>
        <w:t>月创建深圳市希玛特识别系统有限公司，担任公司总经理；</w:t>
      </w: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月至今</w:t>
      </w:r>
      <w:r>
        <w:rPr>
          <w:spacing w:val="-48"/>
        </w:rPr>
        <w:t> </w:t>
      </w:r>
      <w:r>
        <w:rPr>
          <w:spacing w:val="-2"/>
        </w:rPr>
        <w:t>担任深圳市威富通科技有限公司首席执行官，现任威富通董事、总经理、首席执行官并担任深圳市希玛特识别系统有限公司</w:t>
      </w:r>
      <w:r>
        <w:rPr>
          <w:spacing w:val="-66"/>
        </w:rPr>
        <w:t> </w:t>
      </w:r>
      <w:r>
        <w:rPr>
          <w:spacing w:val="-66"/>
        </w:rPr>
      </w:r>
      <w:r>
        <w:rPr>
          <w:spacing w:val="-2"/>
        </w:rPr>
        <w:t>董事长、总经理及深圳市购购通电商科技有限公司董事总经理、深圳市汇商通盈实业中心（有限合伙）执行事务合伙人、深</w:t>
      </w:r>
      <w:r>
        <w:rPr>
          <w:spacing w:val="-66"/>
        </w:rPr>
        <w:t> </w:t>
      </w:r>
      <w:r>
        <w:rPr>
          <w:spacing w:val="-66"/>
        </w:rPr>
      </w:r>
      <w:r>
        <w:rPr/>
        <w:t>圳市白龙移动科技有限公司董事长、深圳市世明科技有限公司董事。</w:t>
      </w:r>
    </w:p>
    <w:p>
      <w:pPr>
        <w:pStyle w:val="BodyText"/>
        <w:spacing w:line="319" w:lineRule="auto" w:before="19"/>
        <w:ind w:right="1131" w:firstLine="360"/>
        <w:jc w:val="both"/>
      </w:pPr>
      <w:r>
        <w:rPr>
          <w:spacing w:val="-2"/>
        </w:rPr>
        <w:t>王彤先生：中国国籍，无境外永久居留权。</w:t>
      </w:r>
      <w:r>
        <w:rPr>
          <w:rFonts w:ascii="宋体" w:hAnsi="宋体" w:cs="宋体" w:eastAsia="宋体" w:hint="default"/>
          <w:spacing w:val="-2"/>
        </w:rPr>
        <w:t>1972</w:t>
      </w:r>
      <w:r>
        <w:rPr>
          <w:spacing w:val="-2"/>
        </w:rPr>
        <w:t>年出生，</w:t>
      </w:r>
      <w:r>
        <w:rPr>
          <w:rFonts w:ascii="宋体" w:hAnsi="宋体" w:cs="宋体" w:eastAsia="宋体" w:hint="default"/>
          <w:spacing w:val="-2"/>
        </w:rPr>
        <w:t>1995</w:t>
      </w:r>
      <w:r>
        <w:rPr>
          <w:spacing w:val="-2"/>
        </w:rPr>
        <w:t>年</w:t>
      </w:r>
      <w:r>
        <w:rPr>
          <w:rFonts w:ascii="宋体" w:hAnsi="宋体" w:cs="宋体" w:eastAsia="宋体" w:hint="default"/>
          <w:spacing w:val="-2"/>
        </w:rPr>
        <w:t>4</w:t>
      </w:r>
      <w:r>
        <w:rPr>
          <w:spacing w:val="-2"/>
        </w:rPr>
        <w:t>月至</w:t>
      </w:r>
      <w:r>
        <w:rPr>
          <w:rFonts w:ascii="宋体" w:hAnsi="宋体" w:cs="宋体" w:eastAsia="宋体" w:hint="default"/>
          <w:spacing w:val="-2"/>
        </w:rPr>
        <w:t>2010</w:t>
      </w:r>
      <w:r>
        <w:rPr>
          <w:spacing w:val="-2"/>
        </w:rPr>
        <w:t>年</w:t>
      </w:r>
      <w:r>
        <w:rPr>
          <w:rFonts w:ascii="宋体" w:hAnsi="宋体" w:cs="宋体" w:eastAsia="宋体" w:hint="default"/>
          <w:spacing w:val="-2"/>
        </w:rPr>
        <w:t>5</w:t>
      </w:r>
      <w:r>
        <w:rPr>
          <w:spacing w:val="-2"/>
        </w:rPr>
        <w:t>月，担任深圳市商怡科技有限公司创始人</w:t>
      </w:r>
      <w:r>
        <w:rPr/>
        <w:t> 及总经理。</w:t>
      </w:r>
      <w:r>
        <w:rPr>
          <w:rFonts w:ascii="宋体" w:hAnsi="宋体" w:cs="宋体" w:eastAsia="宋体" w:hint="default"/>
        </w:rPr>
        <w:t>2014</w:t>
      </w:r>
      <w:r>
        <w:rPr/>
        <w:t>年</w:t>
      </w:r>
      <w:r>
        <w:rPr>
          <w:rFonts w:ascii="宋体" w:hAnsi="宋体" w:cs="宋体" w:eastAsia="宋体" w:hint="default"/>
        </w:rPr>
        <w:t>4</w:t>
      </w:r>
      <w:r>
        <w:rPr/>
        <w:t>月至今，担任深圳市威富通科技有限公司首席运营官。现任深圳市威富通科技有限公司董事兼首席运营 </w:t>
      </w:r>
      <w:r>
        <w:rPr>
          <w:spacing w:val="-2"/>
        </w:rPr>
        <w:t>官、福州十方网络科技有限公司董事、深圳市购购通电商科技有限公司董事、深圳飞猪网络科技有限公司董事、深圳市白龙</w:t>
      </w:r>
      <w:r>
        <w:rPr>
          <w:spacing w:val="-66"/>
        </w:rPr>
        <w:t> </w:t>
      </w:r>
      <w:r>
        <w:rPr>
          <w:spacing w:val="-66"/>
        </w:rPr>
      </w:r>
      <w:r>
        <w:rPr/>
        <w:t>移动科技有限公司董事、深圳市世明科技有限公司董事、北京桔牛科技有限公司董事。</w:t>
      </w:r>
    </w:p>
    <w:p>
      <w:pPr>
        <w:pStyle w:val="BodyText"/>
        <w:spacing w:line="316" w:lineRule="auto" w:before="17"/>
        <w:ind w:right="1130" w:firstLine="360"/>
        <w:jc w:val="both"/>
      </w:pPr>
      <w:r>
        <w:rPr>
          <w:spacing w:val="-2"/>
        </w:rPr>
        <w:t>赵鸿凯先生：中国国籍，无境外永久居留权。</w:t>
      </w:r>
      <w:r>
        <w:rPr>
          <w:rFonts w:ascii="宋体" w:hAnsi="宋体" w:cs="宋体" w:eastAsia="宋体" w:hint="default"/>
          <w:spacing w:val="-2"/>
        </w:rPr>
        <w:t>1969</w:t>
      </w:r>
      <w:r>
        <w:rPr>
          <w:spacing w:val="-2"/>
        </w:rPr>
        <w:t>年</w:t>
      </w:r>
      <w:r>
        <w:rPr>
          <w:rFonts w:ascii="宋体" w:hAnsi="宋体" w:cs="宋体" w:eastAsia="宋体" w:hint="default"/>
          <w:spacing w:val="-2"/>
        </w:rPr>
        <w:t>12</w:t>
      </w:r>
      <w:r>
        <w:rPr>
          <w:spacing w:val="-2"/>
        </w:rPr>
        <w:t>月出生，硕士、工程师。曾任秦皇岛福胜化学制革有限公司技术</w:t>
      </w:r>
      <w:r>
        <w:rPr/>
        <w:t> </w:t>
      </w:r>
      <w:r>
        <w:rPr>
          <w:spacing w:val="-2"/>
        </w:rPr>
        <w:t>员、车间主任、工程师，浙江省温州人造革有限公司工程师、生产部经理，本公司董事会秘书等。现任本公司董事、副总经</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理。</w:t>
      </w:r>
    </w:p>
    <w:p>
      <w:pPr>
        <w:pStyle w:val="BodyText"/>
        <w:spacing w:line="316" w:lineRule="auto" w:before="76"/>
        <w:ind w:left="1134" w:right="1139" w:firstLine="360"/>
        <w:jc w:val="both"/>
      </w:pPr>
      <w:r>
        <w:rPr/>
        <w:t>程鸣先生：中国国籍，无境外永久居留权。</w:t>
      </w:r>
      <w:r>
        <w:rPr>
          <w:rFonts w:ascii="宋体" w:hAnsi="宋体" w:cs="宋体" w:eastAsia="宋体" w:hint="default"/>
        </w:rPr>
        <w:t>1981</w:t>
      </w:r>
      <w:r>
        <w:rPr/>
        <w:t>年</w:t>
      </w:r>
      <w:r>
        <w:rPr>
          <w:rFonts w:ascii="宋体" w:hAnsi="宋体" w:cs="宋体" w:eastAsia="宋体" w:hint="default"/>
        </w:rPr>
        <w:t>4</w:t>
      </w:r>
      <w:r>
        <w:rPr/>
        <w:t>月出生，硕士。曾供职于华峰集团有限公司投资发展部、华峰铝业 股份有限公司。现任本公司董事、董事会秘书、证券事务代表。</w:t>
      </w:r>
    </w:p>
    <w:p>
      <w:pPr>
        <w:pStyle w:val="BodyText"/>
        <w:spacing w:line="319" w:lineRule="auto" w:before="19"/>
        <w:ind w:left="1134" w:right="1132" w:firstLine="360"/>
        <w:jc w:val="both"/>
      </w:pPr>
      <w:r>
        <w:rPr>
          <w:spacing w:val="-2"/>
        </w:rPr>
        <w:t>陈南梁先生：中国国籍，无境外永久居留权。</w:t>
      </w:r>
      <w:r>
        <w:rPr>
          <w:rFonts w:ascii="宋体" w:hAnsi="宋体" w:cs="宋体" w:eastAsia="宋体" w:hint="default"/>
          <w:spacing w:val="-2"/>
        </w:rPr>
        <w:t>1962</w:t>
      </w:r>
      <w:r>
        <w:rPr>
          <w:spacing w:val="-2"/>
        </w:rPr>
        <w:t>年出生，博士，教授。历任东华大学纺织学院系主任、副院长，现任</w:t>
      </w:r>
      <w:r>
        <w:rPr/>
        <w:t> </w:t>
      </w:r>
      <w:r>
        <w:rPr>
          <w:spacing w:val="-2"/>
        </w:rPr>
        <w:t>东华大学纺织学院教授、院长、博士生导师，产业用纺织品教育部工程研究中心主任，上海龙头股份有限公司、上海嘉麟杰</w:t>
      </w:r>
      <w:r>
        <w:rPr>
          <w:spacing w:val="-66"/>
        </w:rPr>
        <w:t> </w:t>
      </w:r>
      <w:r>
        <w:rPr>
          <w:spacing w:val="-66"/>
        </w:rPr>
      </w:r>
      <w:r>
        <w:rPr/>
        <w:t>股份有限公司及本公司独立董事。</w:t>
      </w:r>
    </w:p>
    <w:p>
      <w:pPr>
        <w:pStyle w:val="BodyText"/>
        <w:spacing w:line="316" w:lineRule="auto" w:before="17"/>
        <w:ind w:right="1130" w:firstLine="360"/>
        <w:jc w:val="both"/>
      </w:pPr>
      <w:r>
        <w:rPr>
          <w:spacing w:val="-2"/>
        </w:rPr>
        <w:t>吴伟明先生：中国国籍，无境外永久居留权。</w:t>
      </w:r>
      <w:r>
        <w:rPr>
          <w:rFonts w:ascii="宋体" w:hAnsi="宋体" w:cs="宋体" w:eastAsia="宋体" w:hint="default"/>
          <w:spacing w:val="-2"/>
        </w:rPr>
        <w:t>1961</w:t>
      </w:r>
      <w:r>
        <w:rPr>
          <w:spacing w:val="-2"/>
        </w:rPr>
        <w:t>年出生</w:t>
      </w:r>
      <w:r>
        <w:rPr>
          <w:rFonts w:ascii="宋体" w:hAnsi="宋体" w:cs="宋体" w:eastAsia="宋体" w:hint="default"/>
          <w:spacing w:val="-2"/>
        </w:rPr>
        <w:t>,</w:t>
      </w:r>
      <w:r>
        <w:rPr>
          <w:spacing w:val="-2"/>
        </w:rPr>
        <w:t>华南理工大学汽车专业本科毕业</w:t>
      </w:r>
      <w:r>
        <w:rPr>
          <w:rFonts w:ascii="宋体" w:hAnsi="宋体" w:cs="宋体" w:eastAsia="宋体" w:hint="default"/>
          <w:spacing w:val="-2"/>
        </w:rPr>
        <w:t>,</w:t>
      </w:r>
      <w:r>
        <w:rPr>
          <w:spacing w:val="-2"/>
        </w:rPr>
        <w:t>研究员级高级工程师。曾任</w:t>
      </w:r>
      <w:r>
        <w:rPr/>
        <w:t> </w:t>
      </w:r>
      <w:r>
        <w:rPr>
          <w:spacing w:val="-2"/>
        </w:rPr>
        <w:t>东风杭州汽车有限公司研究所所长、总工程师、副总经理、总经理兼党委书记、杭州市汽车工业协会理事长；获得中国机械</w:t>
      </w:r>
      <w:r>
        <w:rPr>
          <w:spacing w:val="-66"/>
        </w:rPr>
        <w:t> </w:t>
      </w:r>
      <w:r>
        <w:rPr>
          <w:spacing w:val="-66"/>
        </w:rPr>
      </w:r>
      <w:r>
        <w:rPr/>
        <w:t>工业科技专家、东风汽车公司有突出贡献专家、东风青年人才、杭州市劳动模范等称号。入选</w:t>
      </w:r>
      <w:r>
        <w:rPr>
          <w:rFonts w:ascii="宋体" w:hAnsi="宋体" w:cs="宋体" w:eastAsia="宋体" w:hint="default"/>
        </w:rPr>
        <w:t>1999</w:t>
      </w:r>
      <w:r>
        <w:rPr/>
        <w:t>年度浙江省“新世纪</w:t>
      </w:r>
      <w:r>
        <w:rPr>
          <w:rFonts w:ascii="宋体" w:hAnsi="宋体" w:cs="宋体" w:eastAsia="宋体" w:hint="default"/>
        </w:rPr>
        <w:t>151 </w:t>
      </w:r>
      <w:r>
        <w:rPr>
          <w:spacing w:val="-2"/>
        </w:rPr>
        <w:t>人才工程”第二层次培养人员于</w:t>
      </w:r>
      <w:r>
        <w:rPr>
          <w:rFonts w:ascii="宋体" w:hAnsi="宋体" w:cs="宋体" w:eastAsia="宋体" w:hint="default"/>
          <w:spacing w:val="-2"/>
        </w:rPr>
        <w:t>2006</w:t>
      </w:r>
      <w:r>
        <w:rPr>
          <w:spacing w:val="-2"/>
        </w:rPr>
        <w:t>年培养期届满。主持开发设计的产品项目多次获得中国汽车工业</w:t>
      </w:r>
      <w:r>
        <w:rPr>
          <w:rFonts w:ascii="宋体" w:hAnsi="宋体" w:cs="宋体" w:eastAsia="宋体" w:hint="default"/>
          <w:spacing w:val="-2"/>
        </w:rPr>
        <w:t>(</w:t>
      </w:r>
      <w:r>
        <w:rPr>
          <w:spacing w:val="-2"/>
        </w:rPr>
        <w:t>省级</w:t>
      </w:r>
      <w:r>
        <w:rPr>
          <w:rFonts w:ascii="宋体" w:hAnsi="宋体" w:cs="宋体" w:eastAsia="宋体" w:hint="default"/>
          <w:spacing w:val="-2"/>
        </w:rPr>
        <w:t>)</w:t>
      </w:r>
      <w:r>
        <w:rPr>
          <w:spacing w:val="-2"/>
        </w:rPr>
        <w:t>、东风汽车公司</w:t>
      </w:r>
      <w:r>
        <w:rPr>
          <w:spacing w:val="-61"/>
        </w:rPr>
        <w:t> </w:t>
      </w:r>
      <w:r>
        <w:rPr>
          <w:spacing w:val="-61"/>
        </w:rPr>
      </w:r>
      <w:r>
        <w:rPr>
          <w:rFonts w:ascii="宋体" w:hAnsi="宋体" w:cs="宋体" w:eastAsia="宋体" w:hint="default"/>
        </w:rPr>
        <w:t>(</w:t>
      </w:r>
      <w:r>
        <w:rPr/>
        <w:t>市级</w:t>
      </w:r>
      <w:r>
        <w:rPr>
          <w:rFonts w:ascii="宋体" w:hAnsi="宋体" w:cs="宋体" w:eastAsia="宋体" w:hint="default"/>
        </w:rPr>
        <w:t>)</w:t>
      </w:r>
      <w:r>
        <w:rPr/>
        <w:t>的科技进步奖。现为浙江大学城市学院专职教师</w:t>
      </w:r>
      <w:r>
        <w:rPr>
          <w:rFonts w:ascii="宋体" w:hAnsi="宋体" w:cs="宋体" w:eastAsia="宋体" w:hint="default"/>
        </w:rPr>
        <w:t>,</w:t>
      </w:r>
      <w:r>
        <w:rPr/>
        <w:t>兼任杭州市汽车行业协会专家委员会主任，宁波双林汽车部件股份 有限公司、浙江金固股份有限公司、宁波高发汽车控制系统股份有限公司及本公司独立董事。</w:t>
      </w:r>
    </w:p>
    <w:p>
      <w:pPr>
        <w:pStyle w:val="BodyText"/>
        <w:spacing w:line="316" w:lineRule="auto" w:before="19"/>
        <w:ind w:left="1134" w:right="1133" w:firstLine="360"/>
        <w:jc w:val="both"/>
      </w:pPr>
      <w:r>
        <w:rPr/>
        <w:t>易颜新先生：中国国籍，无境外永久居留权。</w:t>
      </w:r>
      <w:r>
        <w:rPr>
          <w:rFonts w:ascii="宋体" w:hAnsi="宋体" w:cs="宋体" w:eastAsia="宋体" w:hint="default"/>
        </w:rPr>
        <w:t>1972</w:t>
      </w:r>
      <w:r>
        <w:rPr/>
        <w:t>年</w:t>
      </w:r>
      <w:r>
        <w:rPr>
          <w:rFonts w:ascii="宋体" w:hAnsi="宋体" w:cs="宋体" w:eastAsia="宋体" w:hint="default"/>
        </w:rPr>
        <w:t>7</w:t>
      </w:r>
      <w:r>
        <w:rPr/>
        <w:t>月生，河北石家庄人，杭州电子科技大学会计学院教授，会计学 </w:t>
      </w:r>
      <w:r>
        <w:rPr>
          <w:spacing w:val="-2"/>
        </w:rPr>
        <w:t>博士，硕士生导师，财务管理系主任，中国非执业注册会计师，浙江省管理会计咨询专家，浙江省总会计师协会学术部副主</w:t>
      </w:r>
      <w:r>
        <w:rPr>
          <w:spacing w:val="-66"/>
        </w:rPr>
        <w:t> </w:t>
      </w:r>
      <w:r>
        <w:rPr>
          <w:spacing w:val="-66"/>
        </w:rPr>
      </w:r>
      <w:r>
        <w:rPr/>
        <w:t>任。本公司独立董事。</w:t>
      </w:r>
    </w:p>
    <w:p>
      <w:pPr>
        <w:pStyle w:val="BodyText"/>
        <w:spacing w:line="316" w:lineRule="auto" w:before="19"/>
        <w:ind w:right="1033" w:firstLine="360"/>
        <w:jc w:val="left"/>
      </w:pPr>
      <w:r>
        <w:rPr/>
        <w:t>尹建平先生：中国国籍，无境外永久居留权。</w:t>
      </w:r>
      <w:r>
        <w:rPr>
          <w:rFonts w:ascii="宋体" w:hAnsi="宋体" w:cs="宋体" w:eastAsia="宋体" w:hint="default"/>
        </w:rPr>
        <w:t>1962</w:t>
      </w:r>
      <w:r>
        <w:rPr/>
        <w:t>年出生，中国国籍，无境外永久居留权，</w:t>
      </w:r>
      <w:r>
        <w:rPr>
          <w:rFonts w:ascii="宋体" w:hAnsi="宋体" w:cs="宋体" w:eastAsia="宋体" w:hint="default"/>
        </w:rPr>
        <w:t>1962</w:t>
      </w:r>
      <w:r>
        <w:rPr/>
        <w:t>年</w:t>
      </w:r>
      <w:r>
        <w:rPr>
          <w:rFonts w:ascii="宋体" w:hAnsi="宋体" w:cs="宋体" w:eastAsia="宋体" w:hint="default"/>
        </w:rPr>
        <w:t>11</w:t>
      </w:r>
      <w:r>
        <w:rPr/>
        <w:t>月生，本科学历。 </w:t>
      </w:r>
      <w:r>
        <w:rPr>
          <w:rFonts w:ascii="宋体" w:hAnsi="宋体" w:cs="宋体" w:eastAsia="宋体" w:hint="default"/>
        </w:rPr>
        <w:t>2000</w:t>
      </w:r>
      <w:r>
        <w:rPr/>
        <w:t>年</w:t>
      </w:r>
      <w:r>
        <w:rPr>
          <w:rFonts w:ascii="宋体" w:hAnsi="宋体" w:cs="宋体" w:eastAsia="宋体" w:hint="default"/>
        </w:rPr>
        <w:t>8</w:t>
      </w:r>
      <w:r>
        <w:rPr/>
        <w:t>月至</w:t>
      </w:r>
      <w:r>
        <w:rPr>
          <w:rFonts w:ascii="宋体" w:hAnsi="宋体" w:cs="宋体" w:eastAsia="宋体" w:hint="default"/>
        </w:rPr>
        <w:t>2011</w:t>
      </w:r>
      <w:r>
        <w:rPr/>
        <w:t>年</w:t>
      </w:r>
      <w:r>
        <w:rPr>
          <w:rFonts w:ascii="宋体" w:hAnsi="宋体" w:cs="宋体" w:eastAsia="宋体" w:hint="default"/>
        </w:rPr>
        <w:t>2</w:t>
      </w:r>
      <w:r>
        <w:rPr/>
        <w:t>月，任北京共业科技有限公司董事长。</w:t>
      </w:r>
      <w:r>
        <w:rPr>
          <w:rFonts w:ascii="宋体" w:hAnsi="宋体" w:cs="宋体" w:eastAsia="宋体" w:hint="default"/>
        </w:rPr>
        <w:t>2013</w:t>
      </w:r>
      <w:r>
        <w:rPr/>
        <w:t>年</w:t>
      </w:r>
      <w:r>
        <w:rPr>
          <w:rFonts w:ascii="宋体" w:hAnsi="宋体" w:cs="宋体" w:eastAsia="宋体" w:hint="default"/>
        </w:rPr>
        <w:t>6</w:t>
      </w:r>
      <w:r>
        <w:rPr/>
        <w:t>月至今，任安记食品股份有限公司独立董事。</w:t>
      </w:r>
      <w:r>
        <w:rPr>
          <w:rFonts w:ascii="宋体" w:hAnsi="宋体" w:cs="宋体" w:eastAsia="宋体" w:hint="default"/>
        </w:rPr>
        <w:t>2016</w:t>
      </w:r>
      <w:r>
        <w:rPr/>
        <w:t>年</w:t>
      </w:r>
      <w:r>
        <w:rPr>
          <w:rFonts w:ascii="宋体" w:hAnsi="宋体" w:cs="宋体" w:eastAsia="宋体" w:hint="default"/>
        </w:rPr>
        <w:t>2 </w:t>
      </w:r>
      <w:r>
        <w:rPr>
          <w:spacing w:val="-2"/>
        </w:rPr>
        <w:t>月至今，任北京千方科技股份有限公司董事。</w:t>
      </w:r>
      <w:r>
        <w:rPr>
          <w:rFonts w:ascii="宋体" w:hAnsi="宋体" w:cs="宋体" w:eastAsia="宋体" w:hint="default"/>
          <w:spacing w:val="-2"/>
        </w:rPr>
        <w:t>2016</w:t>
      </w:r>
      <w:r>
        <w:rPr>
          <w:spacing w:val="-2"/>
        </w:rPr>
        <w:t>年</w:t>
      </w:r>
      <w:r>
        <w:rPr>
          <w:rFonts w:ascii="宋体" w:hAnsi="宋体" w:cs="宋体" w:eastAsia="宋体" w:hint="default"/>
          <w:spacing w:val="-2"/>
        </w:rPr>
        <w:t>7</w:t>
      </w:r>
      <w:r>
        <w:rPr>
          <w:spacing w:val="-2"/>
        </w:rPr>
        <w:t>月至今，任中德诺浩（北京）教育股份有限公司监事会主席。</w:t>
      </w:r>
      <w:r>
        <w:rPr>
          <w:rFonts w:ascii="宋体" w:hAnsi="宋体" w:cs="宋体" w:eastAsia="宋体" w:hint="default"/>
          <w:spacing w:val="-2"/>
        </w:rPr>
        <w:t>2017</w:t>
      </w:r>
      <w:r>
        <w:rPr>
          <w:spacing w:val="-2"/>
        </w:rPr>
        <w:t>年</w:t>
      </w:r>
      <w:r>
        <w:rPr>
          <w:rFonts w:ascii="宋体" w:hAnsi="宋体" w:cs="宋体" w:eastAsia="宋体" w:hint="default"/>
          <w:spacing w:val="-2"/>
        </w:rPr>
        <w:t>3</w:t>
      </w:r>
      <w:r>
        <w:rPr>
          <w:rFonts w:ascii="宋体" w:hAnsi="宋体" w:cs="宋体" w:eastAsia="宋体" w:hint="default"/>
          <w:spacing w:val="-55"/>
        </w:rPr>
        <w:t> </w:t>
      </w:r>
      <w:r>
        <w:rPr/>
        <w:t>月至今，任西藏国路安科技股份有限公司独立董事。</w:t>
      </w:r>
    </w:p>
    <w:p>
      <w:pPr>
        <w:pStyle w:val="BodyText"/>
        <w:spacing w:line="316" w:lineRule="auto" w:before="19"/>
        <w:ind w:left="1134" w:right="1042" w:firstLine="360"/>
        <w:jc w:val="both"/>
      </w:pPr>
      <w:r>
        <w:rPr>
          <w:spacing w:val="-2"/>
        </w:rPr>
        <w:t>刘勇胜先生：中国国籍，无境外永久居留权。</w:t>
      </w:r>
      <w:r>
        <w:rPr>
          <w:rFonts w:ascii="宋体" w:hAnsi="宋体" w:cs="宋体" w:eastAsia="宋体" w:hint="default"/>
          <w:spacing w:val="-2"/>
        </w:rPr>
        <w:t>1971</w:t>
      </w:r>
      <w:r>
        <w:rPr>
          <w:spacing w:val="-2"/>
        </w:rPr>
        <w:t>年</w:t>
      </w:r>
      <w:r>
        <w:rPr>
          <w:rFonts w:ascii="宋体" w:hAnsi="宋体" w:cs="宋体" w:eastAsia="宋体" w:hint="default"/>
          <w:spacing w:val="-2"/>
        </w:rPr>
        <w:t>5</w:t>
      </w:r>
      <w:r>
        <w:rPr>
          <w:spacing w:val="-2"/>
        </w:rPr>
        <w:t>月出生，大专学历。曾任南京佳山纺织有限公司生产技术部经理，</w:t>
      </w:r>
      <w:r>
        <w:rPr/>
        <w:t> 温州人造革有限公司开发部经理。现任本公司技术部副经理、监事。</w:t>
      </w:r>
    </w:p>
    <w:p>
      <w:pPr>
        <w:pStyle w:val="BodyText"/>
        <w:spacing w:line="319" w:lineRule="auto" w:before="19"/>
        <w:ind w:left="1134" w:right="1133" w:firstLine="360"/>
        <w:jc w:val="both"/>
      </w:pPr>
      <w:r>
        <w:rPr>
          <w:spacing w:val="-2"/>
        </w:rPr>
        <w:t>贺璇先生：中国国籍，</w:t>
      </w:r>
      <w:r>
        <w:rPr>
          <w:rFonts w:ascii="宋体" w:hAnsi="宋体" w:cs="宋体" w:eastAsia="宋体" w:hint="default"/>
          <w:spacing w:val="-2"/>
        </w:rPr>
        <w:t>1974</w:t>
      </w:r>
      <w:r>
        <w:rPr>
          <w:spacing w:val="-2"/>
        </w:rPr>
        <w:t>年</w:t>
      </w:r>
      <w:r>
        <w:rPr>
          <w:rFonts w:ascii="宋体" w:hAnsi="宋体" w:cs="宋体" w:eastAsia="宋体" w:hint="default"/>
          <w:spacing w:val="-2"/>
        </w:rPr>
        <w:t>11</w:t>
      </w:r>
      <w:r>
        <w:rPr>
          <w:spacing w:val="-2"/>
        </w:rPr>
        <w:t>月出生，硕士学历，工程师。曾任杭州新光塑料有限公司一分厂厂长助理、副厂长，曾</w:t>
      </w:r>
      <w:r>
        <w:rPr/>
        <w:t> 获“上海市金山区技改创新标兵”荣誉称号，现任本公司生产部经理、监事。</w:t>
      </w:r>
    </w:p>
    <w:p>
      <w:pPr>
        <w:pStyle w:val="BodyText"/>
        <w:spacing w:line="316" w:lineRule="auto" w:before="17"/>
        <w:ind w:right="1130" w:firstLine="360"/>
        <w:jc w:val="both"/>
      </w:pPr>
      <w:r>
        <w:rPr>
          <w:spacing w:val="-2"/>
        </w:rPr>
        <w:t>余少挺先生：中国国籍，无境外永久居留权。</w:t>
      </w:r>
      <w:r>
        <w:rPr>
          <w:rFonts w:ascii="宋体" w:hAnsi="宋体" w:cs="宋体" w:eastAsia="宋体" w:hint="default"/>
          <w:spacing w:val="-2"/>
        </w:rPr>
        <w:t>1982</w:t>
      </w:r>
      <w:r>
        <w:rPr>
          <w:spacing w:val="-2"/>
        </w:rPr>
        <w:t>年</w:t>
      </w:r>
      <w:r>
        <w:rPr>
          <w:rFonts w:ascii="宋体" w:hAnsi="宋体" w:cs="宋体" w:eastAsia="宋体" w:hint="default"/>
          <w:spacing w:val="-2"/>
        </w:rPr>
        <w:t>10</w:t>
      </w:r>
      <w:r>
        <w:rPr>
          <w:spacing w:val="-2"/>
        </w:rPr>
        <w:t>月出生，本科学历，</w:t>
      </w:r>
      <w:r>
        <w:rPr>
          <w:rFonts w:ascii="宋体" w:hAnsi="宋体" w:cs="宋体" w:eastAsia="宋体" w:hint="default"/>
          <w:spacing w:val="-2"/>
        </w:rPr>
        <w:t>2003</w:t>
      </w:r>
      <w:r>
        <w:rPr>
          <w:spacing w:val="-2"/>
        </w:rPr>
        <w:t>年起至今一直在本公司营销部工作。现</w:t>
      </w:r>
      <w:r>
        <w:rPr/>
        <w:t> 任本公司监事。</w:t>
      </w:r>
    </w:p>
    <w:p>
      <w:pPr>
        <w:pStyle w:val="BodyText"/>
        <w:spacing w:line="316" w:lineRule="auto" w:before="19"/>
        <w:ind w:right="1132" w:firstLine="360"/>
        <w:jc w:val="both"/>
      </w:pPr>
      <w:r>
        <w:rPr/>
        <w:t>蔡开成先生：中国国籍，男，</w:t>
      </w:r>
      <w:r>
        <w:rPr>
          <w:rFonts w:ascii="宋体" w:hAnsi="宋体" w:cs="宋体" w:eastAsia="宋体" w:hint="default"/>
        </w:rPr>
        <w:t>1965</w:t>
      </w:r>
      <w:r>
        <w:rPr/>
        <w:t>年</w:t>
      </w:r>
      <w:r>
        <w:rPr>
          <w:rFonts w:ascii="宋体" w:hAnsi="宋体" w:cs="宋体" w:eastAsia="宋体" w:hint="default"/>
        </w:rPr>
        <w:t>2</w:t>
      </w:r>
      <w:r>
        <w:rPr/>
        <w:t>月出生，大专文化，会计师。曾任温州安庆建设开发公司副总经理，瑞安华威印 </w:t>
      </w:r>
      <w:r>
        <w:rPr>
          <w:spacing w:val="-2"/>
        </w:rPr>
        <w:t>刷机械有限公司副总经理，</w:t>
      </w:r>
      <w:r>
        <w:rPr>
          <w:rFonts w:ascii="宋体" w:hAnsi="宋体" w:cs="宋体" w:eastAsia="宋体" w:hint="default"/>
          <w:spacing w:val="-2"/>
        </w:rPr>
        <w:t>2009</w:t>
      </w:r>
      <w:r>
        <w:rPr>
          <w:spacing w:val="-2"/>
        </w:rPr>
        <w:t>年进入浙江华峰氨纶股份有限公司，曾任该公司财务总监兼财务部部长。现任本公司财务总</w:t>
      </w:r>
      <w:r>
        <w:rPr>
          <w:spacing w:val="-62"/>
        </w:rPr>
        <w:t> </w:t>
      </w:r>
      <w:r>
        <w:rPr>
          <w:spacing w:val="-62"/>
        </w:rPr>
      </w:r>
      <w:r>
        <w:rPr/>
        <w:t>监。</w:t>
      </w:r>
    </w:p>
    <w:p>
      <w:pPr>
        <w:pStyle w:val="BodyText"/>
        <w:spacing w:line="338" w:lineRule="auto" w:before="19"/>
        <w:ind w:right="1123" w:firstLine="360"/>
        <w:jc w:val="left"/>
      </w:pPr>
      <w:r>
        <w:rPr/>
        <w:t>黄康军先生：中国国籍，男，</w:t>
      </w:r>
      <w:r>
        <w:rPr>
          <w:rFonts w:ascii="宋体" w:hAnsi="宋体" w:cs="宋体" w:eastAsia="宋体" w:hint="default"/>
        </w:rPr>
        <w:t>1960</w:t>
      </w:r>
      <w:r>
        <w:rPr/>
        <w:t>年</w:t>
      </w:r>
      <w:r>
        <w:rPr>
          <w:rFonts w:ascii="宋体" w:hAnsi="宋体" w:cs="宋体" w:eastAsia="宋体" w:hint="default"/>
        </w:rPr>
        <w:t>9</w:t>
      </w:r>
      <w:r>
        <w:rPr/>
        <w:t>月出生，高级工程师。曾任上海松山国际贸易公司副总经理、华峰集团有限公司 投资发展部经理等职务。</w:t>
      </w:r>
      <w:r>
        <w:rPr>
          <w:rFonts w:ascii="宋体" w:hAnsi="宋体" w:cs="宋体" w:eastAsia="宋体" w:hint="default"/>
        </w:rPr>
        <w:t>2011</w:t>
      </w:r>
      <w:r>
        <w:rPr/>
        <w:t>年至</w:t>
      </w:r>
      <w:r>
        <w:rPr>
          <w:rFonts w:ascii="宋体" w:hAnsi="宋体" w:cs="宋体" w:eastAsia="宋体" w:hint="default"/>
        </w:rPr>
        <w:t>2014</w:t>
      </w:r>
      <w:r>
        <w:rPr/>
        <w:t>年期间，任华峰集团有限公司副总经理。现担任本公司副总经理。 在股东单位任职情况</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尤小平</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0"/>
        <w:jc w:val="left"/>
      </w:pPr>
      <w:r>
        <w:rPr/>
        <w:t>在其他单位任职情况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陈南梁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东华大学纺织学院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吴伟明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浙江大学城市学院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易颜新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杭州电子科技大学会计学院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尹建平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安记食品等</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5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鲜丹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深圳市希玛特识别系统有限公司、深圳 市购购通电商科技有限公司、深圳市汇 </w:t>
            </w:r>
            <w:r>
              <w:rPr>
                <w:rFonts w:ascii="宋体" w:hAnsi="宋体" w:cs="宋体" w:eastAsia="宋体" w:hint="default"/>
                <w:spacing w:val="-6"/>
                <w:sz w:val="18"/>
                <w:szCs w:val="18"/>
              </w:rPr>
              <w:t>商通盈实业中心（有限合伙）、深圳市白</w:t>
            </w:r>
            <w:r>
              <w:rPr>
                <w:rFonts w:ascii="宋体" w:hAnsi="宋体" w:cs="宋体" w:eastAsia="宋体" w:hint="default"/>
                <w:sz w:val="18"/>
                <w:szCs w:val="18"/>
              </w:rPr>
              <w:t> 龙移动科技有限公司、深圳市世明科技 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福州十方网络科技有限公司、深圳市购 购通电商科技有限公司、深圳飞猪网络 科技有限公司、深圳市白龙移动科技有 限公司、深圳市世明科技有限公司、北 京桔牛科技有限公司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6"/>
      <w:bookmarkEnd w:id="126"/>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126" w:type="dxa"/>
        <w:tblLayout w:type="fixed"/>
        <w:tblCellMar>
          <w:top w:w="0" w:type="dxa"/>
          <w:left w:w="0" w:type="dxa"/>
          <w:bottom w:w="0" w:type="dxa"/>
          <w:right w:w="0" w:type="dxa"/>
        </w:tblCellMar>
        <w:tblLook w:val="01E0"/>
      </w:tblPr>
      <w:tblGrid>
        <w:gridCol w:w="4261"/>
        <w:gridCol w:w="5308"/>
      </w:tblGrid>
      <w:tr>
        <w:trPr>
          <w:trHeight w:val="1051"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69"/>
              <w:jc w:val="both"/>
              <w:rPr>
                <w:rFonts w:ascii="宋体" w:hAnsi="宋体" w:cs="宋体" w:eastAsia="宋体" w:hint="default"/>
                <w:sz w:val="18"/>
                <w:szCs w:val="18"/>
              </w:rPr>
            </w:pPr>
            <w:r>
              <w:rPr>
                <w:rFonts w:ascii="宋体" w:hAnsi="宋体" w:cs="宋体" w:eastAsia="宋体" w:hint="default"/>
                <w:sz w:val="18"/>
                <w:szCs w:val="18"/>
              </w:rPr>
              <w:t>董事、高管报酬由公司薪酬与考核委员会，根据其经营绩效、工作 能力、岗位职级等为依据考核确定，经董事会通过后，由股东大会 批准。监事薪酬经监事会通过后，由股东大会批准。</w:t>
            </w:r>
          </w:p>
        </w:tc>
      </w:tr>
      <w:tr>
        <w:trPr>
          <w:trHeight w:val="738"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69"/>
              <w:jc w:val="left"/>
              <w:rPr>
                <w:rFonts w:ascii="宋体" w:hAnsi="宋体" w:cs="宋体" w:eastAsia="宋体" w:hint="default"/>
                <w:sz w:val="18"/>
                <w:szCs w:val="18"/>
              </w:rPr>
            </w:pPr>
            <w:r>
              <w:rPr>
                <w:rFonts w:ascii="宋体" w:hAnsi="宋体" w:cs="宋体" w:eastAsia="宋体" w:hint="default"/>
                <w:sz w:val="18"/>
                <w:szCs w:val="18"/>
              </w:rPr>
              <w:t>由公司薪酬与考核委员会和监事会，根据其经营绩效、工作能力、 岗位职级等为依据分别考核确定。</w:t>
            </w:r>
          </w:p>
        </w:tc>
      </w:tr>
      <w:tr>
        <w:trPr>
          <w:trHeight w:val="428"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根据股东大会审议情况最终确定。</w:t>
            </w:r>
          </w:p>
        </w:tc>
      </w:tr>
    </w:tbl>
    <w:p>
      <w:pPr>
        <w:pStyle w:val="BodyText"/>
        <w:spacing w:line="240" w:lineRule="auto" w:before="51"/>
        <w:ind w:left="1134" w:right="0"/>
        <w:jc w:val="left"/>
      </w:pPr>
      <w:r>
        <w:rPr/>
        <w:t>公司报告期内董事、监事和高级管理人员报酬情况</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尤小平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段伟东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鲜丹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赵鸿凯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董事、常务副总 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董事、董事会秘 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贺璇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刘勇胜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余少挺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蔡开成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黄康军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陈南梁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吴伟明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易颜新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尹建平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929.65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公司董事、高级管理人员报告期内被授予的股权激励情况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7"/>
      <w:bookmarkEnd w:id="127"/>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8"/>
      <w:bookmarkEnd w:id="128"/>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1,444</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2,022</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2,022</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1,258</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2,022</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薪酬政策" w:id="129"/>
      <w:bookmarkEnd w:id="129"/>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032"/>
        <w:jc w:val="left"/>
      </w:pPr>
      <w:r>
        <w:rPr/>
        <w:t>公司以岗位、绩效、能力作为定薪的基本依据，将绩效考核与薪酬挂钩，发挥薪酬的激励作用，体现企业与员工共同利益， </w:t>
      </w:r>
      <w:r>
        <w:rPr>
          <w:spacing w:val="-2"/>
        </w:rPr>
        <w:t>共同发展的理念，遵循对外具有竞争力，对内公平公正，合理控制人工成本的原则下，结合上海市和深圳市相关法律法规从</w:t>
      </w:r>
      <w:r>
        <w:rPr>
          <w:spacing w:val="-66"/>
        </w:rPr>
        <w:t> </w:t>
      </w:r>
      <w:r>
        <w:rPr>
          <w:spacing w:val="-66"/>
        </w:rPr>
      </w:r>
      <w:r>
        <w:rPr/>
        <w:t>而制定薪酬制度。</w:t>
      </w:r>
    </w:p>
    <w:p>
      <w:pPr>
        <w:spacing w:line="240" w:lineRule="auto" w:before="7"/>
        <w:rPr>
          <w:rFonts w:ascii="宋体" w:hAnsi="宋体" w:cs="宋体" w:eastAsia="宋体" w:hint="default"/>
          <w:sz w:val="22"/>
          <w:szCs w:val="22"/>
        </w:rPr>
      </w:pPr>
    </w:p>
    <w:p>
      <w:pPr>
        <w:pStyle w:val="Heading3"/>
        <w:spacing w:line="240" w:lineRule="auto"/>
        <w:ind w:left="1134" w:right="0"/>
        <w:jc w:val="left"/>
        <w:rPr>
          <w:b w:val="0"/>
          <w:bCs w:val="0"/>
        </w:rPr>
      </w:pPr>
      <w:bookmarkStart w:name="3、培训计划" w:id="130"/>
      <w:bookmarkEnd w:id="130"/>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0"/>
        <w:jc w:val="both"/>
      </w:pPr>
      <w:r>
        <w:rPr/>
        <w:t>公司培训主要分为三大部分如下：一</w:t>
      </w:r>
      <w:r>
        <w:rPr>
          <w:spacing w:val="-19"/>
        </w:rPr>
        <w:t> </w:t>
      </w:r>
      <w:r>
        <w:rPr/>
        <w:t>新员工入职培训：让新员工的更好的了解公司，更好的融入企业文化；让新员工明确</w:t>
      </w:r>
      <w:r>
        <w:rPr/>
        <w:t> 自己的工作目标及工作内容，掌握工作要领和操作规程；让新员工掌握企业安全生产制度、职业卫生健康等内容。二</w:t>
      </w:r>
      <w:r>
        <w:rPr>
          <w:spacing w:val="8"/>
        </w:rPr>
        <w:t> </w:t>
      </w:r>
      <w:r>
        <w:rPr/>
        <w:t>转岗</w:t>
      </w:r>
      <w:r>
        <w:rPr/>
        <w:t> 位培训：培训目标：使转岗员工掌握新岗位所必须的技术业务知识和岗；三</w:t>
      </w:r>
      <w:r>
        <w:rPr>
          <w:spacing w:val="-18"/>
        </w:rPr>
        <w:t> </w:t>
      </w:r>
      <w:r>
        <w:rPr/>
        <w:t>在岗培训：使在岗员工通过培训提高业务能力</w:t>
      </w:r>
      <w:r>
        <w:rPr/>
        <w:t> </w:t>
      </w:r>
      <w:r>
        <w:rPr>
          <w:spacing w:val="-2"/>
        </w:rPr>
        <w:t>水平及技能操作水平。培训主要采用外培和内培相结合。公司每年在年初制定全年培训计划，之后根据培训计划进行实施培</w:t>
      </w:r>
      <w:r>
        <w:rPr>
          <w:spacing w:val="-66"/>
        </w:rPr>
        <w:t> </w:t>
      </w:r>
      <w:r>
        <w:rPr>
          <w:spacing w:val="-66"/>
        </w:rPr>
      </w:r>
      <w:r>
        <w:rPr/>
        <w:t>训，最后对培训的效果进行评估。</w:t>
      </w:r>
    </w:p>
    <w:p>
      <w:pPr>
        <w:spacing w:line="240" w:lineRule="auto" w:before="5"/>
        <w:rPr>
          <w:rFonts w:ascii="宋体" w:hAnsi="宋体" w:cs="宋体" w:eastAsia="宋体" w:hint="default"/>
          <w:sz w:val="22"/>
          <w:szCs w:val="22"/>
        </w:rPr>
      </w:pPr>
    </w:p>
    <w:p>
      <w:pPr>
        <w:pStyle w:val="Heading3"/>
        <w:spacing w:line="240" w:lineRule="auto"/>
        <w:ind w:left="1134" w:right="0"/>
        <w:jc w:val="left"/>
        <w:rPr>
          <w:b w:val="0"/>
          <w:bCs w:val="0"/>
        </w:rPr>
      </w:pPr>
      <w:bookmarkStart w:name="4、劳务外包情况" w:id="131"/>
      <w:bookmarkEnd w:id="131"/>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1,564,625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34,421,750.00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_TOC_250003" w:id="132"/>
      <w:bookmarkStart w:name="第九节 公司治理" w:id="133"/>
      <w:r>
        <w:rPr>
          <w:b w:val="0"/>
          <w:bCs w:val="0"/>
        </w:rPr>
      </w:r>
      <w:r>
        <w:rPr/>
        <w:t>第九节</w:t>
      </w:r>
      <w:r>
        <w:rPr>
          <w:spacing w:val="-5"/>
        </w:rPr>
        <w:t> </w:t>
      </w:r>
      <w:r>
        <w:rPr/>
        <w:t>公司治理</w:t>
      </w:r>
      <w:bookmarkEnd w:id="13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4"/>
      <w:bookmarkEnd w:id="134"/>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0" w:firstLine="360"/>
        <w:jc w:val="both"/>
      </w:pPr>
      <w:r>
        <w:rPr>
          <w:spacing w:val="-2"/>
        </w:rPr>
        <w:t>报告期内，公司持续优化上市公司规范治理结构，严格按照《公司法》、《证券法》、《上市公司治理规则》、《深圳</w:t>
      </w:r>
      <w:r>
        <w:rPr/>
        <w:t> </w:t>
      </w:r>
      <w:r>
        <w:rPr>
          <w:spacing w:val="-2"/>
        </w:rPr>
        <w:t>证券交易所创业板上市规则》、《深圳证券交易所创业板上市公司规范运作指引》及其他相关法律、法规、规范性文件，结</w:t>
      </w:r>
      <w:r>
        <w:rPr>
          <w:spacing w:val="-70"/>
        </w:rPr>
        <w:t> </w:t>
      </w:r>
      <w:r>
        <w:rPr>
          <w:spacing w:val="-70"/>
        </w:rPr>
      </w:r>
      <w:r>
        <w:rPr>
          <w:spacing w:val="-2"/>
        </w:rPr>
        <w:t>合公司实际情况，持续深入开展公司治理活动，促进公司规范运作，提高公司治理水平。截至报告期末，公司整体运作比较</w:t>
      </w:r>
      <w:r>
        <w:rPr>
          <w:spacing w:val="-66"/>
        </w:rPr>
        <w:t> </w:t>
      </w:r>
      <w:r>
        <w:rPr>
          <w:spacing w:val="-66"/>
        </w:rPr>
      </w:r>
      <w:r>
        <w:rPr>
          <w:spacing w:val="-2"/>
        </w:rPr>
        <w:t>规范，公司治理的实际状况符合《上市公司治理准则》、《深圳证券交易所创业板上市公司规范运作指引》和有关上市公司</w:t>
      </w:r>
      <w:r>
        <w:rPr>
          <w:spacing w:val="-67"/>
        </w:rPr>
        <w:t> </w:t>
      </w:r>
      <w:r>
        <w:rPr>
          <w:spacing w:val="-67"/>
        </w:rPr>
      </w:r>
      <w:r>
        <w:rPr/>
        <w:t>治理的规范性文件的要求。</w:t>
      </w:r>
    </w:p>
    <w:p>
      <w:pPr>
        <w:pStyle w:val="BodyText"/>
        <w:spacing w:line="316" w:lineRule="auto" w:before="19"/>
        <w:ind w:left="1493" w:right="0" w:hanging="360"/>
        <w:jc w:val="left"/>
      </w:pPr>
      <w:r>
        <w:rPr/>
        <w:t>（一）关于股东与股东大会： </w:t>
      </w:r>
      <w:r>
        <w:rPr>
          <w:spacing w:val="-2"/>
        </w:rPr>
        <w:t>公司严格按照《公司法》、《上市公司股东大会规则》、《公司章程》、《股东大会议事规则》等规定和要求，规范股</w:t>
      </w:r>
    </w:p>
    <w:p>
      <w:pPr>
        <w:pStyle w:val="BodyText"/>
        <w:spacing w:line="316" w:lineRule="auto" w:before="19"/>
        <w:ind w:left="1134" w:right="0"/>
        <w:jc w:val="left"/>
      </w:pPr>
      <w:r>
        <w:rPr>
          <w:spacing w:val="-4"/>
        </w:rPr>
        <w:t>东大会的召集、召开和表决程序，充分保证所有股东，特别是中小股东合法行使权益，保证了股东对公司重大事项的知情权、</w:t>
      </w:r>
      <w:r>
        <w:rPr>
          <w:spacing w:val="-46"/>
        </w:rPr>
        <w:t> </w:t>
      </w:r>
      <w:r>
        <w:rPr>
          <w:spacing w:val="-46"/>
        </w:rPr>
      </w:r>
      <w:r>
        <w:rPr>
          <w:spacing w:val="-2"/>
        </w:rPr>
        <w:t>参与权、表决权。公司股东大会提案审议符合程序，涉及关联交易的议案一律关联方回避表决，并尽可能地为股东参加股东</w:t>
      </w:r>
      <w:r>
        <w:rPr>
          <w:spacing w:val="-66"/>
        </w:rPr>
        <w:t> </w:t>
      </w:r>
      <w:r>
        <w:rPr>
          <w:spacing w:val="-66"/>
        </w:rPr>
      </w:r>
      <w:r>
        <w:rPr/>
        <w:t>大会提供便利，使其充分行使股东权利，慎重考虑股东提出的各项意见与建议，从股东的根本利益出发作出决策。</w:t>
      </w:r>
    </w:p>
    <w:p>
      <w:pPr>
        <w:pStyle w:val="BodyText"/>
        <w:spacing w:line="316" w:lineRule="auto" w:before="19"/>
        <w:ind w:left="1493" w:right="0" w:hanging="360"/>
        <w:jc w:val="left"/>
      </w:pPr>
      <w:r>
        <w:rPr/>
        <w:t>（二）关于公司与控股股东、实际控制人： </w:t>
      </w:r>
      <w:r>
        <w:rPr>
          <w:spacing w:val="-4"/>
        </w:rPr>
        <w:t>公司具有独立的业务经营能力及完备的运营体系，在业务、人员、资产、机构、财务上独立于实际控制人，公司董事会、</w:t>
      </w:r>
    </w:p>
    <w:p>
      <w:pPr>
        <w:pStyle w:val="BodyText"/>
        <w:spacing w:line="316" w:lineRule="auto" w:before="19"/>
        <w:ind w:right="1132"/>
        <w:jc w:val="both"/>
      </w:pPr>
      <w:r>
        <w:rPr>
          <w:spacing w:val="-2"/>
        </w:rPr>
        <w:t>监事会和业务部门均独立运作。公司实际控制人严格规范自己的行为，通过股东大会依法行使其权利并承担义务，没有超越</w:t>
      </w:r>
      <w:r>
        <w:rPr>
          <w:spacing w:val="-66"/>
        </w:rPr>
        <w:t> </w:t>
      </w:r>
      <w:r>
        <w:rPr>
          <w:spacing w:val="-66"/>
        </w:rPr>
      </w:r>
      <w:r>
        <w:rPr>
          <w:spacing w:val="-2"/>
        </w:rPr>
        <w:t>股东大会直接或间接干预公司的决策和经营活动。报告期内，公司控股股东通过股东大会依法行使其权利并承担义务，没有</w:t>
      </w:r>
      <w:r>
        <w:rPr>
          <w:spacing w:val="-66"/>
        </w:rPr>
        <w:t> </w:t>
      </w:r>
      <w:r>
        <w:rPr>
          <w:spacing w:val="-66"/>
        </w:rPr>
      </w:r>
      <w:r>
        <w:rPr>
          <w:spacing w:val="-2"/>
        </w:rPr>
        <w:t>超越股东大会直接或间接干预公司经营活动，公司没有为控股股东提供担保，亦不存在控股股东非经营性占用公司资金的行</w:t>
      </w:r>
      <w:r>
        <w:rPr>
          <w:spacing w:val="-64"/>
        </w:rPr>
        <w:t> </w:t>
      </w:r>
      <w:r>
        <w:rPr>
          <w:spacing w:val="-64"/>
        </w:rPr>
      </w:r>
      <w:r>
        <w:rPr/>
        <w:t>为。</w:t>
      </w:r>
    </w:p>
    <w:p>
      <w:pPr>
        <w:pStyle w:val="BodyText"/>
        <w:spacing w:line="316" w:lineRule="auto" w:before="19"/>
        <w:ind w:left="1494" w:right="0" w:hanging="360"/>
        <w:jc w:val="left"/>
      </w:pPr>
      <w:r>
        <w:rPr/>
        <w:t>（三）关于董事和董事会： </w:t>
      </w:r>
      <w:r>
        <w:rPr>
          <w:spacing w:val="-2"/>
        </w:rPr>
        <w:t>公司董事会设董事</w:t>
      </w:r>
      <w:r>
        <w:rPr>
          <w:rFonts w:ascii="Times New Roman" w:hAnsi="Times New Roman" w:cs="Times New Roman" w:eastAsia="Times New Roman" w:hint="default"/>
          <w:spacing w:val="-2"/>
        </w:rPr>
        <w:t>10</w:t>
      </w:r>
      <w:r>
        <w:rPr>
          <w:spacing w:val="-2"/>
        </w:rPr>
        <w:t>名，其中独立董事</w:t>
      </w:r>
      <w:r>
        <w:rPr>
          <w:rFonts w:ascii="Times New Roman" w:hAnsi="Times New Roman" w:cs="Times New Roman" w:eastAsia="Times New Roman" w:hint="default"/>
          <w:spacing w:val="-2"/>
        </w:rPr>
        <w:t>4</w:t>
      </w:r>
      <w:r>
        <w:rPr>
          <w:spacing w:val="-2"/>
        </w:rPr>
        <w:t>名，截止报告期末公司现有董事</w:t>
      </w:r>
      <w:r>
        <w:rPr>
          <w:rFonts w:ascii="Times New Roman" w:hAnsi="Times New Roman" w:cs="Times New Roman" w:eastAsia="Times New Roman" w:hint="default"/>
          <w:spacing w:val="-2"/>
        </w:rPr>
        <w:t>10</w:t>
      </w:r>
      <w:r>
        <w:rPr>
          <w:spacing w:val="-2"/>
        </w:rPr>
        <w:t>名，其中独立董事</w:t>
      </w:r>
      <w:r>
        <w:rPr>
          <w:rFonts w:ascii="Times New Roman" w:hAnsi="Times New Roman" w:cs="Times New Roman" w:eastAsia="Times New Roman" w:hint="default"/>
          <w:spacing w:val="-2"/>
        </w:rPr>
        <w:t>4</w:t>
      </w:r>
      <w:r>
        <w:rPr>
          <w:spacing w:val="-2"/>
        </w:rPr>
        <w:t>名。公司选聘董事，董事</w:t>
      </w:r>
    </w:p>
    <w:p>
      <w:pPr>
        <w:pStyle w:val="BodyText"/>
        <w:spacing w:line="316" w:lineRule="auto"/>
        <w:ind w:right="1130"/>
        <w:jc w:val="both"/>
      </w:pPr>
      <w:r>
        <w:rPr>
          <w:spacing w:val="-2"/>
        </w:rPr>
        <w:t>会人数、构成及资格均符合法律、法规和《公司章程》的规定。报告期内，各位董事能够依据《深圳证券交易所创业板上市</w:t>
      </w:r>
      <w:r>
        <w:rPr>
          <w:spacing w:val="-71"/>
        </w:rPr>
        <w:t> </w:t>
      </w:r>
      <w:r>
        <w:rPr>
          <w:spacing w:val="-71"/>
        </w:rPr>
      </w:r>
      <w:r>
        <w:rPr>
          <w:spacing w:val="-2"/>
        </w:rPr>
        <w:t>公司规范运作指引》、《董事会议事规则》、《独立董事工作制度》等开展工作，出席董事会和股东大会，勤勉尽责地履行</w:t>
      </w:r>
      <w:r>
        <w:rPr>
          <w:spacing w:val="-69"/>
        </w:rPr>
        <w:t> </w:t>
      </w:r>
      <w:r>
        <w:rPr>
          <w:spacing w:val="-69"/>
        </w:rPr>
      </w:r>
      <w:r>
        <w:rPr>
          <w:spacing w:val="-2"/>
        </w:rPr>
        <w:t>职责和义务，同时积极参加相关培训，熟悉相关法律法规。董事会会议程序符合规定，会议记录完整、真实，会议相关信息</w:t>
      </w:r>
      <w:r>
        <w:rPr>
          <w:spacing w:val="-67"/>
        </w:rPr>
        <w:t> </w:t>
      </w:r>
      <w:r>
        <w:rPr>
          <w:spacing w:val="-67"/>
        </w:rPr>
      </w:r>
      <w:r>
        <w:rPr/>
        <w:t>披露及时、准确、充分。</w:t>
      </w:r>
    </w:p>
    <w:p>
      <w:pPr>
        <w:pStyle w:val="BodyText"/>
        <w:spacing w:line="316" w:lineRule="auto" w:before="19"/>
        <w:ind w:right="1050" w:firstLine="360"/>
        <w:jc w:val="both"/>
      </w:pPr>
      <w:r>
        <w:rPr/>
        <w:t>公司董事会下设战略委员会、提名委员会、薪酬与考核委员会和审计委员会，各委员会独立董事占比均超过二分之一， 提高了董事会履职能力和专业化程度，保障了董事会决策的科学性和规范性。</w:t>
      </w:r>
    </w:p>
    <w:p>
      <w:pPr>
        <w:pStyle w:val="BodyText"/>
        <w:spacing w:line="240" w:lineRule="auto" w:before="19"/>
        <w:ind w:left="1493" w:right="0"/>
        <w:jc w:val="left"/>
      </w:pPr>
      <w:r>
        <w:rPr/>
        <w:t>公司独立董事独立履行职责，不受公司控股股东、实际控制人以及其他与公司有利害关系的单位或个人影响。</w:t>
      </w:r>
    </w:p>
    <w:p>
      <w:pPr>
        <w:pStyle w:val="BodyText"/>
        <w:spacing w:line="316" w:lineRule="auto" w:before="76"/>
        <w:ind w:left="1493" w:right="0" w:hanging="360"/>
        <w:jc w:val="left"/>
      </w:pPr>
      <w:r>
        <w:rPr/>
        <w:t>（四）关于监事和监事会：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2</w:t>
      </w:r>
      <w:r>
        <w:rPr>
          <w:spacing w:val="-2"/>
        </w:rPr>
        <w:t>名，监事会的人数及人员构成符合法律、法规和《公司章程》的要求。各位监事</w:t>
      </w:r>
    </w:p>
    <w:p>
      <w:pPr>
        <w:pStyle w:val="BodyText"/>
        <w:spacing w:line="316" w:lineRule="auto"/>
        <w:ind w:right="0"/>
        <w:jc w:val="left"/>
      </w:pPr>
      <w:r>
        <w:rPr>
          <w:spacing w:val="-4"/>
        </w:rPr>
        <w:t>能够按照《监事会议事规则》的要求，认真履行自己的职责，本着对全体股东尤其是中小股东负责的精神，对公司重大事项、</w:t>
      </w:r>
      <w:r>
        <w:rPr>
          <w:spacing w:val="-44"/>
        </w:rPr>
        <w:t> </w:t>
      </w:r>
      <w:r>
        <w:rPr>
          <w:spacing w:val="-44"/>
        </w:rPr>
      </w:r>
      <w:r>
        <w:rPr>
          <w:spacing w:val="-2"/>
        </w:rPr>
        <w:t>关联交易、财务状况以及董事、高级管理人员履行职责的合法合规性进行监督，维护公司及股东的合法权益。公司也采取了</w:t>
      </w:r>
      <w:r>
        <w:rPr>
          <w:spacing w:val="-66"/>
        </w:rPr>
        <w:t> </w:t>
      </w:r>
      <w:r>
        <w:rPr>
          <w:spacing w:val="-66"/>
        </w:rPr>
      </w:r>
      <w:r>
        <w:rPr/>
        <w:t>有效过失保障监事的知情权，能够独立有效地行使对董事、经历和其他高级管理人员进行监督。</w:t>
      </w:r>
    </w:p>
    <w:p>
      <w:pPr>
        <w:pStyle w:val="BodyText"/>
        <w:spacing w:line="316" w:lineRule="auto" w:before="19"/>
        <w:ind w:left="1493" w:right="0" w:hanging="360"/>
        <w:jc w:val="left"/>
      </w:pPr>
      <w:r>
        <w:rPr/>
        <w:t>（五）关于绩效评价与激励约束机制： </w:t>
      </w:r>
      <w:r>
        <w:rPr>
          <w:spacing w:val="-2"/>
        </w:rPr>
        <w:t>公司董事会下设提名委员会、薪酬与考核委员，制定了薪酬管理制度和绩效考评管理办法，建立和完善公正、透明的董</w:t>
      </w:r>
    </w:p>
    <w:p>
      <w:pPr>
        <w:pStyle w:val="BodyText"/>
        <w:spacing w:line="319" w:lineRule="auto" w:before="19"/>
        <w:ind w:right="1131"/>
        <w:jc w:val="both"/>
      </w:pPr>
      <w:r>
        <w:rPr>
          <w:spacing w:val="-2"/>
        </w:rPr>
        <w:t>事、监事和高管人员的绩效评价标准和激励约束机制，公司经理人员的聘任公开、透明，符合法律法规的规定。公司董事会</w:t>
      </w:r>
      <w:r>
        <w:rPr>
          <w:spacing w:val="-66"/>
        </w:rPr>
        <w:t> </w:t>
      </w:r>
      <w:r>
        <w:rPr>
          <w:spacing w:val="-66"/>
        </w:rPr>
      </w:r>
      <w:r>
        <w:rPr>
          <w:spacing w:val="-2"/>
        </w:rPr>
        <w:t>下设的薪酬和考核委员会负责对公司的董事、监事、高管进行绩效考核，公司现有考核机制符合相关法律法规，同时符合公</w:t>
      </w:r>
      <w:r>
        <w:rPr>
          <w:spacing w:val="-66"/>
        </w:rPr>
        <w:t> </w:t>
      </w:r>
      <w:r>
        <w:rPr>
          <w:spacing w:val="-66"/>
        </w:rPr>
      </w:r>
      <w:r>
        <w:rPr/>
        <w:t>司发展情况。</w:t>
      </w:r>
    </w:p>
    <w:p>
      <w:pPr>
        <w:pStyle w:val="BodyText"/>
        <w:spacing w:line="316" w:lineRule="auto" w:before="17"/>
        <w:ind w:left="1494" w:right="0" w:hanging="360"/>
        <w:jc w:val="left"/>
      </w:pPr>
      <w:r>
        <w:rPr/>
        <w:t>（六）关于信息披露与透明度： </w:t>
      </w:r>
      <w:r>
        <w:rPr>
          <w:spacing w:val="-2"/>
        </w:rPr>
        <w:t>公司严格按照有关法律法规以及《公司章程》、《公司信息披露管理办法》等的要求，真实、准确、及时、公平、完整</w:t>
      </w:r>
    </w:p>
    <w:p>
      <w:pPr>
        <w:pStyle w:val="BodyText"/>
        <w:spacing w:line="240" w:lineRule="auto" w:before="19"/>
        <w:ind w:left="1134" w:right="0"/>
        <w:jc w:val="left"/>
      </w:pPr>
      <w:r>
        <w:rPr/>
        <w:t>地披露有关信息，并指定公司董事会秘书负责信息披露工作，协调公司与投资者的关系，接待股东来访，回答投资者咨询，</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向投资者提供公司已披露的资料；并指定《证券时报》、《上海证券报》、《中国证券报》、《证券日报》和巨潮资讯网网</w:t>
      </w:r>
    </w:p>
    <w:p>
      <w:pPr>
        <w:pStyle w:val="BodyText"/>
        <w:spacing w:line="300" w:lineRule="auto" w:before="76"/>
        <w:ind w:left="1134" w:right="1187"/>
        <w:jc w:val="left"/>
      </w:pPr>
      <w:r>
        <w:rPr/>
        <w:t>（</w:t>
      </w:r>
      <w:hyperlink r:id="rId12">
        <w:r>
          <w:rPr>
            <w:rFonts w:ascii="Times New Roman" w:hAnsi="Times New Roman" w:cs="Times New Roman" w:eastAsia="Times New Roman" w:hint="default"/>
          </w:rPr>
          <w:t>www.cninfo.com.cn</w:t>
        </w:r>
      </w:hyperlink>
      <w:r>
        <w:rPr/>
        <w:t>）为公司信息披露的指定报纸和网站，确保公司所有股东能够以平等的机会获得信息。同时，公司还</w:t>
      </w:r>
      <w:r>
        <w:rPr>
          <w:w w:val="99"/>
        </w:rPr>
        <w:t> </w:t>
      </w:r>
      <w:r>
        <w:rPr/>
        <w:t>根据《信息披露管理办法》的要求，加强与投资者的沟通，促进投资者对公司的了解和认同。</w:t>
      </w:r>
    </w:p>
    <w:p>
      <w:pPr>
        <w:pStyle w:val="BodyText"/>
        <w:spacing w:line="240" w:lineRule="auto" w:before="31"/>
        <w:ind w:right="0"/>
        <w:jc w:val="both"/>
      </w:pPr>
      <w:r>
        <w:rPr/>
        <w:t>（七）关于相关利益者：</w:t>
      </w:r>
    </w:p>
    <w:p>
      <w:pPr>
        <w:pStyle w:val="BodyText"/>
        <w:spacing w:line="300" w:lineRule="auto" w:before="77"/>
        <w:ind w:left="1134" w:right="1140" w:firstLine="360"/>
        <w:jc w:val="both"/>
      </w:pPr>
      <w:r>
        <w:rPr>
          <w:rFonts w:ascii="Times New Roman" w:hAnsi="Times New Roman" w:cs="Times New Roman" w:eastAsia="Times New Roman" w:hint="default"/>
        </w:rPr>
        <w:t>1</w:t>
      </w:r>
      <w:r>
        <w:rPr/>
        <w:t>、公司能够充分尊重和维护相关利益者的合法权益，实现股东、员工、社会等各方利益的协调平衡，共同推动公司持 续、健康的发展。</w:t>
      </w:r>
    </w:p>
    <w:p>
      <w:pPr>
        <w:pStyle w:val="BodyText"/>
        <w:spacing w:line="309" w:lineRule="auto" w:before="31"/>
        <w:ind w:left="1134" w:right="1133" w:firstLine="360"/>
        <w:jc w:val="both"/>
      </w:pPr>
      <w:r>
        <w:rPr>
          <w:rFonts w:ascii="Times New Roman" w:hAnsi="Times New Roman" w:cs="Times New Roman" w:eastAsia="Times New Roman" w:hint="default"/>
        </w:rPr>
        <w:t>2</w:t>
      </w:r>
      <w:r>
        <w:rPr/>
        <w:t>、投资者关系管理：报告期内，公司严格执行《投资者关系管理制度》等有关制度，认真做好投资者关系管理工作， </w:t>
      </w:r>
      <w:r>
        <w:rPr>
          <w:spacing w:val="-2"/>
        </w:rPr>
        <w:t>不断学习投资者关系管理经验，便于以更好的方式和途径使广大投资者能够平等地获取公司经营管理、未来发展等信息，构</w:t>
      </w:r>
      <w:r>
        <w:rPr>
          <w:spacing w:val="-66"/>
        </w:rPr>
        <w:t> </w:t>
      </w:r>
      <w:r>
        <w:rPr>
          <w:spacing w:val="-66"/>
        </w:rPr>
      </w:r>
      <w:r>
        <w:rPr/>
        <w:t>建与投资者的良好互动关系，树立公司在资本市场的规范形象。</w:t>
      </w:r>
    </w:p>
    <w:p>
      <w:pPr>
        <w:pStyle w:val="BodyText"/>
        <w:spacing w:line="309" w:lineRule="auto" w:before="24"/>
        <w:ind w:left="1134" w:right="1133" w:firstLine="360"/>
        <w:jc w:val="both"/>
      </w:pPr>
      <w:r>
        <w:rPr/>
        <w:t>（</w:t>
      </w:r>
      <w:r>
        <w:rPr>
          <w:rFonts w:ascii="Times New Roman" w:hAnsi="Times New Roman" w:cs="Times New Roman" w:eastAsia="Times New Roman" w:hint="default"/>
        </w:rPr>
        <w:t>1</w:t>
      </w:r>
      <w:r>
        <w:rPr/>
        <w:t>）公司制定董事会秘书作为投资者关系管理的负责人，负责投资者来访接待工作，合理、妥善地安排个人投资者、 </w:t>
      </w:r>
      <w:r>
        <w:rPr>
          <w:spacing w:val="-2"/>
        </w:rPr>
        <w:t>机构投资者、分析师等相关人员到公司进行调研，做好调研的会议记录和相关信息的保密工作，并对调研会议记录进行存档</w:t>
      </w:r>
      <w:r>
        <w:rPr>
          <w:spacing w:val="-66"/>
        </w:rPr>
        <w:t> </w:t>
      </w:r>
      <w:r>
        <w:rPr>
          <w:spacing w:val="-66"/>
        </w:rPr>
      </w:r>
      <w:r>
        <w:rPr/>
        <w:t>保管及向深圳证券交易所报备。</w:t>
      </w:r>
    </w:p>
    <w:p>
      <w:pPr>
        <w:pStyle w:val="BodyText"/>
        <w:spacing w:line="300" w:lineRule="auto" w:before="24"/>
        <w:ind w:right="1141" w:firstLine="360"/>
        <w:jc w:val="both"/>
      </w:pPr>
      <w:r>
        <w:rPr/>
        <w:t>（</w:t>
      </w:r>
      <w:r>
        <w:rPr>
          <w:rFonts w:ascii="Times New Roman" w:hAnsi="Times New Roman" w:cs="Times New Roman" w:eastAsia="Times New Roman" w:hint="default"/>
        </w:rPr>
        <w:t>2</w:t>
      </w:r>
      <w:r>
        <w:rPr/>
        <w:t>）通过公司网站、投资者关系管理电话、电子信箱、互动平台等多种渠道与投资者加强沟通，尽可能地解答投资者 的疑问。</w:t>
      </w:r>
    </w:p>
    <w:p>
      <w:pPr>
        <w:pStyle w:val="BodyText"/>
        <w:spacing w:line="316" w:lineRule="auto" w:before="31"/>
        <w:ind w:left="1493" w:right="0" w:hanging="360"/>
        <w:jc w:val="left"/>
      </w:pPr>
      <w:r>
        <w:rPr/>
        <w:t>（八）内部审计制度的建立和执行情况 </w:t>
      </w:r>
      <w:r>
        <w:rPr>
          <w:spacing w:val="-2"/>
        </w:rPr>
        <w:t>为加强内部控制活动的监督和评价，有效控制风险，保证公司资产的安全与完整，董事会下设审计委员会，负责全面审</w:t>
      </w:r>
    </w:p>
    <w:p>
      <w:pPr>
        <w:pStyle w:val="BodyText"/>
        <w:spacing w:line="316" w:lineRule="auto" w:before="19"/>
        <w:ind w:right="1130"/>
        <w:jc w:val="both"/>
      </w:pPr>
      <w:r>
        <w:rPr>
          <w:spacing w:val="-2"/>
        </w:rPr>
        <w:t>查和监督公司的财务报告、内部审计方案及内部控制的有效性，审阅和审查财务、经营、合规、风险管理情况。公司设置内</w:t>
      </w:r>
      <w:r>
        <w:rPr>
          <w:spacing w:val="-67"/>
        </w:rPr>
        <w:t> </w:t>
      </w:r>
      <w:r>
        <w:rPr>
          <w:spacing w:val="-67"/>
        </w:rPr>
      </w:r>
      <w:r>
        <w:rPr>
          <w:spacing w:val="-2"/>
        </w:rPr>
        <w:t>部审计部门，建立了内部审计制度，配备专职审计人员，对审计委员会负责，向审计委员会报告工作。内部审计部对公司财</w:t>
      </w:r>
      <w:r>
        <w:rPr>
          <w:spacing w:val="-66"/>
        </w:rPr>
        <w:t> </w:t>
      </w:r>
      <w:r>
        <w:rPr>
          <w:spacing w:val="-66"/>
        </w:rPr>
      </w:r>
      <w:r>
        <w:rPr>
          <w:spacing w:val="-2"/>
        </w:rPr>
        <w:t>务信息及内部控制制度的建立和实施等进行检查和监督，对公司对外担保、关联交易等行为进行重点审计，及时向审计委员</w:t>
      </w:r>
      <w:r>
        <w:rPr>
          <w:spacing w:val="-66"/>
        </w:rPr>
        <w:t> </w:t>
      </w:r>
      <w:r>
        <w:rPr>
          <w:spacing w:val="-66"/>
        </w:rPr>
      </w:r>
      <w:r>
        <w:rPr/>
        <w:t>会提交工作计划并汇报审计工作报告，就审计过程中发现的问题进行督促整改。</w:t>
      </w:r>
    </w:p>
    <w:p>
      <w:pPr>
        <w:pStyle w:val="BodyText"/>
        <w:spacing w:line="316" w:lineRule="auto" w:before="19"/>
        <w:ind w:left="1493" w:right="0" w:hanging="360"/>
        <w:jc w:val="left"/>
      </w:pPr>
      <w:r>
        <w:rPr/>
        <w:t>（九）公司董事履职情况 </w:t>
      </w:r>
      <w:r>
        <w:rPr>
          <w:spacing w:val="-2"/>
        </w:rPr>
        <w:t>报告期内，公司全体董事严格按照《公司法》、《证券法》、《深圳证券交易所创业板上市公司规范运作指引》、《上</w:t>
      </w:r>
    </w:p>
    <w:p>
      <w:pPr>
        <w:pStyle w:val="BodyText"/>
        <w:spacing w:line="316" w:lineRule="auto" w:before="19"/>
        <w:ind w:right="1131"/>
        <w:jc w:val="both"/>
      </w:pPr>
      <w:r>
        <w:rPr>
          <w:spacing w:val="-2"/>
        </w:rPr>
        <w:t>市公司治理准则》及《公司章程》等法律、法规及规章制度的规定和要求，履行董事职责，遵守董事行为规范，积极参加相</w:t>
      </w:r>
      <w:r>
        <w:rPr>
          <w:spacing w:val="-72"/>
        </w:rPr>
        <w:t> </w:t>
      </w:r>
      <w:r>
        <w:rPr>
          <w:spacing w:val="-72"/>
        </w:rPr>
      </w:r>
      <w:r>
        <w:rPr>
          <w:spacing w:val="-2"/>
        </w:rPr>
        <w:t>关培训，提高自身经营决策水平，发挥各自的专业所长，积极履行职责，董事在董事会会议投票表决重大事项或其他对公司</w:t>
      </w:r>
      <w:r>
        <w:rPr>
          <w:spacing w:val="-66"/>
        </w:rPr>
        <w:t> </w:t>
      </w:r>
      <w:r>
        <w:rPr>
          <w:spacing w:val="-66"/>
        </w:rPr>
      </w:r>
      <w:r>
        <w:rPr>
          <w:spacing w:val="-2"/>
        </w:rPr>
        <w:t>有重大影响的事项时，严格遵循公司董事会议事规则的有关审议事项，审慎决策，切实保护公司和股东特别是社会公众股东</w:t>
      </w:r>
      <w:r>
        <w:rPr>
          <w:spacing w:val="-66"/>
        </w:rPr>
        <w:t> </w:t>
      </w:r>
      <w:r>
        <w:rPr>
          <w:spacing w:val="-66"/>
        </w:rPr>
      </w:r>
      <w:r>
        <w:rPr/>
        <w:t>的利益。</w:t>
      </w:r>
    </w:p>
    <w:p>
      <w:pPr>
        <w:pStyle w:val="BodyText"/>
        <w:spacing w:line="240" w:lineRule="auto" w:before="19"/>
        <w:ind w:right="0"/>
        <w:jc w:val="both"/>
      </w:pPr>
      <w:r>
        <w:rPr/>
        <w:t>（十）其他</w:t>
      </w:r>
    </w:p>
    <w:p>
      <w:pPr>
        <w:pStyle w:val="BodyText"/>
        <w:spacing w:line="300" w:lineRule="auto" w:before="76"/>
        <w:ind w:right="1051" w:firstLine="360"/>
        <w:jc w:val="both"/>
      </w:pPr>
      <w:r>
        <w:rPr>
          <w:rFonts w:ascii="Times New Roman" w:hAnsi="Times New Roman" w:cs="Times New Roman" w:eastAsia="Times New Roman" w:hint="default"/>
        </w:rPr>
        <w:t>2017</w:t>
      </w:r>
      <w:r>
        <w:rPr/>
        <w:t>年公司未受到中国证监会、深圳证券交易所就公司内控存在问题的处分，公司内部控制方面没有亟待整改的问题。 今后公司将进一步优化和完善公司的内控制度。</w:t>
      </w:r>
    </w:p>
    <w:p>
      <w:pPr>
        <w:pStyle w:val="BodyText"/>
        <w:spacing w:line="240" w:lineRule="auto" w:before="72"/>
        <w:ind w:right="0"/>
        <w:jc w:val="both"/>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二、公司相对于控股股东在业务、人员、资产、机构、财务等方面的独立情况" w:id="135"/>
      <w:bookmarkEnd w:id="135"/>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公司严格按照《公司法》、《证券法》等有关法律、法规和《公司章程》的要求规范运作，在业务、资产、人员、机构、财</w:t>
      </w:r>
      <w:r>
        <w:rPr>
          <w:spacing w:val="-66"/>
        </w:rPr>
        <w:t> </w:t>
      </w:r>
      <w:r>
        <w:rPr>
          <w:spacing w:val="-66"/>
        </w:rPr>
      </w:r>
      <w:r>
        <w:rPr/>
        <w:t>务等方面一直独立于控股股东及其他关联方，具备完整的业务体系及直接面向市场独立经营的能力。</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三、同业竞争情况" w:id="136"/>
      <w:bookmarkEnd w:id="136"/>
      <w:r>
        <w:rPr>
          <w:b w:val="0"/>
          <w:bCs w:val="0"/>
        </w:rPr>
      </w:r>
      <w:r>
        <w:rPr/>
        <w:t>三、同业竞争情况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四、报告期内召开的年度股东大会和临时股东大会的有关情况" w:id="137"/>
      <w:bookmarkEnd w:id="137"/>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8"/>
      <w:bookmarkEnd w:id="138"/>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2017-027</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2017-051</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表决权恢复的优先股股东请求召开临时股东大会" w:id="139"/>
      <w:bookmarkEnd w:id="139"/>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40"/>
      <w:bookmarkEnd w:id="140"/>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41"/>
      <w:bookmarkEnd w:id="141"/>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陈南梁</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吴伟明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易颜新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尹建平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left="1134" w:right="0"/>
        <w:jc w:val="left"/>
      </w:pPr>
      <w:r>
        <w:rPr/>
        <w:t>连续两次未亲自出席董事会的说明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2、独立董事对公司有关事项提出异议的情况" w:id="142"/>
      <w:bookmarkEnd w:id="142"/>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独立董事对公司有关事项是否提出异议</w:t>
      </w:r>
    </w:p>
    <w:p>
      <w:pPr>
        <w:pStyle w:val="BodyText"/>
        <w:spacing w:line="338" w:lineRule="auto" w:before="117"/>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独立董事履行职责的其他说明" w:id="143"/>
      <w:bookmarkEnd w:id="143"/>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7"/>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1"/>
        <w:ind w:right="0" w:firstLine="360"/>
        <w:jc w:val="left"/>
      </w:pPr>
      <w:r>
        <w:rPr>
          <w:spacing w:val="-2"/>
        </w:rPr>
        <w:t>公司独立董事勤勉尽责，严格按照中国证监会的相关规定及公司制度开展工作，关注公司运作，独立履行职责，对公司</w:t>
      </w:r>
      <w:r>
        <w:rPr/>
        <w:t> </w:t>
      </w:r>
      <w:r>
        <w:rPr>
          <w:spacing w:val="-2"/>
        </w:rPr>
        <w:t>内部控制建设、管理体系建设、人才梯队建设和重大决策等方面提出了很多宝贵的专业性建议，对公司财务及生产经营活动</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进行了有效监督，提高了公司决策的科学性，为完善公司监督机制，维护公司和全体股东的合法权益发挥了应有的作用。</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六、董事会下设专门委员会在报告期内履行职责情况" w:id="144"/>
      <w:bookmarkEnd w:id="144"/>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494" w:right="0"/>
        <w:jc w:val="left"/>
      </w:pPr>
      <w:r>
        <w:rPr>
          <w:spacing w:val="-4"/>
        </w:rPr>
        <w:t>公司董事会下设审计委员会、提名委员会、薪酬与考核委员会、战略委员会。各专门委员会在报告期内的履职情况如下：</w:t>
      </w:r>
      <w:r>
        <w:rPr>
          <w:spacing w:val="-54"/>
        </w:rPr>
        <w:t> </w:t>
      </w:r>
      <w:r>
        <w:rPr>
          <w:spacing w:val="-54"/>
        </w:rPr>
      </w:r>
      <w:r>
        <w:rPr>
          <w:rFonts w:ascii="Times New Roman" w:hAnsi="Times New Roman" w:cs="Times New Roman" w:eastAsia="Times New Roman" w:hint="default"/>
        </w:rPr>
        <w:t>1</w:t>
      </w:r>
      <w:r>
        <w:rPr/>
        <w:t>、审计委员会的履职情况： </w:t>
      </w:r>
      <w:r>
        <w:rPr>
          <w:spacing w:val="-2"/>
        </w:rPr>
        <w:t>根据公司相关细则，审计委员会充分发挥了审核与监督作用，主要负责公司财务监督和核查工作及与外部审计机构的沟</w:t>
      </w:r>
    </w:p>
    <w:p>
      <w:pPr>
        <w:pStyle w:val="BodyText"/>
        <w:spacing w:line="316" w:lineRule="auto" w:before="24"/>
        <w:ind w:left="1134" w:right="0"/>
        <w:jc w:val="left"/>
      </w:pPr>
      <w:r>
        <w:rPr>
          <w:spacing w:val="-2"/>
        </w:rPr>
        <w:t>通、协调工作。审计委员会就会计师事务所从事公司年度审计的工作进行了总结评价，并就审计过程中发现的问题与相关人</w:t>
      </w:r>
      <w:r>
        <w:rPr>
          <w:spacing w:val="-66"/>
        </w:rPr>
        <w:t> </w:t>
      </w:r>
      <w:r>
        <w:rPr>
          <w:spacing w:val="-66"/>
        </w:rPr>
      </w:r>
      <w:r>
        <w:rPr/>
        <w:t>员进行有效沟通。同时，审计委员会审议审计部提交的审计计划及总结，切实履行了审计委员会工作职责。</w:t>
      </w:r>
    </w:p>
    <w:p>
      <w:pPr>
        <w:pStyle w:val="BodyText"/>
        <w:spacing w:line="309" w:lineRule="auto" w:before="19"/>
        <w:ind w:left="1494" w:right="5532"/>
        <w:jc w:val="left"/>
      </w:pPr>
      <w:r>
        <w:rPr>
          <w:rFonts w:ascii="Times New Roman" w:hAnsi="Times New Roman" w:cs="Times New Roman" w:eastAsia="Times New Roman" w:hint="default"/>
        </w:rPr>
        <w:t>2</w:t>
      </w:r>
      <w:r>
        <w:rPr/>
        <w:t>、提名委员会履职情况： 报告期，董事会提名委员会依照相关法规，积极履行了职责。 </w:t>
      </w:r>
      <w:r>
        <w:rPr>
          <w:rFonts w:ascii="Times New Roman" w:hAnsi="Times New Roman" w:cs="Times New Roman" w:eastAsia="Times New Roman" w:hint="default"/>
        </w:rPr>
        <w:t>3</w:t>
      </w:r>
      <w:r>
        <w:rPr/>
        <w:t>、薪酬与考核委员会履职情况：</w:t>
      </w:r>
    </w:p>
    <w:p>
      <w:pPr>
        <w:pStyle w:val="BodyText"/>
        <w:spacing w:line="316" w:lineRule="auto" w:before="5"/>
        <w:ind w:right="0" w:firstLine="360"/>
        <w:jc w:val="left"/>
      </w:pPr>
      <w:r>
        <w:rPr>
          <w:spacing w:val="-2"/>
        </w:rPr>
        <w:t>报告期，薪酬与考核委员会对公司上年度董事和高级管理人员薪酬等事项进行了讨论与审议，认为上年度绩效考核体现</w:t>
      </w:r>
      <w:r>
        <w:rPr/>
        <w:t> 了公平原则，公司董事及高级管理人员的薪酬发放符合公司薪酬管理制度的规定。</w:t>
      </w:r>
    </w:p>
    <w:p>
      <w:pPr>
        <w:pStyle w:val="BodyText"/>
        <w:spacing w:line="300" w:lineRule="auto" w:before="19"/>
        <w:ind w:left="1494" w:right="0"/>
        <w:jc w:val="left"/>
      </w:pPr>
      <w:r>
        <w:rPr>
          <w:rFonts w:ascii="Times New Roman" w:hAnsi="Times New Roman" w:cs="Times New Roman" w:eastAsia="Times New Roman" w:hint="default"/>
        </w:rPr>
        <w:t>4</w:t>
      </w:r>
      <w:r>
        <w:rPr/>
        <w:t>、战略委员会履职情况： </w:t>
      </w:r>
      <w:r>
        <w:rPr>
          <w:spacing w:val="-2"/>
        </w:rPr>
        <w:t>报告期，董事会战略委员会根据相关细则的规定，对公司战略执行情况进行回顾总结。同时，战略委员会结合公司所处</w:t>
      </w:r>
    </w:p>
    <w:p>
      <w:pPr>
        <w:pStyle w:val="BodyText"/>
        <w:spacing w:line="240" w:lineRule="auto" w:before="31"/>
        <w:ind w:left="1134" w:right="0"/>
        <w:jc w:val="left"/>
      </w:pPr>
      <w:r>
        <w:rPr/>
        <w:t>行业发展情况及公司自身发展状况，对公司长期发展战略和重大投资决策进行审议并提出建议。</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七、监事会工作情况" w:id="145"/>
      <w:bookmarkEnd w:id="145"/>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6"/>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6"/>
      <w:bookmarkEnd w:id="146"/>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公司建立了完善的高级管理人员绩效考评体系和薪酬制度，公司董事会下设薪酬与考核委员会，公司高级管理人员报酬</w:t>
      </w:r>
      <w:r>
        <w:rPr/>
        <w:t> </w:t>
      </w:r>
      <w:r>
        <w:rPr>
          <w:spacing w:val="-4"/>
        </w:rPr>
        <w:t>由薪酬委员会提出，经董事会审议批准后决定。公司建立了高级管理人员的薪酬与公司业绩挂钩的绩效考核与激励约束机制，</w:t>
      </w:r>
      <w:r>
        <w:rPr>
          <w:spacing w:val="-44"/>
        </w:rPr>
        <w:t> </w:t>
      </w:r>
      <w:r>
        <w:rPr>
          <w:spacing w:val="-44"/>
        </w:rPr>
      </w:r>
      <w:r>
        <w:rPr/>
        <w:t>公司高级管理人员实行基本薪酬和年终绩效考核相结合的薪酬制度，有利于有效调动管理层的积极性。</w:t>
      </w:r>
    </w:p>
    <w:p>
      <w:pPr>
        <w:pStyle w:val="BodyText"/>
        <w:spacing w:line="316" w:lineRule="auto" w:before="19"/>
        <w:ind w:right="1132" w:firstLine="360"/>
        <w:jc w:val="both"/>
      </w:pPr>
      <w:r>
        <w:rPr>
          <w:spacing w:val="-2"/>
        </w:rPr>
        <w:t>公司将积极探索与现代企业制度相适应的考评及激励机制，体现高级管理人员的管理价值贡献导向，以调动高级管理人</w:t>
      </w:r>
      <w:r>
        <w:rPr/>
        <w:t> </w:t>
      </w:r>
      <w:r>
        <w:rPr>
          <w:spacing w:val="-2"/>
        </w:rPr>
        <w:t>员的积极性、主动性与创造性，提升企业核心竞争力，以确保公司经营目标的实现，改善并提高企业经营管理水平，促进企</w:t>
      </w:r>
      <w:r>
        <w:rPr>
          <w:spacing w:val="-66"/>
        </w:rPr>
        <w:t> </w:t>
      </w:r>
      <w:r>
        <w:rPr>
          <w:spacing w:val="-66"/>
        </w:rPr>
      </w:r>
      <w:r>
        <w:rPr/>
        <w:t>业效益持续稳定增长。</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九、内部控制评价报告" w:id="147"/>
      <w:bookmarkEnd w:id="147"/>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8"/>
      <w:bookmarkEnd w:id="148"/>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49"/>
      <w:bookmarkEnd w:id="149"/>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3183"/>
        <w:gridCol w:w="3335"/>
        <w:gridCol w:w="3051"/>
      </w:tblGrid>
      <w:tr>
        <w:trPr>
          <w:trHeight w:val="714"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501"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5" w:type="dxa"/>
            <w:vMerge w:val="restart"/>
            <w:tcBorders>
              <w:top w:val="single" w:sz="4" w:space="0" w:color="000000"/>
              <w:left w:val="single" w:sz="9" w:space="0" w:color="D2D2D2"/>
              <w:right w:val="single" w:sz="4" w:space="0" w:color="000000"/>
            </w:tcBorders>
          </w:tcPr>
          <w:p>
            <w:pPr>
              <w:pStyle w:val="TableParagraph"/>
              <w:spacing w:line="309" w:lineRule="auto" w:before="51"/>
              <w:ind w:left="28" w:right="48"/>
              <w:jc w:val="both"/>
              <w:rPr>
                <w:rFonts w:ascii="宋体" w:hAnsi="宋体" w:cs="宋体" w:eastAsia="宋体" w:hint="default"/>
                <w:sz w:val="18"/>
                <w:szCs w:val="18"/>
              </w:rPr>
            </w:pPr>
            <w:r>
              <w:rPr>
                <w:rFonts w:ascii="宋体" w:hAnsi="宋体" w:cs="宋体" w:eastAsia="宋体" w:hint="default"/>
                <w:spacing w:val="-5"/>
                <w:sz w:val="18"/>
                <w:szCs w:val="18"/>
              </w:rPr>
              <w:t>重大缺陷的迹象包括：（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）公司董事、监</w:t>
            </w:r>
            <w:r>
              <w:rPr>
                <w:rFonts w:ascii="宋体" w:hAnsi="宋体" w:cs="宋体" w:eastAsia="宋体" w:hint="default"/>
                <w:spacing w:val="-85"/>
                <w:sz w:val="18"/>
                <w:szCs w:val="18"/>
              </w:rPr>
              <w:t> </w:t>
            </w:r>
            <w:r>
              <w:rPr>
                <w:rFonts w:ascii="宋体" w:hAnsi="宋体" w:cs="宋体" w:eastAsia="宋体" w:hint="default"/>
                <w:spacing w:val="-5"/>
                <w:sz w:val="18"/>
                <w:szCs w:val="18"/>
              </w:rPr>
              <w:t>事和高级管理人员的舞弊行为；（</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w:t>
            </w:r>
            <w:r>
              <w:rPr>
                <w:rFonts w:ascii="宋体" w:hAnsi="宋体" w:cs="宋体" w:eastAsia="宋体" w:hint="default"/>
                <w:spacing w:val="-85"/>
                <w:sz w:val="18"/>
                <w:szCs w:val="18"/>
              </w:rPr>
              <w:t> </w:t>
            </w:r>
            <w:r>
              <w:rPr>
                <w:rFonts w:ascii="宋体" w:hAnsi="宋体" w:cs="宋体" w:eastAsia="宋体" w:hint="default"/>
                <w:spacing w:val="-5"/>
                <w:sz w:val="18"/>
                <w:szCs w:val="18"/>
              </w:rPr>
              <w:t>更正已公布的财务报告；（</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）注册会计师</w:t>
            </w:r>
            <w:r>
              <w:rPr>
                <w:rFonts w:ascii="宋体" w:hAnsi="宋体" w:cs="宋体" w:eastAsia="宋体" w:hint="default"/>
                <w:spacing w:val="-85"/>
                <w:sz w:val="18"/>
                <w:szCs w:val="18"/>
              </w:rPr>
              <w:t> </w:t>
            </w:r>
            <w:r>
              <w:rPr>
                <w:rFonts w:ascii="宋体" w:hAnsi="宋体" w:cs="宋体" w:eastAsia="宋体" w:hint="default"/>
                <w:sz w:val="18"/>
                <w:szCs w:val="18"/>
              </w:rPr>
              <w:t>发现的却未被公司内部控制识别的当期财 </w:t>
            </w:r>
            <w:r>
              <w:rPr>
                <w:rFonts w:ascii="宋体" w:hAnsi="宋体" w:cs="宋体" w:eastAsia="宋体" w:hint="default"/>
                <w:spacing w:val="-5"/>
                <w:sz w:val="18"/>
                <w:szCs w:val="18"/>
              </w:rPr>
              <w:t>务报告中的重大错报；（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）审计委员会和</w:t>
            </w:r>
            <w:r>
              <w:rPr>
                <w:rFonts w:ascii="宋体" w:hAnsi="宋体" w:cs="宋体" w:eastAsia="宋体" w:hint="default"/>
                <w:spacing w:val="-85"/>
                <w:sz w:val="18"/>
                <w:szCs w:val="18"/>
              </w:rPr>
              <w:t> </w:t>
            </w:r>
            <w:r>
              <w:rPr>
                <w:rFonts w:ascii="宋体" w:hAnsi="宋体" w:cs="宋体" w:eastAsia="宋体" w:hint="default"/>
                <w:sz w:val="18"/>
                <w:szCs w:val="18"/>
              </w:rPr>
              <w:t>审计部门对公司的对外财务报告和财务报 告内部控制监督无效。 重要缺陷的迹 </w:t>
            </w:r>
            <w:r>
              <w:rPr>
                <w:rFonts w:ascii="宋体" w:hAnsi="宋体" w:cs="宋体" w:eastAsia="宋体" w:hint="default"/>
                <w:spacing w:val="-5"/>
                <w:sz w:val="18"/>
                <w:szCs w:val="18"/>
              </w:rPr>
              <w:t>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）未依照公认会计准则选择和</w:t>
            </w:r>
            <w:r>
              <w:rPr>
                <w:rFonts w:ascii="宋体" w:hAnsi="宋体" w:cs="宋体" w:eastAsia="宋体" w:hint="default"/>
                <w:spacing w:val="-85"/>
                <w:sz w:val="18"/>
                <w:szCs w:val="18"/>
              </w:rPr>
              <w:t> </w:t>
            </w:r>
            <w:r>
              <w:rPr>
                <w:rFonts w:ascii="宋体" w:hAnsi="宋体" w:cs="宋体" w:eastAsia="宋体" w:hint="default"/>
                <w:spacing w:val="-5"/>
                <w:sz w:val="18"/>
                <w:szCs w:val="18"/>
              </w:rPr>
              <w:t>应用会计政策；（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）未建立反舞弊程序和</w:t>
            </w:r>
            <w:r>
              <w:rPr>
                <w:rFonts w:ascii="宋体" w:hAnsi="宋体" w:cs="宋体" w:eastAsia="宋体" w:hint="default"/>
                <w:spacing w:val="-85"/>
                <w:sz w:val="18"/>
                <w:szCs w:val="18"/>
              </w:rPr>
              <w:t> </w:t>
            </w:r>
            <w:r>
              <w:rPr>
                <w:rFonts w:ascii="宋体" w:hAnsi="宋体" w:cs="宋体" w:eastAsia="宋体" w:hint="default"/>
                <w:spacing w:val="-5"/>
                <w:sz w:val="18"/>
                <w:szCs w:val="18"/>
              </w:rPr>
              <w:t>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）对于非常规或特殊交易的</w:t>
            </w:r>
            <w:r>
              <w:rPr>
                <w:rFonts w:ascii="宋体" w:hAnsi="宋体" w:cs="宋体" w:eastAsia="宋体" w:hint="default"/>
                <w:spacing w:val="-85"/>
                <w:sz w:val="18"/>
                <w:szCs w:val="18"/>
              </w:rPr>
              <w:t> </w:t>
            </w:r>
            <w:r>
              <w:rPr>
                <w:rFonts w:ascii="宋体" w:hAnsi="宋体" w:cs="宋体" w:eastAsia="宋体" w:hint="default"/>
                <w:sz w:val="18"/>
                <w:szCs w:val="18"/>
              </w:rPr>
              <w:t>账务处理没有建立相应的控制机制或没有 </w:t>
            </w:r>
            <w:r>
              <w:rPr>
                <w:rFonts w:ascii="宋体" w:hAnsi="宋体" w:cs="宋体" w:eastAsia="宋体" w:hint="default"/>
                <w:spacing w:val="-5"/>
                <w:sz w:val="18"/>
                <w:szCs w:val="18"/>
              </w:rPr>
              <w:t>实施且没有相应的补偿性控制；（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w:t>
            </w:r>
            <w:r>
              <w:rPr>
                <w:rFonts w:ascii="宋体" w:hAnsi="宋体" w:cs="宋体" w:eastAsia="宋体" w:hint="default"/>
                <w:spacing w:val="-85"/>
                <w:sz w:val="18"/>
                <w:szCs w:val="18"/>
              </w:rPr>
              <w:t> </w:t>
            </w:r>
            <w:r>
              <w:rPr>
                <w:rFonts w:ascii="宋体" w:hAnsi="宋体" w:cs="宋体" w:eastAsia="宋体" w:hint="default"/>
                <w:sz w:val="18"/>
                <w:szCs w:val="18"/>
              </w:rPr>
              <w:t>期末财务报告过程的控制存在一项或多项 缺陷且不能合理保证编制的财务报表达到 真实、完整的目标。 一般缺陷是指除 上述重大缺陷、重要缺陷之外的其他控制 缺陷。</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4"/>
              <w:ind w:left="22" w:right="21"/>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性作判定。如果缺陷发生的可能性较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 如果缺陷发生的可能性较 </w:t>
            </w:r>
            <w:r>
              <w:rPr>
                <w:rFonts w:ascii="宋体" w:hAnsi="宋体" w:cs="宋体" w:eastAsia="宋体" w:hint="default"/>
                <w:spacing w:val="-4"/>
                <w:sz w:val="18"/>
                <w:szCs w:val="18"/>
              </w:rPr>
              <w:t>高，会显著降低工作效率或效果、或显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著加大效果的不确定性、或使之显著偏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离预期目标为重要缺陷；如果缺陷发生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的可能性高，会严重降低工作效率或效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果、或严重加大效果的不确定性、或使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之严重偏离预期目标为重大缺陷。</w:t>
            </w:r>
          </w:p>
        </w:tc>
      </w:tr>
      <w:tr>
        <w:trPr>
          <w:trHeight w:val="392"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5"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501"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5"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1097"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5" w:type="dxa"/>
            <w:vMerge w:val="restart"/>
            <w:tcBorders>
              <w:top w:val="single" w:sz="4" w:space="0" w:color="000000"/>
              <w:left w:val="single" w:sz="9" w:space="0" w:color="D2D2D2"/>
              <w:right w:val="single" w:sz="4" w:space="0" w:color="000000"/>
            </w:tcBorders>
          </w:tcPr>
          <w:p>
            <w:pPr>
              <w:pStyle w:val="TableParagraph"/>
              <w:tabs>
                <w:tab w:pos="1978" w:val="left" w:leader="none"/>
              </w:tabs>
              <w:spacing w:line="309" w:lineRule="auto" w:before="51"/>
              <w:ind w:left="28" w:right="35"/>
              <w:jc w:val="left"/>
              <w:rPr>
                <w:rFonts w:ascii="宋体" w:hAnsi="宋体" w:cs="宋体" w:eastAsia="宋体" w:hint="default"/>
                <w:sz w:val="18"/>
                <w:szCs w:val="18"/>
              </w:rPr>
            </w:pPr>
            <w:r>
              <w:rPr>
                <w:rFonts w:ascii="宋体" w:hAnsi="宋体" w:cs="宋体" w:eastAsia="宋体" w:hint="default"/>
                <w:sz w:val="18"/>
                <w:szCs w:val="18"/>
              </w:rPr>
              <w:t>本公司以利润总额的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作为财务报表整 体重要性水平，当潜在错报大于或等于财 务报表整体重要性水平时为重大缺陷。 当潜在错报小于财务报表整体重要性水平 大于或等于财务报表整体重要性水平的 </w:t>
            </w:r>
            <w:r>
              <w:rPr>
                <w:rFonts w:ascii="Times New Roman" w:hAnsi="Times New Roman" w:cs="Times New Roman" w:eastAsia="Times New Roman" w:hint="default"/>
                <w:sz w:val="18"/>
                <w:szCs w:val="18"/>
              </w:rPr>
              <w:t>60%</w:t>
            </w:r>
            <w:r>
              <w:rPr>
                <w:rFonts w:ascii="宋体" w:hAnsi="宋体" w:cs="宋体" w:eastAsia="宋体" w:hint="default"/>
                <w:sz w:val="18"/>
                <w:szCs w:val="18"/>
              </w:rPr>
              <w:t>时为重要缺陷。</w:t>
              <w:tab/>
              <w:t>当潜在错报小于 财务报表整体重要性水平的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时为一般 缺陷。</w:t>
            </w:r>
          </w:p>
        </w:tc>
        <w:tc>
          <w:tcPr>
            <w:tcW w:w="3051" w:type="dxa"/>
            <w:vMerge w:val="restart"/>
            <w:tcBorders>
              <w:top w:val="single" w:sz="4" w:space="0" w:color="000000"/>
              <w:left w:val="single" w:sz="4" w:space="0" w:color="000000"/>
              <w:right w:val="single" w:sz="4" w:space="0" w:color="000000"/>
            </w:tcBorders>
          </w:tcPr>
          <w:p>
            <w:pPr>
              <w:pStyle w:val="TableParagraph"/>
              <w:tabs>
                <w:tab w:pos="858" w:val="left" w:leader="none"/>
              </w:tabs>
              <w:spacing w:line="31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本公司以利润总额的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作为财务报表 </w:t>
            </w:r>
            <w:r>
              <w:rPr>
                <w:rFonts w:ascii="宋体" w:hAnsi="宋体" w:cs="宋体" w:eastAsia="宋体" w:hint="default"/>
                <w:spacing w:val="-4"/>
                <w:sz w:val="18"/>
                <w:szCs w:val="18"/>
              </w:rPr>
              <w:t>整体重要性水平，当潜在错报大于或等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于财务报表整体重要性水平时为重大 缺陷。</w:t>
              <w:tab/>
              <w:t>当潜在错报小于财务报表整 体重要性水平大于或等于财务报表整 体重要性水平的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时为重要缺陷。 当潜在错报小于财务报表整体重要性 水平的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时为一般缺陷。</w:t>
            </w:r>
          </w:p>
        </w:tc>
      </w:tr>
      <w:tr>
        <w:trPr>
          <w:trHeight w:val="392"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097"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5"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十、内部控制审计报告或鉴证报告" w:id="150"/>
      <w:bookmarkEnd w:id="150"/>
      <w:r>
        <w:rPr>
          <w:b w:val="0"/>
          <w:bCs w:val="0"/>
        </w:rPr>
      </w:r>
      <w:r>
        <w:rPr/>
        <w:t>十、内部控制审计报告或鉴证报告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362"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pacing w:val="-1"/>
                <w:sz w:val="18"/>
                <w:szCs w:val="18"/>
              </w:rPr>
              <w:t>一、重大固有限制的说明内部控制具有固有限制，存在由于错误或舞弊而导致错报发生且未被发现的可能性。此外，由于</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before="44"/>
        <w:ind w:left="0" w:right="1140"/>
        <w:jc w:val="right"/>
      </w:pPr>
      <w:r>
        <w:rPr/>
        <w:pict>
          <v:shape style="position:absolute;margin-left:56.459999pt;margin-top:-45.608307pt;width:479.2pt;height:290.7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2"/>
                    <w:gridCol w:w="6907"/>
                  </w:tblGrid>
                  <w:tr>
                    <w:trPr>
                      <w:trHeight w:val="3795"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3"/>
                          <w:jc w:val="both"/>
                          <w:rPr>
                            <w:rFonts w:ascii="宋体" w:hAnsi="宋体" w:cs="宋体" w:eastAsia="宋体" w:hint="default"/>
                            <w:sz w:val="18"/>
                            <w:szCs w:val="18"/>
                          </w:rPr>
                        </w:pPr>
                        <w:r>
                          <w:rPr>
                            <w:rFonts w:ascii="宋体" w:hAnsi="宋体" w:cs="宋体" w:eastAsia="宋体" w:hint="default"/>
                            <w:spacing w:val="-1"/>
                            <w:sz w:val="18"/>
                            <w:szCs w:val="18"/>
                          </w:rPr>
                          <w:t>情况的变化可能导致内部控制变得不恰当，或降低对控制政策、程序遵循的程度，根据内部控制评价结果推测未来内部控</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制有效性具有一定的风险。二、对报告使用者和使用目的的限定本鉴证报告仅供贵公司年度报告披露时使用，不得用作任</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何其他目的。我们同意将本鉴证报告作为贵公司年度报告的必备文件，随同其他文件一起报送并对外披露。三、管理层的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责任贵公司管理层的责任是建立健全内部控制并保持其有效性，同时按照财政部等五部委颁布的《企业内部控制基本规范</w:t>
                        </w:r>
                      </w:p>
                      <w:p>
                        <w:pPr>
                          <w:pStyle w:val="TableParagraph"/>
                          <w:spacing w:line="309" w:lineRule="auto" w:before="19"/>
                          <w:ind w:left="22" w:right="22"/>
                          <w:jc w:val="left"/>
                          <w:rPr>
                            <w:rFonts w:ascii="宋体" w:hAnsi="宋体" w:cs="宋体" w:eastAsia="宋体" w:hint="default"/>
                            <w:sz w:val="18"/>
                            <w:szCs w:val="18"/>
                          </w:rPr>
                        </w:pPr>
                        <w:r>
                          <w:rPr>
                            <w:rFonts w:ascii="宋体" w:hAnsi="宋体" w:cs="宋体" w:eastAsia="宋体" w:hint="default"/>
                            <w:sz w:val="18"/>
                            <w:szCs w:val="18"/>
                          </w:rPr>
                          <w:t>（财会【</w:t>
                        </w:r>
                        <w:r>
                          <w:rPr>
                            <w:rFonts w:ascii="Times New Roman" w:hAnsi="Times New Roman" w:cs="Times New Roman" w:eastAsia="Times New Roman" w:hint="default"/>
                            <w:sz w:val="18"/>
                            <w:szCs w:val="18"/>
                          </w:rPr>
                          <w:t>2008</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号）及相关规定对</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日与财务报表相关的内部控制有效性作出认定，并对上述认定负责 </w:t>
                        </w:r>
                        <w:r>
                          <w:rPr>
                            <w:rFonts w:ascii="宋体" w:hAnsi="宋体" w:cs="宋体" w:eastAsia="宋体" w:hint="default"/>
                            <w:spacing w:val="-4"/>
                            <w:sz w:val="18"/>
                            <w:szCs w:val="18"/>
                          </w:rPr>
                          <w:t>四、注册会计师的责任我们的责任是在实施鉴证工作的基础上对内部控制有效性发表鉴证意见。五、工作概述我们按照《中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国注册会计师其他鉴证业务准则第 </w:t>
                        </w:r>
                        <w:r>
                          <w:rPr>
                            <w:rFonts w:ascii="Times New Roman" w:hAnsi="Times New Roman" w:cs="Times New Roman" w:eastAsia="Times New Roman" w:hint="default"/>
                            <w:sz w:val="18"/>
                            <w:szCs w:val="18"/>
                          </w:rPr>
                          <w:t>3101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历史财务信息审计或审阅以外的鉴证业务》的规定执行了鉴证业务。上述 </w:t>
                        </w:r>
                        <w:r>
                          <w:rPr>
                            <w:rFonts w:ascii="宋体" w:hAnsi="宋体" w:cs="宋体" w:eastAsia="宋体" w:hint="default"/>
                            <w:spacing w:val="-1"/>
                            <w:sz w:val="18"/>
                            <w:szCs w:val="18"/>
                          </w:rPr>
                          <w:t>规定要求我们计划和实施鉴证工作，以对鉴证对象信息是否不存在重大错报获取合理保证。在鉴证过程中，我们实施了包</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括了解、测试和评价内部控制设计的合理性和执行的有效性，以及我们认为必要的其他程序。我们相信，我们的鉴证工作</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为发表意见提供了合理的基础。六、鉴证结论我们认为，贵公司按照财政部等五部委颁发的《企业内部控制基本规范》及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相关规定于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日在所有重大方面保持了与财务报表相关的有效的内部控制。本结论是在受到鉴证报告中指 出的固有限制的条件下形成的。</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t>》</w:t>
      </w:r>
    </w:p>
    <w:p>
      <w:pPr>
        <w:pStyle w:val="BodyText"/>
        <w:spacing w:line="240" w:lineRule="auto" w:before="77"/>
        <w:ind w:left="0" w:right="114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before="44"/>
        <w:ind w:left="1134" w:right="0"/>
        <w:jc w:val="left"/>
      </w:pPr>
      <w:r>
        <w:rPr/>
        <w:t>会计师事务所是否出具非标准意见的内部控制鉴证报告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_TOC_250002" w:id="151"/>
      <w:bookmarkStart w:name="第十节 公司债券相关情况" w:id="152"/>
      <w:r>
        <w:rPr>
          <w:b w:val="0"/>
          <w:bCs w:val="0"/>
        </w:rPr>
      </w:r>
      <w:r>
        <w:rPr/>
        <w:t>第十节</w:t>
      </w:r>
      <w:r>
        <w:rPr>
          <w:spacing w:val="-9"/>
        </w:rPr>
        <w:t> </w:t>
      </w:r>
      <w:r>
        <w:rPr/>
        <w:t>公司债券相关情况</w:t>
      </w:r>
      <w:bookmarkEnd w:id="151"/>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_TOC_250001" w:id="153"/>
      <w:bookmarkStart w:name="第十一节 财务报告" w:id="154"/>
      <w:r>
        <w:rPr>
          <w:b w:val="0"/>
          <w:bCs w:val="0"/>
        </w:rPr>
      </w:r>
      <w:r>
        <w:rPr/>
        <w:t>第十一节</w:t>
      </w:r>
      <w:r>
        <w:rPr>
          <w:spacing w:val="-6"/>
        </w:rPr>
        <w:t> </w:t>
      </w:r>
      <w:r>
        <w:rPr/>
        <w:t>财务报告</w:t>
      </w:r>
      <w:bookmarkEnd w:id="15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5"/>
      <w:bookmarkEnd w:id="155"/>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ZF10186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朱伟、唐伟</w:t>
            </w:r>
          </w:p>
        </w:tc>
      </w:tr>
    </w:tbl>
    <w:p>
      <w:pPr>
        <w:pStyle w:val="BodyText"/>
        <w:spacing w:line="240" w:lineRule="auto" w:before="51"/>
        <w:ind w:left="3403" w:right="3402"/>
        <w:jc w:val="center"/>
      </w:pPr>
      <w:r>
        <w:rPr/>
        <w:t>审计报告正文</w:t>
      </w:r>
    </w:p>
    <w:p>
      <w:pPr>
        <w:pStyle w:val="BodyText"/>
        <w:spacing w:line="240" w:lineRule="auto" w:before="116"/>
        <w:ind w:right="0"/>
        <w:jc w:val="left"/>
      </w:pPr>
      <w:r>
        <w:rPr/>
        <w:t>上海华峰超纤材料股份有限公司全体股东：</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right="0"/>
        <w:jc w:val="left"/>
      </w:pPr>
      <w:r>
        <w:rPr/>
        <w:t>一、审计意见</w:t>
      </w:r>
    </w:p>
    <w:p>
      <w:pPr>
        <w:pStyle w:val="BodyText"/>
        <w:spacing w:line="300" w:lineRule="auto" w:before="115"/>
        <w:ind w:left="1134" w:right="1159"/>
        <w:jc w:val="both"/>
      </w:pPr>
      <w:r>
        <w:rPr/>
        <w:t>我们审计了后附的上海华峰超纤材料股份有限公司（以下简称</w:t>
      </w:r>
      <w:r>
        <w:rPr>
          <w:rFonts w:ascii="Times New Roman" w:hAnsi="Times New Roman" w:cs="Times New Roman" w:eastAsia="Times New Roman" w:hint="default"/>
        </w:rPr>
        <w:t>“</w:t>
      </w:r>
      <w:r>
        <w:rPr/>
        <w:t>华峰超纤</w:t>
      </w:r>
      <w:r>
        <w:rPr>
          <w:rFonts w:ascii="Times New Roman" w:hAnsi="Times New Roman" w:cs="Times New Roman" w:eastAsia="Times New Roman" w:hint="default"/>
        </w:rPr>
        <w:t>”</w:t>
      </w:r>
      <w:r>
        <w:rPr/>
        <w:t>）财务报表，包括包括</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 及公司资产负债表、</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年度的合并及公司利润表、合并及公司现金流量表、合并及公司所有者权益变动表以及财务报表 附注</w:t>
      </w:r>
    </w:p>
    <w:p>
      <w:pPr>
        <w:pStyle w:val="BodyText"/>
        <w:spacing w:line="240" w:lineRule="auto" w:before="71"/>
        <w:ind w:left="1134" w:right="0"/>
        <w:jc w:val="left"/>
      </w:pPr>
      <w:r>
        <w:rPr/>
        <w:t>我们认为，华峰超纤财务报表在所有重大方面按照企业会计准则的规定编制，公允反映了华峰超纤</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w:t>
      </w:r>
    </w:p>
    <w:p>
      <w:pPr>
        <w:pStyle w:val="BodyText"/>
        <w:spacing w:line="240" w:lineRule="auto" w:before="64"/>
        <w:ind w:right="0"/>
        <w:jc w:val="left"/>
      </w:pPr>
      <w:r>
        <w:rPr/>
        <w:t>并及公司财务状况以及</w:t>
      </w:r>
      <w:r>
        <w:rPr>
          <w:spacing w:val="-46"/>
        </w:rPr>
        <w:t> </w:t>
      </w:r>
      <w:r>
        <w:rPr>
          <w:rFonts w:ascii="Times New Roman" w:hAnsi="Times New Roman" w:cs="Times New Roman" w:eastAsia="Times New Roman" w:hint="default"/>
        </w:rPr>
        <w:t>2017 </w:t>
      </w:r>
      <w:r>
        <w:rPr/>
        <w:t>年度的合并及公司经营成果和现金流量。</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0"/>
        <w:jc w:val="left"/>
      </w:pPr>
      <w:r>
        <w:rPr/>
        <w:t>二、形成审计意见的基础</w:t>
      </w:r>
    </w:p>
    <w:p>
      <w:pPr>
        <w:pStyle w:val="BodyText"/>
        <w:spacing w:line="309" w:lineRule="auto" w:before="116"/>
        <w:ind w:right="0"/>
        <w:jc w:val="left"/>
      </w:pP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部分进一步阐述 </w:t>
      </w:r>
      <w:r>
        <w:rPr>
          <w:spacing w:val="-4"/>
        </w:rPr>
        <w:t>了我们在这些准则下的责任。按照中国注册会计师职业道德守则，我们独立于华峰超纤，并履行了职业道德方面的其他责任。</w:t>
      </w:r>
      <w:r>
        <w:rPr>
          <w:spacing w:val="-44"/>
        </w:rPr>
        <w:t> </w:t>
      </w:r>
      <w:r>
        <w:rPr>
          <w:spacing w:val="-44"/>
        </w:rPr>
      </w:r>
      <w:r>
        <w:rPr/>
        <w:t>我们相信，我们获取的审计证据是充分、适当的，为发表审计意见提供了基础。</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338" w:lineRule="auto"/>
        <w:ind w:right="0"/>
        <w:jc w:val="left"/>
      </w:pPr>
      <w:r>
        <w:rPr/>
        <w:t>三、关键审计事项 </w:t>
      </w:r>
      <w:r>
        <w:rPr>
          <w:spacing w:val="-2"/>
        </w:rPr>
        <w:t>关键审计事项是我们根据职业判断，认为对本期财务报表审计最为重要的事项。这些事项的应对以对财务报表整体进行审计</w:t>
      </w:r>
      <w:r>
        <w:rPr>
          <w:spacing w:val="-64"/>
        </w:rPr>
        <w:t> </w:t>
      </w:r>
      <w:r>
        <w:rPr>
          <w:spacing w:val="-64"/>
        </w:rPr>
      </w:r>
      <w:r>
        <w:rPr/>
        <w:t>并形成审计意见为背景，我们不对这些事项单独发表意见。我们确定下列事项是需要在审计报告中沟通的关键审计事项。</w:t>
      </w:r>
    </w:p>
    <w:p>
      <w:pPr>
        <w:spacing w:line="240" w:lineRule="auto" w:before="3"/>
        <w:rPr>
          <w:rFonts w:ascii="宋体" w:hAnsi="宋体" w:cs="宋体" w:eastAsia="宋体" w:hint="default"/>
          <w:sz w:val="29"/>
          <w:szCs w:val="29"/>
        </w:rPr>
      </w:pPr>
    </w:p>
    <w:tbl>
      <w:tblPr>
        <w:tblW w:w="0" w:type="auto"/>
        <w:jc w:val="left"/>
        <w:tblInd w:w="1126" w:type="dxa"/>
        <w:tblLayout w:type="fixed"/>
        <w:tblCellMar>
          <w:top w:w="0" w:type="dxa"/>
          <w:left w:w="0" w:type="dxa"/>
          <w:bottom w:w="0" w:type="dxa"/>
          <w:right w:w="0" w:type="dxa"/>
        </w:tblCellMar>
        <w:tblLook w:val="01E0"/>
      </w:tblPr>
      <w:tblGrid>
        <w:gridCol w:w="4078"/>
        <w:gridCol w:w="4445"/>
      </w:tblGrid>
      <w:tr>
        <w:trPr>
          <w:trHeight w:val="435" w:hRule="exact"/>
        </w:trPr>
        <w:tc>
          <w:tcPr>
            <w:tcW w:w="40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关键审计事项</w:t>
            </w:r>
          </w:p>
        </w:tc>
        <w:tc>
          <w:tcPr>
            <w:tcW w:w="444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审计应对</w:t>
            </w:r>
          </w:p>
        </w:tc>
      </w:tr>
      <w:tr>
        <w:trPr>
          <w:trHeight w:val="432" w:hRule="exact"/>
        </w:trPr>
        <w:tc>
          <w:tcPr>
            <w:tcW w:w="8524" w:type="dxa"/>
            <w:gridSpan w:val="2"/>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、商誉减值</w:t>
            </w:r>
          </w:p>
        </w:tc>
      </w:tr>
      <w:tr>
        <w:trPr>
          <w:trHeight w:val="2304" w:hRule="exact"/>
        </w:trPr>
        <w:tc>
          <w:tcPr>
            <w:tcW w:w="4078" w:type="dxa"/>
            <w:tcBorders>
              <w:top w:val="single" w:sz="12" w:space="0" w:color="000000"/>
              <w:left w:val="single" w:sz="6" w:space="0" w:color="000000"/>
              <w:bottom w:val="single" w:sz="12" w:space="0" w:color="000000"/>
              <w:right w:val="single" w:sz="6" w:space="0" w:color="000000"/>
            </w:tcBorders>
          </w:tcPr>
          <w:p>
            <w:pPr>
              <w:pStyle w:val="TableParagraph"/>
              <w:spacing w:line="307" w:lineRule="auto" w:before="51"/>
              <w:ind w:left="2" w:right="-17"/>
              <w:jc w:val="both"/>
              <w:rPr>
                <w:rFonts w:ascii="宋体" w:hAnsi="宋体" w:cs="宋体" w:eastAsia="宋体" w:hint="default"/>
                <w:sz w:val="18"/>
                <w:szCs w:val="18"/>
              </w:rPr>
            </w:pPr>
            <w:r>
              <w:rPr>
                <w:rFonts w:ascii="宋体" w:hAnsi="宋体" w:cs="宋体" w:eastAsia="宋体" w:hint="default"/>
                <w:sz w:val="18"/>
                <w:szCs w:val="18"/>
              </w:rPr>
              <w:t>如财务报表附注五（十五）所述，华峰超纤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末商誉账面价值为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1,733,150,150.68</w:t>
            </w:r>
            <w:r>
              <w:rPr>
                <w:rFonts w:ascii="宋体" w:hAnsi="宋体" w:cs="宋体" w:eastAsia="宋体" w:hint="default"/>
                <w:sz w:val="18"/>
                <w:szCs w:val="18"/>
              </w:rPr>
              <w:t>，这是由于收购 </w:t>
            </w:r>
            <w:r>
              <w:rPr>
                <w:rFonts w:ascii="宋体" w:hAnsi="宋体" w:cs="宋体" w:eastAsia="宋体" w:hint="default"/>
                <w:spacing w:val="-3"/>
                <w:sz w:val="18"/>
                <w:szCs w:val="18"/>
              </w:rPr>
              <w:t>深圳市威富通科技有限公司产生，因商誉金额较大，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故我们将商誉减值确认识别为关键审计事项。</w:t>
            </w:r>
          </w:p>
        </w:tc>
        <w:tc>
          <w:tcPr>
            <w:tcW w:w="4445" w:type="dxa"/>
            <w:tcBorders>
              <w:top w:val="single" w:sz="12" w:space="0" w:color="000000"/>
              <w:left w:val="single" w:sz="6" w:space="0" w:color="000000"/>
              <w:bottom w:val="single" w:sz="12" w:space="0" w:color="000000"/>
              <w:right w:val="nil" w:sz="6" w:space="0" w:color="auto"/>
            </w:tcBorders>
          </w:tcPr>
          <w:p>
            <w:pPr>
              <w:pStyle w:val="TableParagraph"/>
              <w:spacing w:line="338" w:lineRule="auto" w:before="51"/>
              <w:ind w:left="2" w:right="23"/>
              <w:jc w:val="left"/>
              <w:rPr>
                <w:rFonts w:ascii="宋体" w:hAnsi="宋体" w:cs="宋体" w:eastAsia="宋体" w:hint="default"/>
                <w:sz w:val="18"/>
                <w:szCs w:val="18"/>
              </w:rPr>
            </w:pPr>
            <w:r>
              <w:rPr>
                <w:rFonts w:ascii="宋体" w:hAnsi="宋体" w:cs="宋体" w:eastAsia="宋体" w:hint="default"/>
                <w:sz w:val="18"/>
                <w:szCs w:val="18"/>
              </w:rPr>
              <w:t>我们对华峰超纤商誉减值关键审计事项执行的主要审计 程序包括： </w:t>
            </w:r>
            <w:r>
              <w:rPr>
                <w:rFonts w:ascii="Times New Roman" w:hAnsi="Times New Roman" w:cs="Times New Roman" w:eastAsia="Times New Roman" w:hint="default"/>
                <w:sz w:val="18"/>
                <w:szCs w:val="18"/>
              </w:rPr>
              <w:t>1</w:t>
            </w:r>
            <w:r>
              <w:rPr>
                <w:rFonts w:ascii="宋体" w:hAnsi="宋体" w:cs="宋体" w:eastAsia="宋体" w:hint="default"/>
                <w:sz w:val="18"/>
                <w:szCs w:val="18"/>
              </w:rPr>
              <w:t>）测试并评价管理层对商誉减值测试的内部控制制度设</w:t>
            </w:r>
          </w:p>
          <w:p>
            <w:pPr>
              <w:pStyle w:val="TableParagraph"/>
              <w:spacing w:line="217" w:lineRule="exact"/>
              <w:ind w:left="2" w:right="0"/>
              <w:jc w:val="left"/>
              <w:rPr>
                <w:rFonts w:ascii="宋体" w:hAnsi="宋体" w:cs="宋体" w:eastAsia="宋体" w:hint="default"/>
                <w:sz w:val="18"/>
                <w:szCs w:val="18"/>
              </w:rPr>
            </w:pPr>
            <w:r>
              <w:rPr>
                <w:rFonts w:ascii="宋体" w:hAnsi="宋体" w:cs="宋体" w:eastAsia="宋体" w:hint="default"/>
                <w:sz w:val="18"/>
                <w:szCs w:val="18"/>
              </w:rPr>
              <w:t>计和运行的有效性；</w:t>
            </w:r>
          </w:p>
          <w:p>
            <w:pPr>
              <w:pStyle w:val="TableParagraph"/>
              <w:spacing w:line="309" w:lineRule="auto" w:before="76"/>
              <w:ind w:left="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）评估是否存在减值迹象，比较威富通今年预期业绩及 承诺业绩，了解行业发展状况； </w:t>
            </w:r>
            <w:r>
              <w:rPr>
                <w:rFonts w:ascii="Times New Roman" w:hAnsi="Times New Roman" w:cs="Times New Roman" w:eastAsia="Times New Roman" w:hint="default"/>
                <w:sz w:val="18"/>
                <w:szCs w:val="18"/>
              </w:rPr>
              <w:t>3</w:t>
            </w:r>
            <w:r>
              <w:rPr>
                <w:rFonts w:ascii="宋体" w:hAnsi="宋体" w:cs="宋体" w:eastAsia="宋体" w:hint="default"/>
                <w:sz w:val="18"/>
                <w:szCs w:val="18"/>
              </w:rPr>
              <w:t>）对企业价值收益法评估模型中的各类参数进行复核：</w:t>
            </w:r>
          </w:p>
        </w:tc>
      </w:tr>
    </w:tbl>
    <w:p>
      <w:pPr>
        <w:spacing w:after="0" w:line="30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before="44"/>
        <w:ind w:left="0" w:right="2169"/>
        <w:jc w:val="right"/>
      </w:pPr>
      <w:r>
        <w:rPr/>
        <w:pict>
          <v:shape style="position:absolute;margin-left:56.34pt;margin-top:-30.788298pt;width:426.55pt;height:132.1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78"/>
                    <w:gridCol w:w="4445"/>
                  </w:tblGrid>
                  <w:tr>
                    <w:trPr>
                      <w:trHeight w:val="330" w:hRule="exact"/>
                    </w:trPr>
                    <w:tc>
                      <w:tcPr>
                        <w:tcW w:w="4078" w:type="dxa"/>
                        <w:vMerge w:val="restart"/>
                        <w:tcBorders>
                          <w:top w:val="single" w:sz="6" w:space="0" w:color="000000"/>
                          <w:left w:val="single" w:sz="6" w:space="0" w:color="000000"/>
                          <w:right w:val="single" w:sz="6" w:space="0" w:color="000000"/>
                        </w:tcBorders>
                      </w:tcPr>
                      <w:p>
                        <w:pPr/>
                      </w:p>
                    </w:tc>
                    <w:tc>
                      <w:tcPr>
                        <w:tcW w:w="4445" w:type="dxa"/>
                        <w:tcBorders>
                          <w:top w:val="single" w:sz="6" w:space="0" w:color="000000"/>
                          <w:left w:val="single" w:sz="6" w:space="0" w:color="000000"/>
                          <w:bottom w:val="nil" w:sz="6" w:space="0" w:color="auto"/>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我们根据行业发展状况</w:t>
                        </w:r>
                        <w:r>
                          <w:rPr>
                            <w:rFonts w:ascii="宋体" w:hAnsi="宋体" w:cs="宋体" w:eastAsia="宋体" w:hint="default"/>
                            <w:spacing w:val="-75"/>
                            <w:sz w:val="18"/>
                            <w:szCs w:val="18"/>
                          </w:rPr>
                          <w:t>、</w:t>
                        </w:r>
                        <w:r>
                          <w:rPr>
                            <w:rFonts w:ascii="宋体" w:hAnsi="宋体" w:cs="宋体" w:eastAsia="宋体" w:hint="default"/>
                            <w:sz w:val="18"/>
                            <w:szCs w:val="18"/>
                          </w:rPr>
                          <w:t>及</w:t>
                        </w:r>
                        <w:r>
                          <w:rPr>
                            <w:rFonts w:ascii="宋体" w:hAnsi="宋体" w:cs="宋体" w:eastAsia="宋体" w:hint="default"/>
                            <w:spacing w:val="-2"/>
                            <w:sz w:val="18"/>
                            <w:szCs w:val="18"/>
                          </w:rPr>
                          <w:t>公</w:t>
                        </w:r>
                        <w:r>
                          <w:rPr>
                            <w:rFonts w:ascii="宋体" w:hAnsi="宋体" w:cs="宋体" w:eastAsia="宋体" w:hint="default"/>
                            <w:sz w:val="18"/>
                            <w:szCs w:val="18"/>
                          </w:rPr>
                          <w:t>司历史期的预期数据与实际</w:t>
                        </w:r>
                      </w:p>
                    </w:tc>
                  </w:tr>
                  <w:tr>
                    <w:trPr>
                      <w:trHeight w:val="312" w:hRule="exact"/>
                    </w:trPr>
                    <w:tc>
                      <w:tcPr>
                        <w:tcW w:w="4078" w:type="dxa"/>
                        <w:vMerge/>
                        <w:tcBorders>
                          <w:left w:val="single" w:sz="6" w:space="0" w:color="000000"/>
                          <w:right w:val="single" w:sz="6" w:space="0" w:color="000000"/>
                        </w:tcBorders>
                      </w:tcPr>
                      <w:p>
                        <w:pPr/>
                      </w:p>
                    </w:tc>
                    <w:tc>
                      <w:tcPr>
                        <w:tcW w:w="4445"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数据的比较等来判断公司管理层预测收入</w:t>
                        </w:r>
                        <w:r>
                          <w:rPr>
                            <w:rFonts w:ascii="宋体" w:hAnsi="宋体" w:cs="宋体" w:eastAsia="宋体" w:hint="default"/>
                            <w:spacing w:val="-76"/>
                            <w:sz w:val="18"/>
                            <w:szCs w:val="18"/>
                          </w:rPr>
                          <w:t>、</w:t>
                        </w:r>
                        <w:r>
                          <w:rPr>
                            <w:rFonts w:ascii="宋体" w:hAnsi="宋体" w:cs="宋体" w:eastAsia="宋体" w:hint="default"/>
                            <w:sz w:val="18"/>
                            <w:szCs w:val="18"/>
                          </w:rPr>
                          <w:t>毛利率等的准</w:t>
                        </w:r>
                      </w:p>
                    </w:tc>
                  </w:tr>
                  <w:tr>
                    <w:trPr>
                      <w:trHeight w:val="312" w:hRule="exact"/>
                    </w:trPr>
                    <w:tc>
                      <w:tcPr>
                        <w:tcW w:w="4078" w:type="dxa"/>
                        <w:vMerge/>
                        <w:tcBorders>
                          <w:left w:val="single" w:sz="6" w:space="0" w:color="000000"/>
                          <w:right w:val="single" w:sz="6" w:space="0" w:color="000000"/>
                        </w:tcBorders>
                      </w:tcPr>
                      <w:p>
                        <w:pPr/>
                      </w:p>
                    </w:tc>
                    <w:tc>
                      <w:tcPr>
                        <w:tcW w:w="4445"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确性</w:t>
                        </w:r>
                        <w:r>
                          <w:rPr>
                            <w:rFonts w:ascii="宋体" w:hAnsi="宋体" w:cs="宋体" w:eastAsia="宋体" w:hint="default"/>
                            <w:spacing w:val="-83"/>
                            <w:sz w:val="18"/>
                            <w:szCs w:val="18"/>
                          </w:rPr>
                          <w:t>；</w:t>
                        </w:r>
                        <w:r>
                          <w:rPr>
                            <w:rFonts w:ascii="宋体" w:hAnsi="宋体" w:cs="宋体" w:eastAsia="宋体" w:hint="default"/>
                            <w:sz w:val="18"/>
                            <w:szCs w:val="18"/>
                          </w:rPr>
                          <w:t>结合历史期数据判断预测增长率的准确性</w:t>
                        </w:r>
                        <w:r>
                          <w:rPr>
                            <w:rFonts w:ascii="宋体" w:hAnsi="宋体" w:cs="宋体" w:eastAsia="宋体" w:hint="default"/>
                            <w:spacing w:val="-83"/>
                            <w:sz w:val="18"/>
                            <w:szCs w:val="18"/>
                          </w:rPr>
                          <w:t>、</w:t>
                        </w:r>
                        <w:r>
                          <w:rPr>
                            <w:rFonts w:ascii="宋体" w:hAnsi="宋体" w:cs="宋体" w:eastAsia="宋体" w:hint="default"/>
                            <w:sz w:val="18"/>
                            <w:szCs w:val="18"/>
                          </w:rPr>
                          <w:t>谨慎性</w:t>
                        </w:r>
                      </w:p>
                    </w:tc>
                  </w:tr>
                  <w:tr>
                    <w:trPr>
                      <w:trHeight w:val="312" w:hRule="exact"/>
                    </w:trPr>
                    <w:tc>
                      <w:tcPr>
                        <w:tcW w:w="4078" w:type="dxa"/>
                        <w:vMerge/>
                        <w:tcBorders>
                          <w:left w:val="single" w:sz="6" w:space="0" w:color="000000"/>
                          <w:right w:val="single" w:sz="6" w:space="0" w:color="000000"/>
                        </w:tcBorders>
                      </w:tcPr>
                      <w:p>
                        <w:pPr/>
                      </w:p>
                    </w:tc>
                    <w:tc>
                      <w:tcPr>
                        <w:tcW w:w="4445"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基于同行业可比公司的市场数据重新计算折现率</w:t>
                        </w:r>
                        <w:r>
                          <w:rPr>
                            <w:rFonts w:ascii="宋体" w:hAnsi="宋体" w:cs="宋体" w:eastAsia="宋体" w:hint="default"/>
                            <w:spacing w:val="-75"/>
                            <w:sz w:val="18"/>
                            <w:szCs w:val="18"/>
                          </w:rPr>
                          <w:t>，</w:t>
                        </w:r>
                        <w:r>
                          <w:rPr>
                            <w:rFonts w:ascii="宋体" w:hAnsi="宋体" w:cs="宋体" w:eastAsia="宋体" w:hint="default"/>
                            <w:sz w:val="18"/>
                            <w:szCs w:val="18"/>
                          </w:rPr>
                          <w:t>并结合</w:t>
                        </w:r>
                      </w:p>
                    </w:tc>
                  </w:tr>
                  <w:tr>
                    <w:trPr>
                      <w:trHeight w:val="313" w:hRule="exact"/>
                    </w:trPr>
                    <w:tc>
                      <w:tcPr>
                        <w:tcW w:w="4078" w:type="dxa"/>
                        <w:vMerge/>
                        <w:tcBorders>
                          <w:left w:val="single" w:sz="6" w:space="0" w:color="000000"/>
                          <w:right w:val="single" w:sz="6" w:space="0" w:color="000000"/>
                        </w:tcBorders>
                      </w:tcPr>
                      <w:p>
                        <w:pPr/>
                      </w:p>
                    </w:tc>
                    <w:tc>
                      <w:tcPr>
                        <w:tcW w:w="4445"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目前及未来的无风险市场利率判断折现率的选用是否恰</w:t>
                        </w:r>
                      </w:p>
                    </w:tc>
                  </w:tr>
                  <w:tr>
                    <w:trPr>
                      <w:trHeight w:val="332" w:hRule="exact"/>
                    </w:trPr>
                    <w:tc>
                      <w:tcPr>
                        <w:tcW w:w="4078" w:type="dxa"/>
                        <w:vMerge/>
                        <w:tcBorders>
                          <w:left w:val="single" w:sz="6" w:space="0" w:color="000000"/>
                          <w:right w:val="single" w:sz="6" w:space="0" w:color="000000"/>
                        </w:tcBorders>
                      </w:tcPr>
                      <w:p>
                        <w:pPr/>
                      </w:p>
                    </w:tc>
                    <w:tc>
                      <w:tcPr>
                        <w:tcW w:w="4445"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当；</w:t>
                        </w:r>
                      </w:p>
                    </w:tc>
                  </w:tr>
                  <w:tr>
                    <w:trPr>
                      <w:trHeight w:val="337" w:hRule="exact"/>
                    </w:trPr>
                    <w:tc>
                      <w:tcPr>
                        <w:tcW w:w="4078" w:type="dxa"/>
                        <w:vMerge/>
                        <w:tcBorders>
                          <w:left w:val="single" w:sz="6" w:space="0" w:color="000000"/>
                          <w:right w:val="single" w:sz="6" w:space="0" w:color="000000"/>
                        </w:tcBorders>
                      </w:tcPr>
                      <w:p>
                        <w:pPr/>
                      </w:p>
                    </w:tc>
                    <w:tc>
                      <w:tcPr>
                        <w:tcW w:w="4445" w:type="dxa"/>
                        <w:tcBorders>
                          <w:top w:val="nil" w:sz="6" w:space="0" w:color="auto"/>
                          <w:left w:val="single" w:sz="6" w:space="0" w:color="000000"/>
                          <w:bottom w:val="nil" w:sz="6" w:space="0" w:color="auto"/>
                          <w:right w:val="nil" w:sz="6" w:space="0" w:color="auto"/>
                        </w:tcBorders>
                      </w:tcPr>
                      <w:p>
                        <w:pPr>
                          <w:pStyle w:val="TableParagraph"/>
                          <w:spacing w:line="240" w:lineRule="auto" w:before="2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）在上述参数复核完毕后，重新计算企业价值，进而得</w:t>
                        </w:r>
                      </w:p>
                    </w:tc>
                  </w:tr>
                  <w:tr>
                    <w:trPr>
                      <w:trHeight w:val="372" w:hRule="exact"/>
                    </w:trPr>
                    <w:tc>
                      <w:tcPr>
                        <w:tcW w:w="4078" w:type="dxa"/>
                        <w:vMerge/>
                        <w:tcBorders>
                          <w:left w:val="single" w:sz="6" w:space="0" w:color="000000"/>
                          <w:bottom w:val="single" w:sz="12" w:space="0" w:color="000000"/>
                          <w:right w:val="single" w:sz="6" w:space="0" w:color="000000"/>
                        </w:tcBorders>
                      </w:tcPr>
                      <w:p>
                        <w:pPr/>
                      </w:p>
                    </w:tc>
                    <w:tc>
                      <w:tcPr>
                        <w:tcW w:w="4445" w:type="dxa"/>
                        <w:tcBorders>
                          <w:top w:val="nil" w:sz="6" w:space="0" w:color="auto"/>
                          <w:left w:val="single" w:sz="6" w:space="0" w:color="000000"/>
                          <w:bottom w:val="single" w:sz="12" w:space="0" w:color="000000"/>
                          <w:right w:val="nil" w:sz="6" w:space="0" w:color="auto"/>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出商誉减值分析结果，考虑是否需要计提商誉减值损失</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BodyText"/>
        <w:spacing w:line="240" w:lineRule="auto" w:before="44"/>
        <w:ind w:left="0" w:right="2182"/>
        <w:jc w:val="right"/>
      </w:pPr>
      <w:r>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240" w:lineRule="auto" w:before="44"/>
        <w:ind w:left="1134" w:right="0"/>
        <w:jc w:val="left"/>
      </w:pPr>
      <w:r>
        <w:rPr/>
        <w:t>四、其他信息</w:t>
      </w:r>
    </w:p>
    <w:p>
      <w:pPr>
        <w:pStyle w:val="BodyText"/>
        <w:spacing w:line="302" w:lineRule="auto" w:before="116"/>
        <w:ind w:left="1134" w:right="1118"/>
        <w:jc w:val="left"/>
      </w:pPr>
      <w:r>
        <w:rPr>
          <w:spacing w:val="-2"/>
        </w:rPr>
        <w:t>华峰超纤管理层（以下简称</w:t>
      </w:r>
      <w:r>
        <w:rPr>
          <w:rFonts w:ascii="Times New Roman" w:hAnsi="Times New Roman" w:cs="Times New Roman" w:eastAsia="Times New Roman" w:hint="default"/>
          <w:spacing w:val="-2"/>
        </w:rPr>
        <w:t>“</w:t>
      </w:r>
      <w:r>
        <w:rPr>
          <w:spacing w:val="-2"/>
        </w:rPr>
        <w:t>管理层</w:t>
      </w:r>
      <w:r>
        <w:rPr>
          <w:rFonts w:ascii="Times New Roman" w:hAnsi="Times New Roman" w:cs="Times New Roman" w:eastAsia="Times New Roman" w:hint="default"/>
          <w:spacing w:val="-2"/>
        </w:rPr>
        <w:t>”</w:t>
      </w:r>
      <w:r>
        <w:rPr>
          <w:spacing w:val="-2"/>
        </w:rPr>
        <w:t>）对其他信息负责。其他信息包括年度报告中涵盖的信息，但不包括财务报表和我们的</w:t>
      </w:r>
      <w:r>
        <w:rPr>
          <w:spacing w:val="-44"/>
        </w:rPr>
        <w:t> </w:t>
      </w:r>
      <w:r>
        <w:rPr>
          <w:spacing w:val="-44"/>
        </w:rPr>
      </w:r>
      <w:r>
        <w:rPr/>
        <w:t>审计报告。</w:t>
      </w:r>
    </w:p>
    <w:p>
      <w:pPr>
        <w:pStyle w:val="BodyText"/>
        <w:spacing w:line="338" w:lineRule="auto" w:before="69"/>
        <w:ind w:left="1134" w:right="0"/>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结合我们对财务报表的审计，我们的责任是阅读其他信息，在此过程中，考虑其他信息是否与财务报表或我们在审计过程中</w:t>
      </w:r>
      <w:r>
        <w:rPr>
          <w:spacing w:val="-65"/>
        </w:rPr>
        <w:t> </w:t>
      </w:r>
      <w:r>
        <w:rPr>
          <w:spacing w:val="-65"/>
        </w:rPr>
      </w:r>
      <w:r>
        <w:rPr/>
        <w:t>了解到的情况存在重大不一致或者似乎存在重大错报。</w:t>
      </w:r>
    </w:p>
    <w:p>
      <w:pPr>
        <w:pStyle w:val="BodyText"/>
        <w:spacing w:line="319" w:lineRule="auto" w:before="42"/>
        <w:ind w:left="1134" w:right="1118"/>
        <w:jc w:val="left"/>
      </w:pPr>
      <w:r>
        <w:rPr>
          <w:spacing w:val="-2"/>
        </w:rPr>
        <w:t>基于我们已经执行的工作，如果我们确定其他信息存在重大错报，我们应当报告该事实。在这方面，我们无任何事项需要报</w:t>
      </w:r>
      <w:r>
        <w:rPr>
          <w:spacing w:val="-66"/>
        </w:rPr>
        <w:t> </w:t>
      </w:r>
      <w:r>
        <w:rPr>
          <w:spacing w:val="-66"/>
        </w:rPr>
      </w:r>
      <w:r>
        <w:rPr/>
        <w:t>告。</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357" w:lineRule="auto"/>
        <w:ind w:left="1134" w:right="0"/>
        <w:jc w:val="left"/>
      </w:pPr>
      <w:r>
        <w:rPr/>
        <w:t>五、管理层和治理层对财务报表的责任 </w:t>
      </w:r>
      <w:r>
        <w:rPr>
          <w:spacing w:val="-2"/>
        </w:rPr>
        <w:t>管理层负责按照企业会计准则的规定编制财务报表，使其实现公允反映，并设计、执行和维护必要的内部控制，以使财务报</w:t>
      </w:r>
    </w:p>
    <w:p>
      <w:pPr>
        <w:pStyle w:val="BodyText"/>
        <w:spacing w:line="338" w:lineRule="auto"/>
        <w:ind w:left="1134" w:right="0"/>
        <w:jc w:val="left"/>
      </w:pPr>
      <w:r>
        <w:rPr/>
        <w:t>表不存在由于舞弊或错误导致的重大错报。 </w:t>
      </w:r>
      <w:r>
        <w:rPr>
          <w:spacing w:val="-2"/>
        </w:rPr>
        <w:t>在编制财务报表时，管理层负责评估华峰超纤的持续经营能力，披露与持续经营相关的事项，并运用持续经营假设，除非计</w:t>
      </w:r>
      <w:r>
        <w:rPr>
          <w:spacing w:val="-66"/>
        </w:rPr>
        <w:t> </w:t>
      </w:r>
      <w:r>
        <w:rPr>
          <w:spacing w:val="-66"/>
        </w:rPr>
      </w:r>
      <w:r>
        <w:rPr/>
        <w:t>划进行清算、终止运营或别无其他现实的选择。</w:t>
      </w:r>
    </w:p>
    <w:p>
      <w:pPr>
        <w:pStyle w:val="BodyText"/>
        <w:spacing w:line="240" w:lineRule="auto" w:before="42"/>
        <w:ind w:left="1134" w:right="0"/>
        <w:jc w:val="left"/>
      </w:pPr>
      <w:r>
        <w:rPr/>
        <w:t>治理层负责监督华峰超纤的财务报告过程。</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338" w:lineRule="auto"/>
        <w:ind w:left="1134" w:right="1032"/>
        <w:jc w:val="left"/>
      </w:pPr>
      <w:r>
        <w:rPr/>
        <w:t>六、注册会计师对财务报表审计的责任 我们的目标是对财务报表整体是否不存在由于舞弊或错误导致的重大错报获取合理保证，并出具包含审计意见的审计报告。 </w:t>
      </w:r>
      <w:r>
        <w:rPr>
          <w:spacing w:val="-2"/>
        </w:rPr>
        <w:t>合理保证是高水平的保证，但并不能保证按照审计准则执行的审计在某一重大错报存在时总能发现。错报可能由于舞弊或错</w:t>
      </w:r>
    </w:p>
    <w:p>
      <w:pPr>
        <w:pStyle w:val="BodyText"/>
        <w:spacing w:line="319" w:lineRule="auto" w:before="2"/>
        <w:ind w:left="1134" w:right="1118"/>
        <w:jc w:val="left"/>
      </w:pPr>
      <w:r>
        <w:rPr>
          <w:spacing w:val="-2"/>
        </w:rPr>
        <w:t>误导致，如果合理预期错报单独或汇总起来可能影响财务报表使用者依据财务报表做出的经济决策，则通常认为错报是重大</w:t>
      </w:r>
      <w:r>
        <w:rPr>
          <w:spacing w:val="-64"/>
        </w:rPr>
        <w:t> </w:t>
      </w:r>
      <w:r>
        <w:rPr>
          <w:spacing w:val="-64"/>
        </w:rPr>
      </w:r>
      <w:r>
        <w:rPr/>
        <w:t>的。</w:t>
      </w:r>
    </w:p>
    <w:p>
      <w:pPr>
        <w:pStyle w:val="BodyText"/>
        <w:spacing w:line="240" w:lineRule="auto" w:before="58"/>
        <w:ind w:left="1134" w:right="0"/>
        <w:jc w:val="left"/>
      </w:pPr>
      <w:r>
        <w:rPr/>
        <w:t>在按照审计准则执行审计工作的过程中，我们运用职业判断，并保持职业怀疑。同时，我们也执行了以下工作：</w:t>
      </w:r>
    </w:p>
    <w:p>
      <w:pPr>
        <w:pStyle w:val="BodyText"/>
        <w:spacing w:line="309" w:lineRule="auto" w:before="115"/>
        <w:ind w:left="1134" w:right="1130"/>
        <w:jc w:val="both"/>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）识别和评估由于舞弊或错误导致的财务报表重大错报风险，设计和实施审计程序以应对这些风险，并获取充分、适当 </w:t>
      </w:r>
      <w:r>
        <w:rPr>
          <w:spacing w:val="-2"/>
        </w:rPr>
        <w:t>的审计证据，作为发表审计意见的基础。由于舞弊可能涉及串通、伪造、故意遗漏、虚假陈述或凌驾于内部控制之上，未能</w:t>
      </w:r>
      <w:r>
        <w:rPr>
          <w:spacing w:val="-68"/>
        </w:rPr>
        <w:t> </w:t>
      </w:r>
      <w:r>
        <w:rPr>
          <w:spacing w:val="-68"/>
        </w:rPr>
      </w:r>
      <w:r>
        <w:rPr/>
        <w:t>发现由于舞弊导致的重大错报的风险高于未能发现由于错误导致的重大错报的风险。</w:t>
      </w:r>
    </w:p>
    <w:p>
      <w:pPr>
        <w:pStyle w:val="BodyText"/>
        <w:spacing w:line="240" w:lineRule="auto" w:before="64"/>
        <w:ind w:right="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103"/>
        <w:ind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101"/>
        <w:ind w:left="1134" w:right="1132"/>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）对管理层使用持续经营假设的恰当性得出结论。同时，根据获取的审计证据，就可能导致对华峰超纤持续经营能力产 </w:t>
      </w:r>
      <w:r>
        <w:rPr>
          <w:spacing w:val="-2"/>
        </w:rPr>
        <w:t>生重大疑虑的事项或情况是否存在重大不确定性得出结论。如果我们得出结论认为存在重大不确定性，审计准则要求我们在</w:t>
      </w:r>
      <w:r>
        <w:rPr>
          <w:spacing w:val="-64"/>
        </w:rPr>
        <w:t> </w:t>
      </w:r>
      <w:r>
        <w:rPr>
          <w:spacing w:val="-64"/>
        </w:rPr>
      </w:r>
      <w:r>
        <w:rPr>
          <w:spacing w:val="-2"/>
        </w:rPr>
        <w:t>审计报告中提请报表使用者注意财务报表中的相关披露；如果披露不充分，我们应当发表非无保留意见。我们的结论基于截</w:t>
      </w:r>
      <w:r>
        <w:rPr>
          <w:spacing w:val="-66"/>
        </w:rPr>
        <w:t> </w:t>
      </w:r>
      <w:r>
        <w:rPr>
          <w:spacing w:val="-66"/>
        </w:rPr>
      </w:r>
      <w:r>
        <w:rPr/>
        <w:t>至审计报告日可获得的信息。然而，未来的事项或情况可能导致华峰超纤不能持续经营。</w:t>
      </w:r>
    </w:p>
    <w:p>
      <w:pPr>
        <w:pStyle w:val="BodyText"/>
        <w:spacing w:line="240" w:lineRule="auto" w:before="62"/>
        <w:ind w:right="0"/>
        <w:jc w:val="left"/>
      </w:pPr>
      <w:r>
        <w:rPr/>
        <w:t>（</w:t>
      </w:r>
      <w:r>
        <w:rPr>
          <w:rFonts w:ascii="Times New Roman" w:hAnsi="Times New Roman" w:cs="Times New Roman" w:eastAsia="Times New Roman" w:hint="default"/>
        </w:rPr>
        <w:t>5</w:t>
      </w:r>
      <w:r>
        <w:rPr/>
        <w:t>）评价财务报表的总体列报、结构和内容（包括披露</w:t>
      </w:r>
      <w:r>
        <w:rPr>
          <w:spacing w:val="-90"/>
        </w:rPr>
        <w:t>）</w:t>
      </w:r>
      <w:r>
        <w:rPr/>
        <w:t>，并评价财务报表是否公允反映相关交易和事项。</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2" w:lineRule="auto" w:before="44"/>
        <w:ind w:left="1134" w:right="1132"/>
        <w:jc w:val="both"/>
      </w:pPr>
      <w:r>
        <w:rPr/>
        <w:t>（</w:t>
      </w:r>
      <w:r>
        <w:rPr>
          <w:rFonts w:ascii="Times New Roman" w:hAnsi="Times New Roman" w:cs="Times New Roman" w:eastAsia="Times New Roman" w:hint="default"/>
        </w:rPr>
        <w:t>6</w:t>
      </w:r>
      <w:r>
        <w:rPr/>
        <w:t>）就华峰超纤中实体或业务活动的财务信息获取充分、适当的审计证据，以对财务报表发表审计意见。我们负责指导、 监督和执行集团审计，并对审计意见承担全部责任。</w:t>
      </w:r>
    </w:p>
    <w:p>
      <w:pPr>
        <w:pStyle w:val="BodyText"/>
        <w:spacing w:line="319" w:lineRule="auto" w:before="68"/>
        <w:ind w:left="1134" w:right="1131"/>
        <w:jc w:val="both"/>
      </w:pPr>
      <w:r>
        <w:rPr>
          <w:spacing w:val="-2"/>
        </w:rPr>
        <w:t>我们与治理层就计划的审计范围、时间安排和重大审计发现等事项进行沟通，包括沟通我们在审计中识别出的值得关注的内</w:t>
      </w:r>
      <w:r>
        <w:rPr>
          <w:spacing w:val="-64"/>
        </w:rPr>
        <w:t> </w:t>
      </w:r>
      <w:r>
        <w:rPr>
          <w:spacing w:val="-64"/>
        </w:rPr>
      </w:r>
      <w:r>
        <w:rPr/>
        <w:t>部控制缺陷。</w:t>
      </w:r>
    </w:p>
    <w:p>
      <w:pPr>
        <w:pStyle w:val="BodyText"/>
        <w:spacing w:line="319" w:lineRule="auto" w:before="57"/>
        <w:ind w:left="1134" w:right="1131"/>
        <w:jc w:val="both"/>
      </w:pPr>
      <w:r>
        <w:rPr>
          <w:spacing w:val="-2"/>
        </w:rPr>
        <w:t>我们还就已遵守与独立性相关的职业道德要求向治理层提供声明，并与治理层沟通可能被合理认为影响我们独立性的所有关</w:t>
      </w:r>
      <w:r>
        <w:rPr>
          <w:spacing w:val="-64"/>
        </w:rPr>
        <w:t> </w:t>
      </w:r>
      <w:r>
        <w:rPr>
          <w:spacing w:val="-64"/>
        </w:rPr>
      </w:r>
      <w:r>
        <w:rPr/>
        <w:t>系和其他事项，以及相关的防范措施。</w:t>
      </w:r>
    </w:p>
    <w:p>
      <w:pPr>
        <w:pStyle w:val="BodyText"/>
        <w:spacing w:line="319" w:lineRule="auto" w:before="55"/>
        <w:ind w:left="1134" w:right="1132"/>
        <w:jc w:val="both"/>
      </w:pPr>
      <w:r>
        <w:rPr>
          <w:spacing w:val="-2"/>
        </w:rPr>
        <w:t>从与治理层沟通过的事项中，我们确定哪些事项对本期财务报表审计最为重要，因而构成关键审计事项。我们在审计报告中</w:t>
      </w:r>
      <w:r>
        <w:rPr>
          <w:spacing w:val="-66"/>
        </w:rPr>
        <w:t> </w:t>
      </w:r>
      <w:r>
        <w:rPr>
          <w:spacing w:val="-66"/>
        </w:rPr>
      </w:r>
      <w:r>
        <w:rPr>
          <w:spacing w:val="-2"/>
        </w:rPr>
        <w:t>描述这些事项，除非法律法规禁止公开披露这些事项，或在极少数情形下，如果合理预期在审计报告中沟通某事项造成的负</w:t>
      </w:r>
      <w:r>
        <w:rPr>
          <w:spacing w:val="-66"/>
        </w:rPr>
        <w:t> </w:t>
      </w:r>
      <w:r>
        <w:rPr>
          <w:spacing w:val="-66"/>
        </w:rPr>
      </w:r>
      <w:r>
        <w:rPr/>
        <w:t>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9"/>
        <w:ind w:right="0"/>
        <w:jc w:val="both"/>
        <w:rPr>
          <w:b w:val="0"/>
          <w:bCs w:val="0"/>
        </w:rPr>
      </w:pPr>
      <w:bookmarkStart w:name="二、财务报表" w:id="156"/>
      <w:bookmarkEnd w:id="156"/>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财务附注中报表的单位为：人民币元</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bookmarkStart w:name="1、合并资产负债表" w:id="157"/>
      <w:bookmarkEnd w:id="15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t>编制单位：上海华峰超纤材料股份有限公司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left="617" w:right="-17"/>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3" w:equalWidth="0">
            <w:col w:w="4555" w:space="40"/>
            <w:col w:w="2102" w:space="2223"/>
            <w:col w:w="299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303,846,223.57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260,559,050.89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1,884,031.00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149,980,774.31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118,032,516.51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281,096,178.64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192,218,258.25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42,020,877.12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64,007,014.54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83,557,350.15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42,826,410.80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464,157,537.19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321,242,796.88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416,553,624.38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112,215,714.72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1,741,212,565.36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1,112,985,793.59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10,752,070.41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7,171,268.81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2,292,372,679.07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2,007,987,613.02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258,096,296.54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257,930,642.81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33,872,141.00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19,424,919.28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311,392,790.54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315,750,745.36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1,733,150,150.68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4,152,375.24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6,289.27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57,171,749.63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65,052,082.24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171,717,771.24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63,764,832.33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4,879,849,293.16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2,729,917,124.31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6,621,061,858.52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3,842,902,917.90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602,086,000.00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296,020,500.00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3,518,534.90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51,820,157.28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31,571,647.07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397,933,673.83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422,973,021.20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44,724,189.25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30,094,560.90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62,040,249.54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32,222,754.34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12,187,595.58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17,560,435.75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3,027,900.74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563,282.85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97,278,772.73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17,307,338.96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1,274,617,073.85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848,313,541.07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268,325,000.00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142,625,000.00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207,582,158.60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219,501,594.20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282,604.65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476,307,158.60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362,409,198.85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1,750,924,232.45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1,210,722,739.92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631,019,839.00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3,324,472,319.92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1,482,537,441.94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-434,468.53</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89,221,946.68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79,403,687.72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820,462,519.05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595,239,048.32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4,864,742,156.12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2,632,180,177.98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5,395,469.95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4,870,137,626.07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2,632,180,177.98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6,621,061,858.52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3,842,902,917.90</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法定代表人：尤小平</w:t>
        <w:tab/>
        <w:t>主管会计工作负责人：蔡开成</w:t>
        <w:tab/>
        <w:t>会计机构负责人：蔡开成</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58"/>
      <w:bookmarkEnd w:id="15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121,308,155.23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203,254,386.13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1,884,031.00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22,149,690.76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65,488,423.14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248,811,921.08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231,562,452.44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18,554,129.14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38,539,219.37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270,990,854.50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55,831,809.39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281,034,243.70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217,481,952.18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962,848,994.41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814,042,273.65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649,728,510.95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695,145,757.43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4,238,734.24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7,544,416.67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346,576.36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372,505.33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59,770,626.98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61,521,862.86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6,289.27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2,300,508.33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1,899,738.69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20,235,382.79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11,954,835.95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4,286,620,339.65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2,278,445,406.20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5,249,469,334.06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3,092,487,679.85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322,086,000.00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230,020,500.00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3,518,534.90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11,156,647.07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94,220,113.67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111,097,643.19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24,030,856.08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18,489,740.53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19,596,251.30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17,164,892.18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5,271,234.85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14,920,585.77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1,579,109.07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563,282.85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806,408.50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968,264.45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483,028,508.37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404,381,556.04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282,604.65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16,895,000.00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20,165,000.00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16,895,000.00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20,447,604.65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499,923,508.37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424,829,160.69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631,019,839.00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3,322,746,519.92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1,480,811,641.94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89,221,946.68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79,403,687.72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706,557,520.09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632,443,189.50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4,749,545,825.69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2,667,658,519.16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5,249,469,334.06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3,092,487,679.85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3、合并利润表" w:id="159"/>
      <w:bookmarkEnd w:id="159"/>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581.619995pt;width:157.7pt;height:19.650pt;mso-position-horizontal-relative:page;mso-position-vertical-relative:page;z-index:-858736" coordorigin="4242,11632" coordsize="3154,393">
            <v:shape style="position:absolute;left:4242;top:11632;width:3154;height:393" coordorigin="4242,11632" coordsize="3154,393" path="m4242,12025l7396,12025,7396,11632,4242,11632,4242,12025xe" filled="true" fillcolor="#ffffff" stroked="false">
              <v:path arrowok="t"/>
              <v:fill type="solid"/>
            </v:shape>
            <w10:wrap type="none"/>
          </v:group>
        </w:pict>
      </w:r>
      <w:r>
        <w:rPr/>
        <w:pict>
          <v:group style="position:absolute;margin-left:212.119995pt;margin-top:717.839966pt;width:157.7pt;height:19.650pt;mso-position-horizontal-relative:page;mso-position-vertical-relative:page;z-index:-858712" coordorigin="4242,14357" coordsize="3154,393">
            <v:shape style="position:absolute;left:4242;top:14357;width:3154;height:393" coordorigin="4242,14357" coordsize="3154,393" path="m4242,14749l7396,14749,7396,14357,4242,14357,4242,1474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1072"/>
        <w:gridCol w:w="2151"/>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16" w:right="0"/>
              <w:jc w:val="left"/>
              <w:rPr>
                <w:rFonts w:ascii="Times New Roman" w:hAnsi="Times New Roman" w:cs="Times New Roman" w:eastAsia="Times New Roman" w:hint="default"/>
                <w:sz w:val="18"/>
                <w:szCs w:val="18"/>
              </w:rPr>
            </w:pPr>
            <w:r>
              <w:rPr>
                <w:rFonts w:ascii="Times New Roman"/>
                <w:sz w:val="18"/>
              </w:rPr>
              <w:t>2,505,593,912.49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1,439,082,922.42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16" w:right="0"/>
              <w:jc w:val="left"/>
              <w:rPr>
                <w:rFonts w:ascii="Times New Roman" w:hAnsi="Times New Roman" w:cs="Times New Roman" w:eastAsia="Times New Roman" w:hint="default"/>
                <w:sz w:val="18"/>
                <w:szCs w:val="18"/>
              </w:rPr>
            </w:pPr>
            <w:r>
              <w:rPr>
                <w:rFonts w:ascii="Times New Roman"/>
                <w:sz w:val="18"/>
              </w:rPr>
              <w:t>2,505,593,912.49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1,439,082,922.42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16" w:right="0"/>
              <w:jc w:val="left"/>
              <w:rPr>
                <w:rFonts w:ascii="Times New Roman" w:hAnsi="Times New Roman" w:cs="Times New Roman" w:eastAsia="Times New Roman" w:hint="default"/>
                <w:sz w:val="18"/>
                <w:szCs w:val="18"/>
              </w:rPr>
            </w:pPr>
            <w:r>
              <w:rPr>
                <w:rFonts w:ascii="Times New Roman"/>
                <w:sz w:val="18"/>
              </w:rPr>
              <w:t>2,229,615,297.65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1,351,296,857.87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16" w:right="0"/>
              <w:jc w:val="left"/>
              <w:rPr>
                <w:rFonts w:ascii="Times New Roman" w:hAnsi="Times New Roman" w:cs="Times New Roman" w:eastAsia="Times New Roman" w:hint="default"/>
                <w:sz w:val="18"/>
                <w:szCs w:val="18"/>
              </w:rPr>
            </w:pPr>
            <w:r>
              <w:rPr>
                <w:rFonts w:ascii="Times New Roman"/>
                <w:sz w:val="18"/>
              </w:rPr>
              <w:t>1,839,322,136.26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1,140,726,044.42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11,541,853.42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7,331,483.01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49,533,616.69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30,525,844.06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283,760,363.85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161,823,974.12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30,483,884.74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-1,984,264.79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14,973,442.69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12,873,777.05</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-3,518,534.90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1,884,031.00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-3,522,433.87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-357,057.01</w:t>
            </w:r>
            <w:r>
              <w:rPr>
                <w:rFonts w:ascii="Times New Roman"/>
                <w:sz w:val="18"/>
              </w:rPr>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-2,570,655.56</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07"/>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gridSpan w:val="2"/>
            <w:tcBorders>
              <w:top w:val="single" w:sz="4" w:space="0" w:color="000000"/>
              <w:left w:val="single" w:sz="23" w:space="0" w:color="FFFFFF"/>
              <w:bottom w:val="single" w:sz="4" w:space="0" w:color="000000"/>
              <w:right w:val="single" w:sz="4" w:space="0" w:color="000000"/>
            </w:tcBorders>
          </w:tcPr>
          <w:p>
            <w:pPr>
              <w:pStyle w:val="TableParagraph"/>
              <w:spacing w:line="240" w:lineRule="auto" w:before="51"/>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22,686,851.60</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291,624,497.67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89,313,038.54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800,191.42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29,715,453.56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816,383.29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1,864,828.70</w:t>
            </w:r>
          </w:p>
        </w:tc>
      </w:tr>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2" w:type="dxa"/>
            <w:tcBorders>
              <w:top w:val="single" w:sz="4" w:space="0" w:color="000000"/>
              <w:left w:val="single" w:sz="23" w:space="0" w:color="FFFFFF"/>
              <w:bottom w:val="single" w:sz="4" w:space="0" w:color="000000"/>
              <w:right w:val="nil" w:sz="6" w:space="0" w:color="auto"/>
            </w:tcBorders>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291,608,305.80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117,163,663.40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35,803,213.33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16,615,533.50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255,805,092.47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100,548,129.90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255,805,092.47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100,548,129.90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249,291,729.69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100,548,129.90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6,513,362.78</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-434,468.53</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-434,468.53</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-434,468.53</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-434,468.53</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255,370,623.94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100,548,129.90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248,857,261.16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100,548,129.90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6,513,362.78</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321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w:t>
            </w:r>
          </w:p>
        </w:tc>
      </w:tr>
    </w:tbl>
    <w:p>
      <w:pPr>
        <w:pStyle w:val="BodyText"/>
        <w:tabs>
          <w:tab w:pos="4554" w:val="left" w:leader="none"/>
          <w:tab w:pos="869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法定代表人：尤小平</w:t>
        <w:tab/>
        <w:t>主管会计工作负责人：蔡开成</w:t>
        <w:tab/>
        <w:t>会计机构负责人：蔡开成 </w:t>
      </w:r>
      <w:bookmarkStart w:name="4、母公司利润表" w:id="160"/>
      <w:bookmarkEnd w:id="16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1,466,570,026.16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1,302,269,439.11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1,165,784,872.10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1,028,518,894.68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1,799,711.33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1,566,634.91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27,618,031.03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28,203,278.42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130,049,483.17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118,225,880.75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23,019,341.04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-1,191,037.31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1,866,035.05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6,612,028.59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-3,518,534.90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1,884,031.00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-5,038,810.35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419,700.97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3,398,216.00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111,273,423.19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122,637,491.04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508,060.70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20,641,032.05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309,309.58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1,862,258.70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111,472,174.31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141,416,264.39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13,289,584.76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22,553,325.56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98,182,589.55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118,862,938.83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98,182,589.55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118,862,938.83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98,182,589.55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118,862,938.83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合并现金流量表" w:id="161"/>
      <w:bookmarkEnd w:id="161"/>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1,682,637,673.48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5" w:right="0"/>
              <w:jc w:val="left"/>
              <w:rPr>
                <w:rFonts w:ascii="Times New Roman" w:hAnsi="Times New Roman" w:cs="Times New Roman" w:eastAsia="Times New Roman" w:hint="default"/>
                <w:sz w:val="18"/>
                <w:szCs w:val="18"/>
              </w:rPr>
            </w:pPr>
            <w:r>
              <w:rPr>
                <w:rFonts w:ascii="Times New Roman"/>
                <w:sz w:val="18"/>
              </w:rPr>
              <w:t>1,116,274,169.74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14,559,767.51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6,435,665.43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14,415,195.42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26,411,083.78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1,711,612,636.41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1,149,120,918.95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1,054,189,017.29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1,017,237,097.93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259,981,642.29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186,599,760.78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70,661,948.50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41,190,383.92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148,520,751.16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80,668,604.96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1,533,353,359.24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1,325,695,847.59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178,259,277.17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-176,574,928.64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1,023,087,032.04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289,353.42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1,578,780.93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531,220.07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1,031,165,812.97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216,580,573.49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459,117,866.74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730,655,403.88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1,138,875,000.00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155,028,232.09</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69,845,353.56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24,760,000.00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1,822,866,452.39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955,415,403.88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-791,700,639.42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-738,834,830.39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239,105,026.36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1,020,460,000.00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853,086,000.00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573,335,500.00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325,020,500.00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1,417,211,526.36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1,683,795,500.00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421,320,500.00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470,500,000.00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49,337,430.33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22,048,694.63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3,975,000.00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203,414,603.56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254,887,889.11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674,072,533.89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747,436,583.74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743,138,992.47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936,358,916.26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-8,625,185.46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2,908,500.00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121,072,444.76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23,857,657.23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101,918,748.81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78,061,091.58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222,991,193.57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101,918,748.81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6、母公司现金流量表" w:id="162"/>
      <w:bookmarkEnd w:id="162"/>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1,193,194,783.63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956,773,827.97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14,373,282.57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6,435,665.43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2,540,622.49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20,166,810.16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1,210,108,688.69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983,376,303.56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831,477,956.67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901,355,006.76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124,856,235.10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146,925,117.73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29,436,027.83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31,799,922.17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78,793,394.42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70,905,029.32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1,064,563,614.02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1,150,985,075.98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145,545,074.67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-167,608,772.42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289,353.42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4,321,413.70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531,220.07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169,233,044.96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723,624,000.00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173,554,458.66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924,444,573.49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49,891,072.06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44,000,740.50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291,150,309.38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329,314,959.48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570,283,499.17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670,356,340.92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1,714,284,239.67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-496,801,882.26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-789,839,666.18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239,105,026.36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1,020,460,000.00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377,086,000.00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303,020,500.00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115,020,500.00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731,211,526.36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1,323,480,500.00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285,020,500.00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26,446,451.50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18,401,924.99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63,091,885.00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116,313,407.11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374,558,836.50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377,715,332.10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356,652,689.86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945,765,167.90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四、汇率变动对现金及现金等价物的</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-8,188,643.17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2,908,500.00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-2,792,760.90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-8,774,770.70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61,045,886.13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69,820,656.83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58,253,125.23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61,045,886.13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7、合并所有者权益变动表" w:id="163"/>
      <w:bookmarkEnd w:id="163"/>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475,00</w:t>
            </w:r>
          </w:p>
          <w:p>
            <w:pPr>
              <w:pStyle w:val="TableParagraph"/>
              <w:spacing w:line="240" w:lineRule="auto" w:before="104"/>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1,482,5</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37,441.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79,403,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687.72</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595,239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,048.32</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2,632,1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80,177.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475,00</w:t>
            </w:r>
          </w:p>
          <w:p>
            <w:pPr>
              <w:pStyle w:val="TableParagraph"/>
              <w:spacing w:line="240" w:lineRule="auto" w:before="104"/>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1,482,5</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37,441.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79,403,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687.72</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595,239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,048.32</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2,632,1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80,177.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156,01</w:t>
            </w:r>
          </w:p>
          <w:p>
            <w:pPr>
              <w:pStyle w:val="TableParagraph"/>
              <w:spacing w:line="240" w:lineRule="auto" w:before="104"/>
              <w:ind w:left="68" w:right="0"/>
              <w:jc w:val="left"/>
              <w:rPr>
                <w:rFonts w:ascii="Times New Roman" w:hAnsi="Times New Roman" w:cs="Times New Roman" w:eastAsia="Times New Roman" w:hint="default"/>
                <w:sz w:val="18"/>
                <w:szCs w:val="18"/>
              </w:rPr>
            </w:pPr>
            <w:r>
              <w:rPr>
                <w:rFonts w:ascii="Times New Roman"/>
                <w:sz w:val="18"/>
              </w:rPr>
              <w:t>9,839.</w:t>
            </w:r>
          </w:p>
          <w:p>
            <w:pPr>
              <w:pStyle w:val="TableParagraph"/>
              <w:spacing w:line="240" w:lineRule="auto" w:before="106"/>
              <w:ind w:left="338"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1,841,9</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34,877.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-434,46</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8.53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9,818,2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58.96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225,223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,470.73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5,395,4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69.95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2,237,9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57,448.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09</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-434,46</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8.53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249,291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,729.69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6,513,3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62.78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255,370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,623.94</w:t>
            </w: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156,01</w:t>
            </w:r>
          </w:p>
          <w:p>
            <w:pPr>
              <w:pStyle w:val="TableParagraph"/>
              <w:spacing w:line="240" w:lineRule="auto" w:before="104"/>
              <w:ind w:left="73" w:right="0"/>
              <w:jc w:val="left"/>
              <w:rPr>
                <w:rFonts w:ascii="Times New Roman" w:hAnsi="Times New Roman" w:cs="Times New Roman" w:eastAsia="Times New Roman" w:hint="default"/>
                <w:sz w:val="18"/>
                <w:szCs w:val="18"/>
              </w:rPr>
            </w:pPr>
            <w:r>
              <w:rPr>
                <w:rFonts w:ascii="Times New Roman"/>
                <w:sz w:val="18"/>
              </w:rPr>
              <w:t>9,839.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1,841,9</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34,877.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1,997,9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54,716.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r>
      <w:tr>
        <w:trPr>
          <w:trHeight w:val="70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156,01</w:t>
            </w:r>
          </w:p>
          <w:p>
            <w:pPr>
              <w:pStyle w:val="TableParagraph"/>
              <w:spacing w:line="240" w:lineRule="auto" w:before="104"/>
              <w:ind w:left="73" w:right="0"/>
              <w:jc w:val="left"/>
              <w:rPr>
                <w:rFonts w:ascii="Times New Roman" w:hAnsi="Times New Roman" w:cs="Times New Roman" w:eastAsia="Times New Roman" w:hint="default"/>
                <w:sz w:val="18"/>
                <w:szCs w:val="18"/>
              </w:rPr>
            </w:pPr>
            <w:r>
              <w:rPr>
                <w:rFonts w:ascii="Times New Roman"/>
                <w:sz w:val="18"/>
              </w:rPr>
              <w:t>9,839.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1,841,9</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34,877.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1,997,9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54,716.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r>
      <w:tr>
        <w:trPr>
          <w:trHeight w:val="70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9,818,2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58.96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-24,068,</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258.96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-3,975,0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-18,225,</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9,818,2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58.96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-9,818,2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58.96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-14,250,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-3,975,0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-18,225,</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2,857,1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07.17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2,857,1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07.17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631,01</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9,839.</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3,324,4</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72,319.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-434,46</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8.53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89,221,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946.68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820,462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,519.05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5,395,4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69.95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4,870,1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37,626.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07</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9" w:lineRule="auto"/>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9"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395,00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542,077</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,441.94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67,517,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393.84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520,827</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,212.30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22,048.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395,00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542,077</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,441.94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67,517,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393.84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520,827</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,212.30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22,048.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940,460</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11,886,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293.88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74,411,</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836.02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1,106,7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58,129.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100,548</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,129.90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100,548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,129.90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940,460</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940,460</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11,886,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293.88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-26,136,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293.88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-14,250,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11,886,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293.88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-11,886,</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293.88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-14,250,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-14,250,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475,00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37,441.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79,403,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687.72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595,239</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,048.32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80,177.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8、母公司所有者权益变动表" w:id="164"/>
      <w:bookmarkEnd w:id="16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475,000,</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1,480,811</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,641.94</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79,403,68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7.72</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632,443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,189.50</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2,667,658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,519.16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475,000,</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1,480,811</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,641.94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79,403,68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7.72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632,443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,189.50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2,667,658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,519.16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156,019,</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839.00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1,841,934</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,877.98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9,818,258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74,114,</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330.59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2,081,887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,306.53</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98,182,</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589.55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98,182,58</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9.55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156,019,</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839.00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1,841,934</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,877.98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1,997,954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,716.98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156,019,</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839.00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1,841,934</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,877.98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1,997,954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,716.98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9,818,258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-24,068,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258.96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-14,250,0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9,818,258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-9,818,2</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58.96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-14,250,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-14,250,0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631,019,</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839.00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3,322,746</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,519.92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89,221,94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6.68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706,557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,520.09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4,749,545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,825.69</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5"/>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5"/>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5"/>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5"/>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395,000,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540,351,6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41.94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67,517,39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3.84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539,716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,544.55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1,542,585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,580.33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395,000,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540,351,6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41.94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67,517,39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3.84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539,716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,544.55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1,542,585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,580.33</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940,460,0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11,886,29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3.88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92,726,</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644.95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1,125,072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,938.83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118,862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,938.83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118,862,9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38.83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940,460,0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1,020,460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940,460,0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1,020,460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11,886,29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3.88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-26,136,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293.88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-14,250,0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11,886,29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3.88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-11,886,</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293.88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-14,250,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-14,250,0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475,000,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1,480,811</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,641.94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79,403,68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7.72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632,443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,189.50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2,667,658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,519.16</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134" w:right="0"/>
        <w:jc w:val="left"/>
        <w:rPr>
          <w:b w:val="0"/>
          <w:bCs w:val="0"/>
        </w:rPr>
      </w:pPr>
      <w:bookmarkStart w:name="三、公司基本情况" w:id="165"/>
      <w:bookmarkEnd w:id="165"/>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tabs>
          <w:tab w:pos="1794" w:val="left" w:leader="none"/>
        </w:tabs>
        <w:spacing w:line="319" w:lineRule="auto"/>
        <w:ind w:right="1042"/>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公司概况</w:t>
      </w:r>
      <w:r>
        <w:rPr>
          <w:w w:val="99"/>
        </w:rPr>
        <w:t> </w:t>
      </w:r>
      <w:r>
        <w:rPr/>
        <w:t>上海华峰超纤材料股份有限公司（以下简称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）是在原华峰集团上海有限公司基础上整体变更设立的股份有 </w:t>
      </w:r>
      <w:r>
        <w:rPr>
          <w:spacing w:val="-1"/>
        </w:rPr>
        <w:t>限公司，由华峰集团有限公司和尤金焕等</w:t>
      </w:r>
      <w:r>
        <w:rPr>
          <w:spacing w:val="-44"/>
        </w:rPr>
        <w:t> </w:t>
      </w:r>
      <w:r>
        <w:rPr>
          <w:rFonts w:ascii="Times New Roman" w:hAnsi="Times New Roman" w:cs="Times New Roman" w:eastAsia="Times New Roman" w:hint="default"/>
        </w:rPr>
        <w:t>38</w:t>
      </w:r>
      <w:r>
        <w:rPr>
          <w:rFonts w:ascii="Times New Roman" w:hAnsi="Times New Roman" w:cs="Times New Roman" w:eastAsia="Times New Roman" w:hint="default"/>
          <w:spacing w:val="1"/>
        </w:rPr>
        <w:t> </w:t>
      </w:r>
      <w:r>
        <w:rPr>
          <w:spacing w:val="-1"/>
        </w:rPr>
        <w:t>位自然人作为发起人，设立时注册资本为</w:t>
      </w:r>
      <w:r>
        <w:rPr>
          <w:spacing w:val="-44"/>
        </w:rPr>
        <w:t> </w:t>
      </w:r>
      <w:r>
        <w:rPr>
          <w:rFonts w:ascii="Times New Roman" w:hAnsi="Times New Roman" w:cs="Times New Roman" w:eastAsia="Times New Roman" w:hint="default"/>
          <w:spacing w:val="-1"/>
        </w:rPr>
        <w:t>11,800</w:t>
      </w:r>
      <w:r>
        <w:rPr>
          <w:rFonts w:ascii="Times New Roman" w:hAnsi="Times New Roman" w:cs="Times New Roman" w:eastAsia="Times New Roman" w:hint="default"/>
          <w:spacing w:val="1"/>
        </w:rPr>
        <w:t> </w:t>
      </w:r>
      <w:r>
        <w:rPr>
          <w:spacing w:val="-1"/>
        </w:rPr>
        <w:t>万元（每股面值人民币</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30"/>
        </w:rPr>
        <w:t>元）。</w:t>
      </w:r>
    </w:p>
    <w:p>
      <w:pPr>
        <w:pStyle w:val="BodyText"/>
        <w:spacing w:line="247" w:lineRule="exact"/>
        <w:ind w:right="0"/>
        <w:jc w:val="left"/>
      </w:pPr>
      <w:r>
        <w:rPr/>
        <w:t>公司目前持有上海市工商行政管理局颁发的注册号为</w:t>
      </w:r>
      <w:r>
        <w:rPr>
          <w:spacing w:val="-45"/>
        </w:rPr>
        <w:t> </w:t>
      </w:r>
      <w:r>
        <w:rPr>
          <w:rFonts w:ascii="Times New Roman" w:hAnsi="Times New Roman" w:cs="Times New Roman" w:eastAsia="Times New Roman" w:hint="default"/>
        </w:rPr>
        <w:t>91310000744207135C</w:t>
      </w:r>
      <w:r>
        <w:rPr>
          <w:rFonts w:ascii="Times New Roman" w:hAnsi="Times New Roman" w:cs="Times New Roman" w:eastAsia="Times New Roman" w:hint="default"/>
          <w:spacing w:val="-1"/>
        </w:rPr>
        <w:t> </w:t>
      </w:r>
      <w:r>
        <w:rPr/>
        <w:t>企业法人营业执照。</w:t>
      </w:r>
    </w:p>
    <w:p>
      <w:pPr>
        <w:pStyle w:val="BodyText"/>
        <w:spacing w:line="240" w:lineRule="auto" w:before="102"/>
        <w:ind w:right="0"/>
        <w:jc w:val="left"/>
      </w:pPr>
      <w:r>
        <w:rPr/>
        <w:t>根据本公司</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年第二次临时股东大会、第一届董事会第八次会议决议，并经中国证券监督管理委员会证监许可【</w:t>
      </w:r>
      <w:r>
        <w:rPr>
          <w:rFonts w:ascii="Times New Roman" w:hAnsi="Times New Roman" w:cs="Times New Roman" w:eastAsia="Times New Roman" w:hint="default"/>
        </w:rPr>
        <w:t>2011</w:t>
      </w:r>
      <w:r>
        <w:rPr/>
        <w:t>】</w:t>
      </w:r>
    </w:p>
    <w:p>
      <w:pPr>
        <w:pStyle w:val="BodyText"/>
        <w:spacing w:line="240" w:lineRule="auto" w:before="63"/>
        <w:ind w:left="1134" w:right="0"/>
        <w:jc w:val="left"/>
      </w:pPr>
      <w:r>
        <w:rPr>
          <w:rFonts w:ascii="Times New Roman" w:hAnsi="Times New Roman" w:cs="Times New Roman" w:eastAsia="Times New Roman" w:hint="default"/>
        </w:rPr>
        <w:t>132</w:t>
      </w:r>
      <w:r>
        <w:rPr>
          <w:rFonts w:ascii="Times New Roman" w:hAnsi="Times New Roman" w:cs="Times New Roman" w:eastAsia="Times New Roman" w:hint="default"/>
          <w:spacing w:val="-3"/>
        </w:rPr>
        <w:t> </w:t>
      </w:r>
      <w:r>
        <w:rPr/>
        <w:t>号文</w:t>
      </w:r>
      <w:r>
        <w:rPr>
          <w:rFonts w:ascii="Times New Roman" w:hAnsi="Times New Roman" w:cs="Times New Roman" w:eastAsia="Times New Roman" w:hint="default"/>
        </w:rPr>
        <w:t>“</w:t>
      </w:r>
      <w:r>
        <w:rPr/>
        <w:t>关于核准上海华峰超纤材料股份有限公司首次公开发行股票并在创业板上市的批复</w:t>
      </w:r>
      <w:r>
        <w:rPr>
          <w:rFonts w:ascii="Times New Roman" w:hAnsi="Times New Roman" w:cs="Times New Roman" w:eastAsia="Times New Roman" w:hint="default"/>
        </w:rPr>
        <w:t>”</w:t>
      </w:r>
      <w:r>
        <w:rPr/>
        <w:t>核准，本公司于</w:t>
      </w:r>
      <w:r>
        <w:rPr>
          <w:spacing w:val="-4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p>
    <w:p>
      <w:pPr>
        <w:pStyle w:val="BodyText"/>
        <w:spacing w:line="240" w:lineRule="auto" w:before="64"/>
        <w:ind w:left="1134" w:right="0"/>
        <w:jc w:val="left"/>
      </w:pP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日公开发行</w:t>
      </w:r>
      <w:r>
        <w:rPr>
          <w:spacing w:val="-45"/>
        </w:rPr>
        <w:t> </w:t>
      </w:r>
      <w:r>
        <w:rPr>
          <w:rFonts w:ascii="Times New Roman" w:hAnsi="Times New Roman" w:cs="Times New Roman" w:eastAsia="Times New Roman" w:hint="default"/>
        </w:rPr>
        <w:t>4,000</w:t>
      </w:r>
      <w:r>
        <w:rPr>
          <w:rFonts w:ascii="Times New Roman" w:hAnsi="Times New Roman" w:cs="Times New Roman" w:eastAsia="Times New Roman" w:hint="default"/>
          <w:spacing w:val="-2"/>
        </w:rPr>
        <w:t> </w:t>
      </w:r>
      <w:r>
        <w:rPr/>
        <w:t>万股，每股面值</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元，并于</w:t>
      </w:r>
      <w:r>
        <w:rPr>
          <w:spacing w:val="-4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日在深圳证券交易所上市。</w:t>
      </w:r>
    </w:p>
    <w:p>
      <w:pPr>
        <w:pStyle w:val="BodyText"/>
        <w:spacing w:line="240" w:lineRule="auto" w:before="101"/>
        <w:ind w:left="1134" w:right="0"/>
        <w:jc w:val="left"/>
        <w:rPr>
          <w:rFonts w:ascii="Times New Roman" w:hAnsi="Times New Roman" w:cs="Times New Roman" w:eastAsia="Times New Roman" w:hint="default"/>
        </w:rPr>
      </w:pPr>
      <w:r>
        <w:rPr/>
        <w:t>根据本公司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年度股东大会、第二届董事会第二十二次会议决议，本公司以</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日公司股份总数</w:t>
      </w:r>
      <w:r>
        <w:rPr>
          <w:spacing w:val="-46"/>
        </w:rPr>
        <w:t> </w:t>
      </w:r>
      <w:r>
        <w:rPr>
          <w:rFonts w:ascii="Times New Roman" w:hAnsi="Times New Roman" w:cs="Times New Roman" w:eastAsia="Times New Roman" w:hint="default"/>
        </w:rPr>
        <w:t>15,800.00</w:t>
      </w:r>
    </w:p>
    <w:p>
      <w:pPr>
        <w:pStyle w:val="BodyText"/>
        <w:spacing w:line="240" w:lineRule="auto" w:before="64"/>
        <w:ind w:left="1134" w:right="0"/>
        <w:jc w:val="left"/>
      </w:pPr>
      <w:r>
        <w:rPr>
          <w:spacing w:val="-4"/>
        </w:rPr>
        <w:t>万股为基数，以资本公积向全体股东每</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44"/>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spacing w:val="-8"/>
        </w:rPr>
        <w:t>股，合计转增股本</w:t>
      </w:r>
      <w:r>
        <w:rPr>
          <w:spacing w:val="-44"/>
        </w:rPr>
        <w:t> </w:t>
      </w:r>
      <w:r>
        <w:rPr>
          <w:rFonts w:ascii="Times New Roman" w:hAnsi="Times New Roman" w:cs="Times New Roman" w:eastAsia="Times New Roman" w:hint="default"/>
        </w:rPr>
        <w:t>23,700.00</w:t>
      </w:r>
      <w:r>
        <w:rPr>
          <w:rFonts w:ascii="Times New Roman" w:hAnsi="Times New Roman" w:cs="Times New Roman" w:eastAsia="Times New Roman" w:hint="default"/>
          <w:spacing w:val="1"/>
        </w:rPr>
        <w:t> </w:t>
      </w:r>
      <w:r>
        <w:rPr>
          <w:spacing w:val="-5"/>
        </w:rPr>
        <w:t>万元，变更后股本为人民币</w:t>
      </w:r>
      <w:r>
        <w:rPr>
          <w:spacing w:val="-44"/>
        </w:rPr>
        <w:t> </w:t>
      </w:r>
      <w:r>
        <w:rPr>
          <w:rFonts w:ascii="Times New Roman" w:hAnsi="Times New Roman" w:cs="Times New Roman" w:eastAsia="Times New Roman" w:hint="default"/>
        </w:rPr>
        <w:t>39,500.00</w:t>
      </w:r>
      <w:r>
        <w:rPr>
          <w:rFonts w:ascii="Times New Roman" w:hAnsi="Times New Roman" w:cs="Times New Roman" w:eastAsia="Times New Roman" w:hint="default"/>
          <w:spacing w:val="1"/>
        </w:rPr>
        <w:t> </w:t>
      </w:r>
      <w:r>
        <w:rPr/>
        <w:t>万元。</w:t>
      </w:r>
    </w:p>
    <w:p>
      <w:pPr>
        <w:pStyle w:val="BodyText"/>
        <w:spacing w:line="240" w:lineRule="auto" w:before="101"/>
        <w:ind w:right="0"/>
        <w:jc w:val="left"/>
      </w:pPr>
      <w:r>
        <w:rPr/>
        <w:t>根据本公司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年第一次临时股东大会决议、第二届董事会第二十四次会议决议，并经中国证券监督管理委员会证监许可</w:t>
      </w:r>
    </w:p>
    <w:p>
      <w:pPr>
        <w:pStyle w:val="BodyText"/>
        <w:spacing w:line="240" w:lineRule="auto" w:before="63"/>
        <w:ind w:right="0"/>
        <w:jc w:val="left"/>
      </w:pPr>
      <w:r>
        <w:rPr/>
        <w:t>【</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3128</w:t>
      </w:r>
      <w:r>
        <w:rPr>
          <w:rFonts w:ascii="Times New Roman" w:hAnsi="Times New Roman" w:cs="Times New Roman" w:eastAsia="Times New Roman" w:hint="default"/>
          <w:spacing w:val="-1"/>
        </w:rPr>
        <w:t> </w:t>
      </w:r>
      <w:r>
        <w:rPr/>
        <w:t>号文</w:t>
      </w:r>
      <w:r>
        <w:rPr>
          <w:rFonts w:ascii="Times New Roman" w:hAnsi="Times New Roman" w:cs="Times New Roman" w:eastAsia="Times New Roman" w:hint="default"/>
        </w:rPr>
        <w:t>“</w:t>
      </w:r>
      <w:r>
        <w:rPr/>
        <w:t>关于核准上海华峰超纤材料股份有限公司非公开发行股票的批复</w:t>
      </w:r>
      <w:r>
        <w:rPr>
          <w:rFonts w:ascii="Times New Roman" w:hAnsi="Times New Roman" w:cs="Times New Roman" w:eastAsia="Times New Roman" w:hint="default"/>
        </w:rPr>
        <w:t>”</w:t>
      </w:r>
      <w:r>
        <w:rPr/>
        <w:t>核准，本公司于</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日非</w:t>
      </w:r>
    </w:p>
    <w:p>
      <w:pPr>
        <w:pStyle w:val="BodyText"/>
        <w:spacing w:line="240" w:lineRule="auto" w:before="64"/>
        <w:ind w:left="1134" w:right="0"/>
        <w:jc w:val="left"/>
      </w:pPr>
      <w:r>
        <w:rPr/>
        <w:t>公开发行</w:t>
      </w:r>
      <w:r>
        <w:rPr>
          <w:spacing w:val="-46"/>
        </w:rPr>
        <w:t> </w:t>
      </w:r>
      <w:r>
        <w:rPr>
          <w:rFonts w:ascii="Times New Roman" w:hAnsi="Times New Roman" w:cs="Times New Roman" w:eastAsia="Times New Roman" w:hint="default"/>
        </w:rPr>
        <w:t>8,000</w:t>
      </w:r>
      <w:r>
        <w:rPr>
          <w:rFonts w:ascii="Times New Roman" w:hAnsi="Times New Roman" w:cs="Times New Roman" w:eastAsia="Times New Roman" w:hint="default"/>
          <w:spacing w:val="-1"/>
        </w:rPr>
        <w:t> </w:t>
      </w:r>
      <w:r>
        <w:rPr/>
        <w:t>万股，每股面值</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元，并于</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日在深圳证券交易所上市。</w:t>
      </w:r>
    </w:p>
    <w:p>
      <w:pPr>
        <w:pStyle w:val="BodyText"/>
        <w:spacing w:line="240" w:lineRule="auto" w:before="102"/>
        <w:ind w:left="1134" w:right="0"/>
        <w:jc w:val="left"/>
      </w:pPr>
      <w:r>
        <w:rPr/>
        <w:t>根据本公司</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年第二次临时股东大会决议、第三届董事会第十九次会议决议，并经中国证券监督管理委员会</w:t>
      </w:r>
      <w:r>
        <w:rPr>
          <w:rFonts w:ascii="Times New Roman" w:hAnsi="Times New Roman" w:cs="Times New Roman" w:eastAsia="Times New Roman" w:hint="default"/>
        </w:rPr>
        <w:t>“</w:t>
      </w:r>
      <w:r>
        <w:rPr/>
        <w:t>证监许可</w:t>
      </w:r>
    </w:p>
    <w:p>
      <w:pPr>
        <w:pStyle w:val="BodyText"/>
        <w:spacing w:line="240" w:lineRule="auto" w:before="63"/>
        <w:ind w:left="1134" w:right="0"/>
        <w:jc w:val="left"/>
      </w:pPr>
      <w:r>
        <w:rPr>
          <w:rFonts w:ascii="Times New Roman" w:hAnsi="Times New Roman" w:cs="Times New Roman" w:eastAsia="Times New Roman" w:hint="default"/>
        </w:rPr>
        <w:t>[2017]855</w:t>
      </w:r>
      <w:r>
        <w:rPr>
          <w:rFonts w:ascii="Times New Roman" w:hAnsi="Times New Roman" w:cs="Times New Roman" w:eastAsia="Times New Roman" w:hint="default"/>
          <w:spacing w:val="-14"/>
        </w:rPr>
        <w:t> </w:t>
      </w:r>
      <w:r>
        <w:rPr/>
        <w:t>号</w:t>
      </w:r>
      <w:r>
        <w:rPr>
          <w:rFonts w:ascii="Times New Roman" w:hAnsi="Times New Roman" w:cs="Times New Roman" w:eastAsia="Times New Roman" w:hint="default"/>
        </w:rPr>
        <w:t>”</w:t>
      </w:r>
      <w:r>
        <w:rPr/>
        <w:t>核准，公司向鲜丹发行</w:t>
      </w:r>
      <w:r>
        <w:rPr>
          <w:spacing w:val="-59"/>
        </w:rPr>
        <w:t> </w:t>
      </w:r>
      <w:r>
        <w:rPr>
          <w:rFonts w:ascii="Times New Roman" w:hAnsi="Times New Roman" w:cs="Times New Roman" w:eastAsia="Times New Roman" w:hint="default"/>
        </w:rPr>
        <w:t>45,923,991</w:t>
      </w:r>
      <w:r>
        <w:rPr>
          <w:rFonts w:ascii="Times New Roman" w:hAnsi="Times New Roman" w:cs="Times New Roman" w:eastAsia="Times New Roman" w:hint="default"/>
          <w:spacing w:val="-13"/>
        </w:rPr>
        <w:t> </w:t>
      </w:r>
      <w:r>
        <w:rPr/>
        <w:t>股股份，向蔡友弟发行</w:t>
      </w:r>
      <w:r>
        <w:rPr>
          <w:spacing w:val="-59"/>
        </w:rPr>
        <w:t> </w:t>
      </w:r>
      <w:r>
        <w:rPr>
          <w:rFonts w:ascii="Times New Roman" w:hAnsi="Times New Roman" w:cs="Times New Roman" w:eastAsia="Times New Roman" w:hint="default"/>
        </w:rPr>
        <w:t>29,178,369</w:t>
      </w:r>
      <w:r>
        <w:rPr>
          <w:rFonts w:ascii="Times New Roman" w:hAnsi="Times New Roman" w:cs="Times New Roman" w:eastAsia="Times New Roman" w:hint="default"/>
          <w:spacing w:val="-14"/>
        </w:rPr>
        <w:t> </w:t>
      </w:r>
      <w:r>
        <w:rPr/>
        <w:t>股股份，向北京奕铭投资管理中心（有限</w:t>
      </w:r>
    </w:p>
    <w:p>
      <w:pPr>
        <w:pStyle w:val="BodyText"/>
        <w:spacing w:line="240" w:lineRule="auto" w:before="63"/>
        <w:ind w:right="0"/>
        <w:jc w:val="left"/>
        <w:rPr>
          <w:rFonts w:ascii="Times New Roman" w:hAnsi="Times New Roman" w:cs="Times New Roman" w:eastAsia="Times New Roman" w:hint="default"/>
        </w:rPr>
      </w:pPr>
      <w:r>
        <w:rPr/>
        <w:t>合伙）发行</w:t>
      </w:r>
      <w:r>
        <w:rPr>
          <w:spacing w:val="-47"/>
        </w:rPr>
        <w:t> </w:t>
      </w:r>
      <w:r>
        <w:rPr>
          <w:rFonts w:ascii="Times New Roman" w:hAnsi="Times New Roman" w:cs="Times New Roman" w:eastAsia="Times New Roman" w:hint="default"/>
        </w:rPr>
        <w:t>20,875,797</w:t>
      </w:r>
      <w:r>
        <w:rPr>
          <w:rFonts w:ascii="Times New Roman" w:hAnsi="Times New Roman" w:cs="Times New Roman" w:eastAsia="Times New Roman" w:hint="default"/>
          <w:spacing w:val="-2"/>
        </w:rPr>
        <w:t> </w:t>
      </w:r>
      <w:r>
        <w:rPr/>
        <w:t>股股份，向王彤发行</w:t>
      </w:r>
      <w:r>
        <w:rPr>
          <w:spacing w:val="-47"/>
        </w:rPr>
        <w:t> </w:t>
      </w:r>
      <w:r>
        <w:rPr>
          <w:rFonts w:ascii="Times New Roman" w:hAnsi="Times New Roman" w:cs="Times New Roman" w:eastAsia="Times New Roman" w:hint="default"/>
        </w:rPr>
        <w:t>13,456,086</w:t>
      </w:r>
      <w:r>
        <w:rPr>
          <w:rFonts w:ascii="Times New Roman" w:hAnsi="Times New Roman" w:cs="Times New Roman" w:eastAsia="Times New Roman" w:hint="default"/>
          <w:spacing w:val="-1"/>
        </w:rPr>
        <w:t> </w:t>
      </w:r>
      <w:r>
        <w:rPr/>
        <w:t>股股份，向尤光兴发行</w:t>
      </w:r>
      <w:r>
        <w:rPr>
          <w:spacing w:val="-47"/>
        </w:rPr>
        <w:t> </w:t>
      </w:r>
      <w:r>
        <w:rPr>
          <w:rFonts w:ascii="Times New Roman" w:hAnsi="Times New Roman" w:cs="Times New Roman" w:eastAsia="Times New Roman" w:hint="default"/>
        </w:rPr>
        <w:t>8,052,307</w:t>
      </w:r>
      <w:r>
        <w:rPr>
          <w:rFonts w:ascii="Times New Roman" w:hAnsi="Times New Roman" w:cs="Times New Roman" w:eastAsia="Times New Roman" w:hint="default"/>
          <w:spacing w:val="-2"/>
        </w:rPr>
        <w:t> </w:t>
      </w:r>
      <w:r>
        <w:rPr/>
        <w:t>股股份，向邓振国发行</w:t>
      </w:r>
      <w:r>
        <w:rPr>
          <w:spacing w:val="-47"/>
        </w:rPr>
        <w:t> </w:t>
      </w:r>
      <w:r>
        <w:rPr>
          <w:rFonts w:ascii="Times New Roman" w:hAnsi="Times New Roman" w:cs="Times New Roman" w:eastAsia="Times New Roman" w:hint="default"/>
        </w:rPr>
        <w:t>5,636,154</w:t>
      </w:r>
    </w:p>
    <w:p>
      <w:pPr>
        <w:pStyle w:val="BodyText"/>
        <w:spacing w:line="240" w:lineRule="auto" w:before="63"/>
        <w:ind w:right="0"/>
        <w:jc w:val="left"/>
      </w:pPr>
      <w:r>
        <w:rPr/>
        <w:t>股股份，向蔡小如发行</w:t>
      </w:r>
      <w:r>
        <w:rPr>
          <w:spacing w:val="-62"/>
        </w:rPr>
        <w:t> </w:t>
      </w:r>
      <w:r>
        <w:rPr>
          <w:rFonts w:ascii="Times New Roman" w:hAnsi="Times New Roman" w:cs="Times New Roman" w:eastAsia="Times New Roman" w:hint="default"/>
        </w:rPr>
        <w:t>4,026,154</w:t>
      </w:r>
      <w:r>
        <w:rPr>
          <w:rFonts w:ascii="Times New Roman" w:hAnsi="Times New Roman" w:cs="Times New Roman" w:eastAsia="Times New Roman" w:hint="default"/>
          <w:spacing w:val="-17"/>
        </w:rPr>
        <w:t> </w:t>
      </w:r>
      <w:r>
        <w:rPr/>
        <w:t>股股份，向中山市微远创新投资基金管理中心（有限合伙）发行</w:t>
      </w:r>
      <w:r>
        <w:rPr>
          <w:spacing w:val="-61"/>
        </w:rPr>
        <w:t> </w:t>
      </w:r>
      <w:r>
        <w:rPr>
          <w:rFonts w:ascii="Times New Roman" w:hAnsi="Times New Roman" w:cs="Times New Roman" w:eastAsia="Times New Roman" w:hint="default"/>
        </w:rPr>
        <w:t>2,790,609</w:t>
      </w:r>
      <w:r>
        <w:rPr>
          <w:rFonts w:ascii="Times New Roman" w:hAnsi="Times New Roman" w:cs="Times New Roman" w:eastAsia="Times New Roman" w:hint="default"/>
          <w:spacing w:val="-17"/>
        </w:rPr>
        <w:t> </w:t>
      </w:r>
      <w:r>
        <w:rPr>
          <w:spacing w:val="-3"/>
        </w:rPr>
        <w:t>股股份，向于净</w:t>
      </w:r>
    </w:p>
    <w:p>
      <w:pPr>
        <w:pStyle w:val="BodyText"/>
        <w:spacing w:line="240" w:lineRule="auto" w:before="63"/>
        <w:ind w:right="0"/>
        <w:jc w:val="left"/>
      </w:pPr>
      <w:r>
        <w:rPr/>
        <w:t>发行</w:t>
      </w:r>
      <w:r>
        <w:rPr>
          <w:spacing w:val="-47"/>
        </w:rPr>
        <w:t> </w:t>
      </w:r>
      <w:r>
        <w:rPr>
          <w:rFonts w:ascii="Times New Roman" w:hAnsi="Times New Roman" w:cs="Times New Roman" w:eastAsia="Times New Roman" w:hint="default"/>
        </w:rPr>
        <w:t>3,221,154</w:t>
      </w:r>
      <w:r>
        <w:rPr>
          <w:rFonts w:ascii="Times New Roman" w:hAnsi="Times New Roman" w:cs="Times New Roman" w:eastAsia="Times New Roman" w:hint="default"/>
          <w:spacing w:val="-1"/>
        </w:rPr>
        <w:t> </w:t>
      </w:r>
      <w:r>
        <w:rPr/>
        <w:t>股股份，向林松柏发行</w:t>
      </w:r>
      <w:r>
        <w:rPr>
          <w:spacing w:val="-47"/>
        </w:rPr>
        <w:t> </w:t>
      </w:r>
      <w:r>
        <w:rPr>
          <w:rFonts w:ascii="Times New Roman" w:hAnsi="Times New Roman" w:cs="Times New Roman" w:eastAsia="Times New Roman" w:hint="default"/>
        </w:rPr>
        <w:t>3,221,153</w:t>
      </w:r>
      <w:r>
        <w:rPr>
          <w:rFonts w:ascii="Times New Roman" w:hAnsi="Times New Roman" w:cs="Times New Roman" w:eastAsia="Times New Roman" w:hint="default"/>
          <w:spacing w:val="-2"/>
        </w:rPr>
        <w:t> </w:t>
      </w:r>
      <w:r>
        <w:rPr/>
        <w:t>股股份，向叶成春发行</w:t>
      </w:r>
      <w:r>
        <w:rPr>
          <w:spacing w:val="-47"/>
        </w:rPr>
        <w:t> </w:t>
      </w:r>
      <w:r>
        <w:rPr>
          <w:rFonts w:ascii="Times New Roman" w:hAnsi="Times New Roman" w:cs="Times New Roman" w:eastAsia="Times New Roman" w:hint="default"/>
        </w:rPr>
        <w:t>1,783,951</w:t>
      </w:r>
      <w:r>
        <w:rPr>
          <w:rFonts w:ascii="Times New Roman" w:hAnsi="Times New Roman" w:cs="Times New Roman" w:eastAsia="Times New Roman" w:hint="default"/>
          <w:spacing w:val="-2"/>
        </w:rPr>
        <w:t> </w:t>
      </w:r>
      <w:r>
        <w:rPr/>
        <w:t>股股份购买相关资产，以及非公开发行</w:t>
      </w:r>
    </w:p>
    <w:p>
      <w:pPr>
        <w:pStyle w:val="BodyText"/>
        <w:spacing w:line="240" w:lineRule="auto" w:before="64"/>
        <w:ind w:right="0"/>
        <w:jc w:val="left"/>
      </w:pPr>
      <w:r>
        <w:rPr>
          <w:rFonts w:ascii="Times New Roman" w:hAnsi="Times New Roman" w:cs="Times New Roman" w:eastAsia="Times New Roman" w:hint="default"/>
        </w:rPr>
        <w:t>17,854,114</w:t>
      </w:r>
      <w:r>
        <w:rPr>
          <w:rFonts w:ascii="Times New Roman" w:hAnsi="Times New Roman" w:cs="Times New Roman" w:eastAsia="Times New Roman" w:hint="default"/>
          <w:spacing w:val="-1"/>
        </w:rPr>
        <w:t> </w:t>
      </w:r>
      <w:r>
        <w:rPr/>
        <w:t>股（每股面值</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元）人民币普通股，并于</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日在深圳证券交易所上市。</w:t>
      </w:r>
    </w:p>
    <w:p>
      <w:pPr>
        <w:pStyle w:val="BodyText"/>
        <w:spacing w:line="338" w:lineRule="auto" w:before="102"/>
        <w:ind w:right="1128"/>
        <w:jc w:val="left"/>
      </w:pPr>
      <w:r>
        <w:rPr/>
        <w:t>截止</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日，本公司累计发行股本总数</w:t>
      </w:r>
      <w:r>
        <w:rPr>
          <w:spacing w:val="-46"/>
        </w:rPr>
        <w:t> </w:t>
      </w:r>
      <w:r>
        <w:rPr>
          <w:rFonts w:ascii="Times New Roman" w:hAnsi="Times New Roman" w:cs="Times New Roman" w:eastAsia="Times New Roman" w:hint="default"/>
        </w:rPr>
        <w:t>631,019,839</w:t>
      </w:r>
      <w:r>
        <w:rPr>
          <w:rFonts w:ascii="Times New Roman" w:hAnsi="Times New Roman" w:cs="Times New Roman" w:eastAsia="Times New Roman" w:hint="default"/>
          <w:spacing w:val="-1"/>
        </w:rPr>
        <w:t> </w:t>
      </w:r>
      <w:r>
        <w:rPr/>
        <w:t>股，公司注册资本为</w:t>
      </w:r>
      <w:r>
        <w:rPr>
          <w:spacing w:val="-46"/>
        </w:rPr>
        <w:t> </w:t>
      </w:r>
      <w:r>
        <w:rPr>
          <w:rFonts w:ascii="Times New Roman" w:hAnsi="Times New Roman" w:cs="Times New Roman" w:eastAsia="Times New Roman" w:hint="default"/>
        </w:rPr>
        <w:t>631,019,839.00 </w:t>
      </w:r>
      <w:r>
        <w:rPr/>
        <w:t>元。 </w:t>
      </w:r>
      <w:r>
        <w:rPr>
          <w:spacing w:val="-5"/>
        </w:rPr>
        <w:t>公司经营范围：超细纤维聚氨酯合成革（不含危险化学品）、聚氨酯革用树脂的研发、生产，化工产品（除危险品）、塑料制</w:t>
      </w:r>
      <w:r>
        <w:rPr>
          <w:spacing w:val="-85"/>
        </w:rPr>
        <w:t> </w:t>
      </w:r>
      <w:r>
        <w:rPr>
          <w:spacing w:val="-85"/>
        </w:rPr>
      </w:r>
      <w:r>
        <w:rPr>
          <w:spacing w:val="-4"/>
        </w:rPr>
        <w:t>品、皮革制品的销售，从事货物与技术进出口业务。（企业经营涉及行政许可的，凭许可证件经营）。</w:t>
      </w:r>
      <w:r>
        <w:rPr/>
        <w:t> 公司注册地：上海市金山区，总部地址：上海市金山区。</w:t>
      </w:r>
    </w:p>
    <w:p>
      <w:pPr>
        <w:pStyle w:val="BodyText"/>
        <w:spacing w:line="240" w:lineRule="auto" w:before="42"/>
        <w:ind w:left="1134" w:right="0"/>
        <w:jc w:val="left"/>
      </w:pPr>
      <w:r>
        <w:rPr/>
        <w:t>本财务报表业经公司董事会于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日批准报出。</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left="1134"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合并财务报表范围</w:t>
      </w:r>
    </w:p>
    <w:p>
      <w:pPr>
        <w:pStyle w:val="BodyText"/>
        <w:spacing w:line="240" w:lineRule="auto" w:before="102"/>
        <w:ind w:left="1134" w:right="0"/>
        <w:jc w:val="left"/>
      </w:pPr>
      <w:r>
        <w:rPr/>
        <w:t>截止</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日，本公司合并财务报表范围内子公司如下：</w:t>
      </w:r>
    </w:p>
    <w:p>
      <w:pPr>
        <w:spacing w:line="240" w:lineRule="auto" w:before="13"/>
        <w:rPr>
          <w:rFonts w:ascii="宋体" w:hAnsi="宋体" w:cs="宋体" w:eastAsia="宋体" w:hint="default"/>
          <w:sz w:val="6"/>
          <w:szCs w:val="6"/>
        </w:rPr>
      </w:pPr>
    </w:p>
    <w:tbl>
      <w:tblPr>
        <w:tblW w:w="0" w:type="auto"/>
        <w:jc w:val="left"/>
        <w:tblInd w:w="1134" w:type="dxa"/>
        <w:tblLayout w:type="fixed"/>
        <w:tblCellMar>
          <w:top w:w="0" w:type="dxa"/>
          <w:left w:w="0" w:type="dxa"/>
          <w:bottom w:w="0" w:type="dxa"/>
          <w:right w:w="0" w:type="dxa"/>
        </w:tblCellMar>
        <w:tblLook w:val="01E0"/>
      </w:tblPr>
      <w:tblGrid>
        <w:gridCol w:w="8524"/>
      </w:tblGrid>
      <w:tr>
        <w:trPr>
          <w:trHeight w:val="435" w:hRule="exact"/>
        </w:trPr>
        <w:tc>
          <w:tcPr>
            <w:tcW w:w="8524" w:type="dxa"/>
            <w:tcBorders>
              <w:top w:val="single" w:sz="6" w:space="0" w:color="000000"/>
              <w:left w:val="nil" w:sz="6" w:space="0" w:color="auto"/>
              <w:bottom w:val="single" w:sz="12" w:space="0" w:color="000000"/>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432" w:hRule="exact"/>
        </w:trPr>
        <w:tc>
          <w:tcPr>
            <w:tcW w:w="852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江苏华峰超纤材料有限公司（以下简称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江苏超纤</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34" w:type="dxa"/>
        <w:tblLayout w:type="fixed"/>
        <w:tblCellMar>
          <w:top w:w="0" w:type="dxa"/>
          <w:left w:w="0" w:type="dxa"/>
          <w:bottom w:w="0" w:type="dxa"/>
          <w:right w:w="0" w:type="dxa"/>
        </w:tblCellMar>
        <w:tblLook w:val="01E0"/>
      </w:tblPr>
      <w:tblGrid>
        <w:gridCol w:w="8524"/>
      </w:tblGrid>
      <w:tr>
        <w:trPr>
          <w:trHeight w:val="435" w:hRule="exact"/>
        </w:trPr>
        <w:tc>
          <w:tcPr>
            <w:tcW w:w="8524" w:type="dxa"/>
            <w:tcBorders>
              <w:top w:val="single" w:sz="6" w:space="0" w:color="000000"/>
              <w:left w:val="nil" w:sz="6" w:space="0" w:color="auto"/>
              <w:bottom w:val="single" w:sz="12" w:space="0" w:color="000000"/>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江苏华峰化学有限公司（以下简称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江苏化学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32" w:hRule="exact"/>
        </w:trPr>
        <w:tc>
          <w:tcPr>
            <w:tcW w:w="852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深圳市威富通科技有限公司（以下简称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威富通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32" w:hRule="exact"/>
        </w:trPr>
        <w:tc>
          <w:tcPr>
            <w:tcW w:w="852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深圳市购购通电商科技有限公司（以下简称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购购通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32" w:hRule="exact"/>
        </w:trPr>
        <w:tc>
          <w:tcPr>
            <w:tcW w:w="852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跨境通移动科技有限公司（以下简称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跨境通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32" w:hRule="exact"/>
        </w:trPr>
        <w:tc>
          <w:tcPr>
            <w:tcW w:w="852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深圳市智付通信息服务有限公司（以下简称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智付通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32" w:hRule="exact"/>
        </w:trPr>
        <w:tc>
          <w:tcPr>
            <w:tcW w:w="852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深圳市白龙移动科技有限公司（以下简称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白龙移动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32" w:hRule="exact"/>
        </w:trPr>
        <w:tc>
          <w:tcPr>
            <w:tcW w:w="852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深圳市智易信息服务有限公司（以下简称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智易信息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2"/>
        <w:spacing w:line="240" w:lineRule="auto" w:before="26"/>
        <w:ind w:left="1134" w:right="0"/>
        <w:jc w:val="left"/>
        <w:rPr>
          <w:b w:val="0"/>
          <w:bCs w:val="0"/>
        </w:rPr>
      </w:pPr>
      <w:bookmarkStart w:name="四、财务报表的编制基础" w:id="166"/>
      <w:bookmarkEnd w:id="166"/>
      <w:r>
        <w:rPr>
          <w:b w:val="0"/>
          <w:bCs w:val="0"/>
        </w:rPr>
      </w:r>
      <w:r>
        <w:rPr/>
        <w:t>四、财务报表的编制基础</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118"/>
        <w:jc w:val="left"/>
      </w:pPr>
      <w:r>
        <w:rPr>
          <w:rFonts w:ascii="Times New Roman" w:hAnsi="Times New Roman" w:cs="Times New Roman" w:eastAsia="Times New Roman" w:hint="default"/>
        </w:rPr>
        <w:t>1</w:t>
      </w:r>
      <w:r>
        <w:rPr/>
        <w:t>、编制基础 </w:t>
      </w: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基本准则》和各项具体会计准</w:t>
      </w:r>
      <w:r>
        <w:rPr>
          <w:spacing w:val="-66"/>
        </w:rPr>
        <w:t> </w:t>
      </w:r>
      <w:r>
        <w:rPr>
          <w:spacing w:val="-66"/>
        </w:rPr>
      </w:r>
      <w:r>
        <w:rPr>
          <w:spacing w:val="-2"/>
          <w:w w:val="100"/>
        </w:rPr>
        <w:t>则、企业会计准则应用指南、企业会计准则解释及其他相关规定（以下合称</w:t>
      </w:r>
      <w:r>
        <w:rPr>
          <w:rFonts w:ascii="Times New Roman" w:hAnsi="Times New Roman" w:cs="Times New Roman" w:eastAsia="Times New Roman" w:hint="default"/>
          <w:spacing w:val="-2"/>
          <w:w w:val="100"/>
        </w:rPr>
        <w:t>“</w:t>
      </w:r>
      <w:r>
        <w:rPr>
          <w:spacing w:val="-2"/>
          <w:w w:val="100"/>
        </w:rPr>
        <w:t>企业会计准则</w:t>
      </w:r>
      <w:r>
        <w:rPr>
          <w:rFonts w:ascii="Times New Roman" w:hAnsi="Times New Roman" w:cs="Times New Roman" w:eastAsia="Times New Roman" w:hint="default"/>
          <w:spacing w:val="-2"/>
          <w:w w:val="100"/>
        </w:rPr>
        <w:t>”</w:t>
      </w:r>
      <w:r>
        <w:rPr>
          <w:spacing w:val="-2"/>
          <w:w w:val="100"/>
        </w:rPr>
        <w:t>），以及中国证券监督管理委员</w:t>
      </w:r>
    </w:p>
    <w:p>
      <w:pPr>
        <w:pStyle w:val="BodyText"/>
        <w:spacing w:line="247" w:lineRule="exact"/>
        <w:ind w:right="0"/>
        <w:jc w:val="left"/>
      </w:pPr>
      <w:r>
        <w:rPr/>
        <w:t>会《公开发行证券的公司信息披露编报规则第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left="1134" w:right="0"/>
        <w:jc w:val="left"/>
      </w:pPr>
      <w:r>
        <w:rPr>
          <w:rFonts w:ascii="Times New Roman" w:hAnsi="Times New Roman" w:cs="Times New Roman" w:eastAsia="Times New Roman" w:hint="default"/>
        </w:rPr>
        <w:t>2</w:t>
      </w:r>
      <w:r>
        <w:rPr/>
        <w:t>、持续经营</w:t>
      </w:r>
    </w:p>
    <w:p>
      <w:pPr>
        <w:pStyle w:val="BodyText"/>
        <w:spacing w:line="240" w:lineRule="auto" w:before="78"/>
        <w:ind w:right="0"/>
        <w:jc w:val="left"/>
        <w:rPr>
          <w:sz w:val="21"/>
          <w:szCs w:val="21"/>
        </w:rPr>
      </w:pPr>
      <w:r>
        <w:rPr/>
        <w:t>公司自报告期末起至少</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个月以内具备持续经营能力，不存在影响持续经营能力的重大事</w:t>
      </w:r>
      <w:r>
        <w:rPr>
          <w:sz w:val="21"/>
          <w:szCs w:val="21"/>
        </w:rPr>
        <w:t>项。</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8"/>
          <w:szCs w:val="28"/>
        </w:rPr>
      </w:pPr>
    </w:p>
    <w:p>
      <w:pPr>
        <w:pStyle w:val="Heading2"/>
        <w:spacing w:line="240" w:lineRule="auto"/>
        <w:ind w:right="0"/>
        <w:jc w:val="left"/>
        <w:rPr>
          <w:b w:val="0"/>
          <w:bCs w:val="0"/>
        </w:rPr>
      </w:pPr>
      <w:bookmarkStart w:name="五、重要会计政策及会计估计" w:id="167"/>
      <w:bookmarkEnd w:id="167"/>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否</w:t>
      </w:r>
    </w:p>
    <w:p>
      <w:pPr>
        <w:pStyle w:val="BodyText"/>
        <w:spacing w:line="357" w:lineRule="auto" w:before="29"/>
        <w:ind w:left="1134" w:right="8092"/>
        <w:jc w:val="left"/>
      </w:pPr>
      <w:r>
        <w:rPr/>
        <w:t>具体会计政策和会计估计提示： 无</w:t>
      </w:r>
    </w:p>
    <w:p>
      <w:pPr>
        <w:spacing w:line="240" w:lineRule="auto" w:before="2"/>
        <w:rPr>
          <w:rFonts w:ascii="宋体" w:hAnsi="宋体" w:cs="宋体" w:eastAsia="宋体" w:hint="default"/>
          <w:sz w:val="20"/>
          <w:szCs w:val="20"/>
        </w:rPr>
      </w:pPr>
    </w:p>
    <w:p>
      <w:pPr>
        <w:pStyle w:val="Heading3"/>
        <w:spacing w:line="240" w:lineRule="auto"/>
        <w:ind w:left="1134" w:right="0"/>
        <w:jc w:val="left"/>
        <w:rPr>
          <w:b w:val="0"/>
          <w:bCs w:val="0"/>
        </w:rPr>
      </w:pPr>
      <w:bookmarkStart w:name="1、遵循企业会计准则的声明" w:id="168"/>
      <w:bookmarkEnd w:id="168"/>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118"/>
        <w:jc w:val="left"/>
      </w:pPr>
      <w:r>
        <w:rPr>
          <w:spacing w:val="-2"/>
        </w:rPr>
        <w:t>公司所编制的财务报表符合企业会计准则的要求，真实、完整地反映了报告期公司的财务状况、经营成果、现金流量等有关</w:t>
      </w:r>
      <w:r>
        <w:rPr>
          <w:spacing w:val="-66"/>
        </w:rPr>
        <w:t> </w:t>
      </w:r>
      <w:r>
        <w:rPr>
          <w:spacing w:val="-66"/>
        </w:rPr>
      </w:r>
      <w:r>
        <w:rPr/>
        <w:t>信息。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left="1134" w:right="0"/>
        <w:jc w:val="left"/>
        <w:rPr>
          <w:b w:val="0"/>
          <w:bCs w:val="0"/>
        </w:rPr>
      </w:pPr>
      <w:bookmarkStart w:name="2、会计期间" w:id="169"/>
      <w:bookmarkEnd w:id="169"/>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自公历</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 </w:t>
      </w:r>
      <w:r>
        <w:rPr/>
        <w:t>日至</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 </w:t>
      </w:r>
      <w:r>
        <w:rPr/>
        <w:t>日止为一个会计年度；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3"/>
        <w:spacing w:line="240" w:lineRule="auto"/>
        <w:ind w:left="1134" w:right="0"/>
        <w:jc w:val="left"/>
        <w:rPr>
          <w:b w:val="0"/>
          <w:bCs w:val="0"/>
        </w:rPr>
      </w:pPr>
      <w:bookmarkStart w:name="3、营业周期" w:id="170"/>
      <w:bookmarkEnd w:id="170"/>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本公司营业周期为</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5"/>
        <w:ind w:right="0"/>
        <w:jc w:val="both"/>
        <w:rPr>
          <w:b w:val="0"/>
          <w:bCs w:val="0"/>
        </w:rPr>
      </w:pPr>
      <w:bookmarkStart w:name="4、记账本位币" w:id="171"/>
      <w:bookmarkEnd w:id="171"/>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本公司采用人民币为记账本位币。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bookmarkStart w:name="5、同一控制下和非同一控制下企业合并的会计处理方法" w:id="172"/>
      <w:bookmarkEnd w:id="172"/>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50"/>
        <w:jc w:val="both"/>
      </w:pPr>
      <w:r>
        <w:rPr>
          <w:spacing w:val="-2"/>
        </w:rPr>
        <w:t>同一控制下企业合并：本公司在企业合并中取得的资产和负债，按照合并日在被合并方资产、负债（包括最终控制方收购被</w:t>
      </w:r>
      <w:r>
        <w:rPr>
          <w:spacing w:val="-66"/>
        </w:rPr>
        <w:t> </w:t>
      </w:r>
      <w:r>
        <w:rPr>
          <w:spacing w:val="-66"/>
        </w:rPr>
      </w:r>
      <w:r>
        <w:rPr>
          <w:spacing w:val="-2"/>
        </w:rPr>
        <w:t>合并方而形成的商誉）在最终控制方合并财务报表中的账面价值计量。在合并中取得的净资产账面价值与支付的合并对价账</w:t>
      </w:r>
      <w:r>
        <w:rPr>
          <w:spacing w:val="-64"/>
        </w:rPr>
        <w:t> </w:t>
      </w:r>
      <w:r>
        <w:rPr>
          <w:spacing w:val="-64"/>
        </w:rPr>
      </w:r>
      <w:r>
        <w:rPr/>
        <w:t>面价值（或发行股份面值总额）的差额，调整资本公积中的股本溢价，资本公积中的股本溢价不足冲减的，调整留存收益。</w:t>
      </w:r>
    </w:p>
    <w:p>
      <w:pPr>
        <w:pStyle w:val="BodyText"/>
        <w:spacing w:line="319" w:lineRule="auto" w:before="56"/>
        <w:ind w:right="1131"/>
        <w:jc w:val="both"/>
      </w:pPr>
      <w:r>
        <w:rPr>
          <w:spacing w:val="-2"/>
        </w:rPr>
        <w:t>非同一控制下企业合并：本公司在购买日对作为企业合并对价付出的资产、发生或承担的负债按照公允价值计量，公允价值</w:t>
      </w:r>
      <w:r>
        <w:rPr>
          <w:spacing w:val="-66"/>
        </w:rPr>
        <w:t> </w:t>
      </w:r>
      <w:r>
        <w:rPr>
          <w:spacing w:val="-66"/>
        </w:rPr>
      </w:r>
      <w:r>
        <w:rPr>
          <w:spacing w:val="-2"/>
        </w:rPr>
        <w:t>与其账面价值的差额，计入当期损益。本公司对合并成本大于合并中取得的被购买方可辨认净资产公允价值份额的差额，确</w:t>
      </w:r>
      <w:r>
        <w:rPr>
          <w:spacing w:val="-66"/>
        </w:rPr>
        <w:t> </w:t>
      </w:r>
      <w:r>
        <w:rPr>
          <w:spacing w:val="-66"/>
        </w:rPr>
      </w:r>
      <w:r>
        <w:rPr/>
        <w:t>认为商誉；合并成本小于合并中取得的被购买方可辨认净资产公允价值份额的差额，经复核后，计入当期损益。</w:t>
      </w:r>
    </w:p>
    <w:p>
      <w:pPr>
        <w:pStyle w:val="BodyText"/>
        <w:spacing w:line="319" w:lineRule="auto" w:before="55"/>
        <w:ind w:right="0"/>
        <w:jc w:val="left"/>
      </w:pPr>
      <w:r>
        <w:rPr>
          <w:spacing w:val="-2"/>
        </w:rPr>
        <w:t>为企业合并发生的审计、法律服务、评估咨询等中介费用以及其他直接相关费用，于发生时计入当期损益；为企业合并而发</w:t>
      </w:r>
      <w:r>
        <w:rPr>
          <w:spacing w:val="-66"/>
        </w:rPr>
        <w:t> </w:t>
      </w:r>
      <w:r>
        <w:rPr>
          <w:spacing w:val="-66"/>
        </w:rPr>
      </w:r>
      <w:r>
        <w:rPr/>
        <w:t>行权益性证券的交易费用，冲减权益。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right="0"/>
        <w:jc w:val="both"/>
        <w:rPr>
          <w:b w:val="0"/>
          <w:bCs w:val="0"/>
        </w:rPr>
      </w:pPr>
      <w:bookmarkStart w:name="6、合并财务报表的编制方法" w:id="173"/>
      <w:bookmarkEnd w:id="173"/>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9"/>
        <w:rPr>
          <w:rFonts w:ascii="宋体" w:hAnsi="宋体" w:cs="宋体" w:eastAsia="宋体" w:hint="default"/>
          <w:b/>
          <w:bCs/>
          <w:sz w:val="26"/>
          <w:szCs w:val="26"/>
        </w:rPr>
      </w:pPr>
    </w:p>
    <w:p>
      <w:pPr>
        <w:pStyle w:val="BodyText"/>
        <w:spacing w:line="328" w:lineRule="auto"/>
        <w:ind w:right="1118"/>
        <w:jc w:val="left"/>
      </w:pPr>
      <w:r>
        <w:rPr>
          <w:rFonts w:ascii="Times New Roman" w:hAnsi="Times New Roman" w:cs="Times New Roman" w:eastAsia="Times New Roman" w:hint="default"/>
        </w:rPr>
        <w:t>1</w:t>
      </w:r>
      <w:r>
        <w:rPr/>
        <w:t>、</w:t>
      </w:r>
      <w:r>
        <w:rPr>
          <w:spacing w:val="60"/>
        </w:rPr>
        <w:t> </w:t>
      </w:r>
      <w:r>
        <w:rPr/>
        <w:t>合并范围</w:t>
      </w:r>
      <w:r>
        <w:rPr/>
        <w:t> </w:t>
      </w:r>
      <w:r>
        <w:rPr>
          <w:spacing w:val="-2"/>
        </w:rPr>
        <w:t>本公司合并财务报表的合并范围以控制为基础确定，所有子公司（包括本公司所控制的被投资方可分割的部分）均纳入合并</w:t>
      </w:r>
      <w:r>
        <w:rPr>
          <w:spacing w:val="-66"/>
        </w:rPr>
        <w:t> </w:t>
      </w:r>
      <w:r>
        <w:rPr>
          <w:spacing w:val="-66"/>
        </w:rPr>
      </w:r>
      <w:r>
        <w:rPr/>
        <w:t>财务报表。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pStyle w:val="BodyText"/>
        <w:spacing w:line="324" w:lineRule="auto"/>
        <w:ind w:right="1118"/>
        <w:jc w:val="left"/>
      </w:pPr>
      <w:r>
        <w:rPr>
          <w:rFonts w:ascii="Times New Roman" w:hAnsi="Times New Roman" w:cs="Times New Roman" w:eastAsia="Times New Roman" w:hint="default"/>
        </w:rPr>
        <w:t>2</w:t>
      </w:r>
      <w:r>
        <w:rPr/>
        <w:t>、</w:t>
      </w:r>
      <w:r>
        <w:rPr>
          <w:spacing w:val="60"/>
        </w:rPr>
        <w:t> </w:t>
      </w:r>
      <w:r>
        <w:rPr/>
        <w:t>合并程序</w:t>
      </w:r>
      <w:r>
        <w:rPr/>
        <w:t> </w:t>
      </w:r>
      <w:r>
        <w:rPr>
          <w:spacing w:val="-2"/>
        </w:rPr>
        <w:t>本公司以自身和各子公司的财务报表为基础，根据其他有关资料，编制合并财务报表。本公司编制合并财务报表，将整个企</w:t>
      </w:r>
      <w:r>
        <w:rPr>
          <w:spacing w:val="-66"/>
        </w:rPr>
        <w:t> </w:t>
      </w:r>
      <w:r>
        <w:rPr>
          <w:spacing w:val="-66"/>
        </w:rPr>
      </w:r>
      <w:r>
        <w:rPr>
          <w:spacing w:val="-2"/>
        </w:rPr>
        <w:t>业集团视为一个会计主体，依据相关企业会计准则的确认、计量和列报要求，按照统一的会计政策，反映本企业集团整体财</w:t>
      </w:r>
      <w:r>
        <w:rPr>
          <w:spacing w:val="-66"/>
        </w:rPr>
        <w:t> </w:t>
      </w:r>
      <w:r>
        <w:rPr>
          <w:spacing w:val="-66"/>
        </w:rPr>
      </w:r>
      <w:r>
        <w:rPr/>
        <w:t>务状况、经营成果和现金流量。</w:t>
      </w:r>
    </w:p>
    <w:p>
      <w:pPr>
        <w:pStyle w:val="BodyText"/>
        <w:spacing w:line="319" w:lineRule="auto" w:before="52"/>
        <w:ind w:left="1134" w:right="1131"/>
        <w:jc w:val="both"/>
      </w:pPr>
      <w:r>
        <w:rPr>
          <w:spacing w:val="-2"/>
        </w:rPr>
        <w:t>所有纳入合并财务报表合并范围的子公司所采用的会计政策、会计期间与本公司一致，如子公司采用的会计政策、会计期间</w:t>
      </w:r>
      <w:r>
        <w:rPr>
          <w:spacing w:val="-66"/>
        </w:rPr>
        <w:t> </w:t>
      </w:r>
      <w:r>
        <w:rPr>
          <w:spacing w:val="-66"/>
        </w:rPr>
      </w:r>
      <w:r>
        <w:rPr>
          <w:spacing w:val="-2"/>
        </w:rPr>
        <w:t>与本公司不一致的，在编制合并财务报表时，按本公司的会计政策、会计期间进行必要的调整。对于非同一控制下企业合并</w:t>
      </w:r>
      <w:r>
        <w:rPr>
          <w:spacing w:val="-66"/>
        </w:rPr>
        <w:t> </w:t>
      </w:r>
      <w:r>
        <w:rPr>
          <w:spacing w:val="-66"/>
        </w:rPr>
      </w:r>
      <w:r>
        <w:rPr>
          <w:spacing w:val="-2"/>
        </w:rPr>
        <w:t>取得的子公司，以购买日可辨认净资产公允价值为基础对其财务报表进行调整。对于同一控制下企业合并取得的子公司，以</w:t>
      </w:r>
      <w:r>
        <w:rPr>
          <w:spacing w:val="-66"/>
        </w:rPr>
        <w:t> </w:t>
      </w:r>
      <w:r>
        <w:rPr>
          <w:spacing w:val="-66"/>
        </w:rPr>
      </w:r>
      <w:r>
        <w:rPr>
          <w:spacing w:val="-2"/>
        </w:rPr>
        <w:t>其资产、负债（包括最终控制方收购该子公司而形成的商誉）在最终控制方财务报表中的账面价值为基础对其财务报表进行</w:t>
      </w:r>
      <w:r>
        <w:rPr>
          <w:spacing w:val="-66"/>
        </w:rPr>
        <w:t> </w:t>
      </w:r>
      <w:r>
        <w:rPr>
          <w:spacing w:val="-66"/>
        </w:rPr>
      </w:r>
      <w:r>
        <w:rPr/>
        <w:t>调整。</w:t>
      </w:r>
    </w:p>
    <w:p>
      <w:pPr>
        <w:pStyle w:val="BodyText"/>
        <w:spacing w:line="319" w:lineRule="auto" w:before="56"/>
        <w:ind w:left="1134" w:right="1131"/>
        <w:jc w:val="both"/>
      </w:pPr>
      <w:r>
        <w:rPr>
          <w:spacing w:val="-2"/>
        </w:rPr>
        <w:t>子公司所有者权益、当期净损益和当期综合收益中属于少数股东的份额分别在合并资产负债表中所有者权益项目下、合并利</w:t>
      </w:r>
      <w:r>
        <w:rPr>
          <w:spacing w:val="-64"/>
        </w:rPr>
        <w:t> </w:t>
      </w:r>
      <w:r>
        <w:rPr>
          <w:spacing w:val="-64"/>
        </w:rPr>
      </w:r>
      <w:r>
        <w:rPr>
          <w:spacing w:val="-2"/>
        </w:rPr>
        <w:t>润表中净利润项目下和综合收益总额项目下单独列示。子公司少数股东分担的当期亏损超过了少数股东在该子公司期初所有</w:t>
      </w:r>
      <w:r>
        <w:rPr>
          <w:spacing w:val="-64"/>
        </w:rPr>
        <w:t> </w:t>
      </w:r>
      <w:r>
        <w:rPr>
          <w:spacing w:val="-64"/>
        </w:rPr>
      </w:r>
      <w:r>
        <w:rPr/>
        <w:t>者权益中所享有份额而形成的余额，冲减少数股东权益。</w:t>
      </w:r>
    </w:p>
    <w:p>
      <w:pPr>
        <w:pStyle w:val="BodyText"/>
        <w:spacing w:line="324" w:lineRule="auto" w:before="56"/>
        <w:ind w:right="0"/>
        <w:jc w:val="left"/>
      </w:pPr>
      <w:r>
        <w:rPr/>
        <w:t>（</w:t>
      </w: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在报告期内，若因同一控制下企业合并增加子公司或业务的，则调整合并资产负债表的期初数；将子公司或业务合并当期期</w:t>
      </w:r>
      <w:r>
        <w:rPr>
          <w:spacing w:val="-66"/>
        </w:rPr>
        <w:t> </w:t>
      </w:r>
      <w:r>
        <w:rPr>
          <w:spacing w:val="-66"/>
        </w:rPr>
      </w:r>
      <w:r>
        <w:rPr>
          <w:spacing w:val="-2"/>
        </w:rPr>
        <w:t>初至报告期末的收入、费用、利润纳入合并利润表；将子公司或业务合并当期期初至报告期末的现金流量纳入合并现金流量</w:t>
      </w:r>
      <w:r>
        <w:rPr>
          <w:spacing w:val="-66"/>
        </w:rPr>
        <w:t> </w:t>
      </w:r>
      <w:r>
        <w:rPr>
          <w:spacing w:val="-66"/>
        </w:rPr>
      </w:r>
      <w:r>
        <w:rPr/>
        <w:t>表，同时对比较报表的相关项目进行调整，视同合并后的报告主体自最终控制方开始控制时点起一直存在。</w:t>
      </w:r>
    </w:p>
    <w:p>
      <w:pPr>
        <w:pStyle w:val="BodyText"/>
        <w:spacing w:line="316" w:lineRule="auto" w:before="52"/>
        <w:ind w:right="0"/>
        <w:jc w:val="left"/>
      </w:pPr>
      <w:r>
        <w:rPr>
          <w:spacing w:val="-2"/>
        </w:rPr>
        <w:t>因追加投资等原因能够对同一控制下的被投资方实施控制的，视同参与合并的各方在最终控制方开始控制时即以目前的状态</w:t>
      </w:r>
      <w:r>
        <w:rPr>
          <w:spacing w:val="-64"/>
        </w:rPr>
        <w:t> </w:t>
      </w:r>
      <w:r>
        <w:rPr>
          <w:spacing w:val="-64"/>
        </w:rPr>
      </w:r>
      <w:r>
        <w:rPr>
          <w:spacing w:val="-2"/>
        </w:rPr>
        <w:t>存在进行调整。在取得被合并方控制权之前持有的股权投资，在取得原股权之日与合并方和被合并方同处于同一控制之日孰</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38" w:lineRule="auto" w:before="44"/>
        <w:ind w:right="1118"/>
        <w:jc w:val="left"/>
      </w:pPr>
      <w:r>
        <w:rPr>
          <w:spacing w:val="-2"/>
        </w:rPr>
        <w:t>晚日起至合并日之间已确认有关损益、其他综合收益以及其他净资产变动，分别冲减比较报表期间的期初留存收益或当期损</w:t>
      </w:r>
      <w:r>
        <w:rPr>
          <w:spacing w:val="-64"/>
        </w:rPr>
        <w:t> </w:t>
      </w:r>
      <w:r>
        <w:rPr>
          <w:spacing w:val="-64"/>
        </w:rPr>
      </w:r>
      <w:r>
        <w:rPr/>
        <w:t>益。 </w:t>
      </w:r>
      <w:r>
        <w:rPr>
          <w:spacing w:val="-2"/>
        </w:rPr>
        <w:t>在报告期内，若因非同一控制下企业合并增加子公司或业务的，则不调整合并资产负债表期初数；将该子公司或业务自购买</w:t>
      </w:r>
    </w:p>
    <w:p>
      <w:pPr>
        <w:pStyle w:val="BodyText"/>
        <w:spacing w:line="338" w:lineRule="auto" w:before="4"/>
        <w:ind w:left="1134" w:right="1032"/>
        <w:jc w:val="left"/>
      </w:pPr>
      <w:r>
        <w:rPr/>
        <w:t>日至报告期末的收入、费用、利润纳入合并利润表；该子公司或业务自购买日至报告期末的现金流量纳入合并现金流量表。 </w:t>
      </w:r>
      <w:r>
        <w:rPr>
          <w:spacing w:val="-2"/>
        </w:rPr>
        <w:t>因追加投资等原因能够对非同一控制下的被投资方实施控制的，对于购买日之前持有的被购买方的股权，本公司按照该股权</w:t>
      </w:r>
      <w:r>
        <w:rPr>
          <w:spacing w:val="-64"/>
        </w:rPr>
        <w:t> </w:t>
      </w:r>
      <w:r>
        <w:rPr>
          <w:spacing w:val="-64"/>
        </w:rPr>
      </w:r>
      <w:r>
        <w:rPr>
          <w:spacing w:val="-2"/>
        </w:rPr>
        <w:t>在购买日的公允价值进行重新计量，公允价值与其账面价值的差额计入当期投资收益。购买日之前持有的被购买方的股权涉</w:t>
      </w:r>
    </w:p>
    <w:p>
      <w:pPr>
        <w:pStyle w:val="BodyText"/>
        <w:spacing w:line="319" w:lineRule="auto" w:before="2"/>
        <w:ind w:left="1134" w:right="1131"/>
        <w:jc w:val="both"/>
      </w:pPr>
      <w:r>
        <w:rPr>
          <w:spacing w:val="-2"/>
        </w:rPr>
        <w:t>及权益法核算下的其他综合收益以及除净损益、其他综合收益和利润分配之外的其他所有者权益变动的，与其相关的其他综</w:t>
      </w:r>
      <w:r>
        <w:rPr>
          <w:spacing w:val="-64"/>
        </w:rPr>
        <w:t> </w:t>
      </w:r>
      <w:r>
        <w:rPr>
          <w:spacing w:val="-64"/>
        </w:rPr>
      </w:r>
      <w:r>
        <w:rPr>
          <w:spacing w:val="-2"/>
        </w:rPr>
        <w:t>合收益、其他所有者权益变动转为购买日所属当期投资收益，由于被投资方重新计量设定受益计划净负债或净资产变动而产</w:t>
      </w:r>
      <w:r>
        <w:rPr>
          <w:spacing w:val="-64"/>
        </w:rPr>
        <w:t> </w:t>
      </w:r>
      <w:r>
        <w:rPr>
          <w:spacing w:val="-64"/>
        </w:rPr>
      </w:r>
      <w:r>
        <w:rPr/>
        <w:t>生的其他综合收益除外。</w:t>
      </w:r>
    </w:p>
    <w:p>
      <w:pPr>
        <w:pStyle w:val="BodyText"/>
        <w:spacing w:line="240" w:lineRule="auto" w:before="56"/>
        <w:ind w:left="1134" w:right="0"/>
        <w:jc w:val="left"/>
      </w:pPr>
      <w:r>
        <w:rPr/>
        <w:t>（</w:t>
      </w:r>
      <w:r>
        <w:rPr>
          <w:rFonts w:ascii="Times New Roman" w:hAnsi="Times New Roman" w:cs="Times New Roman" w:eastAsia="Times New Roman" w:hint="default"/>
        </w:rPr>
        <w:t>2</w:t>
      </w:r>
      <w:r>
        <w:rPr/>
        <w:t>）处置子公司或业务</w:t>
      </w:r>
    </w:p>
    <w:p>
      <w:pPr>
        <w:pStyle w:val="BodyText"/>
        <w:spacing w:line="357" w:lineRule="auto" w:before="102"/>
        <w:ind w:right="0"/>
        <w:jc w:val="left"/>
      </w:pPr>
      <w:r>
        <w:rPr/>
        <w:t>①一般处理方法 </w:t>
      </w:r>
      <w:r>
        <w:rPr>
          <w:spacing w:val="-2"/>
        </w:rPr>
        <w:t>在报告期内，本公司处置子公司或业务，则该子公司或业务期初至处置日的收入、费用、利润纳入合并利润表；该子公司或</w:t>
      </w:r>
    </w:p>
    <w:p>
      <w:pPr>
        <w:pStyle w:val="BodyText"/>
        <w:spacing w:line="338" w:lineRule="auto"/>
        <w:ind w:left="1134" w:right="0"/>
        <w:jc w:val="left"/>
      </w:pPr>
      <w:r>
        <w:rPr/>
        <w:t>业务期初至处置日的现金流量纳入合并现金流量表。 </w:t>
      </w:r>
      <w:r>
        <w:rPr>
          <w:spacing w:val="-2"/>
        </w:rPr>
        <w:t>因处置部分股权投资或其他原因丧失了对被投资方控制权时，对于处置后的剩余股权投资，本公司按照其在丧失控制权日的</w:t>
      </w:r>
      <w:r>
        <w:rPr>
          <w:spacing w:val="-64"/>
        </w:rPr>
        <w:t> </w:t>
      </w:r>
      <w:r>
        <w:rPr>
          <w:spacing w:val="-64"/>
        </w:rPr>
      </w:r>
      <w:r>
        <w:rPr>
          <w:spacing w:val="-2"/>
        </w:rPr>
        <w:t>公允价值进行重新计量。处置股权取得的对价与剩余股权公允价值之和，减去按原持股比例计算应享有原有子公司自购买日</w:t>
      </w:r>
    </w:p>
    <w:p>
      <w:pPr>
        <w:pStyle w:val="BodyText"/>
        <w:spacing w:line="319" w:lineRule="auto" w:before="2"/>
        <w:ind w:right="1131"/>
        <w:jc w:val="both"/>
      </w:pPr>
      <w:r>
        <w:rPr>
          <w:spacing w:val="-2"/>
        </w:rPr>
        <w:t>或合并日开始持续计算的净资产的份额与商誉之和的差额，计入丧失控制权当期的投资收益。与原有子公司股权投资相关的</w:t>
      </w:r>
      <w:r>
        <w:rPr>
          <w:spacing w:val="-64"/>
        </w:rPr>
        <w:t> </w:t>
      </w:r>
      <w:r>
        <w:rPr>
          <w:spacing w:val="-64"/>
        </w:rPr>
      </w:r>
      <w:r>
        <w:rPr>
          <w:spacing w:val="-2"/>
        </w:rPr>
        <w:t>其他综合收益或除净损益、其他综合收益及利润分配之外的其他所有者权益变动，在丧失控制权时转为当期投资收益，由于</w:t>
      </w:r>
      <w:r>
        <w:rPr>
          <w:spacing w:val="-66"/>
        </w:rPr>
        <w:t> </w:t>
      </w:r>
      <w:r>
        <w:rPr>
          <w:spacing w:val="-66"/>
        </w:rPr>
      </w:r>
      <w:r>
        <w:rPr/>
        <w:t>被投资方重新计量设定受益计划净负债或净资产变动而产生的其他综合收益除外。</w:t>
      </w:r>
    </w:p>
    <w:p>
      <w:pPr>
        <w:pStyle w:val="BodyText"/>
        <w:spacing w:line="240" w:lineRule="auto" w:before="56"/>
        <w:ind w:right="0"/>
        <w:jc w:val="left"/>
      </w:pPr>
      <w:r>
        <w:rPr/>
        <w:t>因其他投资方对子公司增资而导致本公司持股比例下降从而丧失控制权的，按照上述原则进行会计处理。</w:t>
      </w:r>
    </w:p>
    <w:p>
      <w:pPr>
        <w:pStyle w:val="BodyText"/>
        <w:spacing w:line="338" w:lineRule="auto" w:before="117"/>
        <w:ind w:right="0"/>
        <w:jc w:val="left"/>
      </w:pPr>
      <w:r>
        <w:rPr/>
        <w:t>②分步处置子公司 </w:t>
      </w:r>
      <w:r>
        <w:rPr>
          <w:spacing w:val="-2"/>
        </w:rPr>
        <w:t>通过多次交易分步处置对子公司股权投资直至丧失控制权的，处置对子公司股权投资的各项交易的条款、条件以及经济影响</w:t>
      </w:r>
      <w:r>
        <w:rPr>
          <w:spacing w:val="-64"/>
        </w:rPr>
        <w:t> </w:t>
      </w:r>
      <w:r>
        <w:rPr>
          <w:spacing w:val="-64"/>
        </w:rPr>
      </w:r>
      <w:r>
        <w:rPr/>
        <w:t>符合以下一种或多种情况，通常表明应将多次交易事项作为一揽子交易进行会计处理：</w:t>
      </w:r>
    </w:p>
    <w:p>
      <w:pPr>
        <w:pStyle w:val="BodyText"/>
        <w:spacing w:line="357" w:lineRule="auto" w:before="42"/>
        <w:ind w:left="1134" w:right="4992"/>
        <w:jc w:val="left"/>
      </w:pPr>
      <w:r>
        <w:rPr/>
        <w:t>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19" w:lineRule="auto" w:before="28"/>
        <w:ind w:right="1131"/>
        <w:jc w:val="both"/>
      </w:pPr>
      <w:r>
        <w:rPr>
          <w:spacing w:val="-2"/>
        </w:rPr>
        <w:t>处置对子公司股权投资直至丧失控制权的各项交易属于一揽子交易的，本公司将各项交易作为一项处置子公司并丧失控制权</w:t>
      </w:r>
      <w:r>
        <w:rPr>
          <w:spacing w:val="-64"/>
        </w:rPr>
        <w:t> </w:t>
      </w:r>
      <w:r>
        <w:rPr>
          <w:spacing w:val="-64"/>
        </w:rPr>
      </w:r>
      <w:r>
        <w:rPr>
          <w:spacing w:val="-2"/>
        </w:rPr>
        <w:t>的交易进行会计处理；但是，在丧失控制权之前每一次处置价款与处置投资对应的享有该子公司净资产份额的差额，在合并</w:t>
      </w:r>
      <w:r>
        <w:rPr>
          <w:spacing w:val="-66"/>
        </w:rPr>
        <w:t> </w:t>
      </w:r>
      <w:r>
        <w:rPr>
          <w:spacing w:val="-66"/>
        </w:rPr>
      </w:r>
      <w:r>
        <w:rPr/>
        <w:t>财务报表中确认为其他综合收益，在丧失控制权时一并转入丧失控制权当期的损益。</w:t>
      </w:r>
    </w:p>
    <w:p>
      <w:pPr>
        <w:pStyle w:val="BodyText"/>
        <w:spacing w:line="319" w:lineRule="auto" w:before="55"/>
        <w:ind w:right="0"/>
        <w:jc w:val="left"/>
      </w:pPr>
      <w:r>
        <w:rPr>
          <w:spacing w:val="-2"/>
        </w:rPr>
        <w:t>处置对子公司股权投资直至丧失控制权的各项交易不属于一揽子交易的，在丧失控制权之前，按不丧失控制权的情况下部分</w:t>
      </w:r>
      <w:r>
        <w:rPr>
          <w:spacing w:val="-64"/>
        </w:rPr>
        <w:t> </w:t>
      </w:r>
      <w:r>
        <w:rPr>
          <w:spacing w:val="-64"/>
        </w:rPr>
      </w:r>
      <w:r>
        <w:rPr/>
        <w:t>处置对子公司的股权投资的相关政策进行会计处理；在丧失控制权时，按处置子公司一般处理方法进行会计处理。</w:t>
      </w:r>
    </w:p>
    <w:p>
      <w:pPr>
        <w:pStyle w:val="BodyText"/>
        <w:spacing w:line="326" w:lineRule="auto" w:before="56"/>
        <w:ind w:left="1134" w:right="1118"/>
        <w:jc w:val="left"/>
      </w:pPr>
      <w:r>
        <w:rPr/>
        <w:t>（</w:t>
      </w: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本公司因购买少数股权新取得的长期股权投资与按照新增持股比例计算应享有子公司自购买日（或合并日）开始持续计算的</w:t>
      </w:r>
      <w:r>
        <w:rPr>
          <w:spacing w:val="-64"/>
        </w:rPr>
        <w:t> </w:t>
      </w:r>
      <w:r>
        <w:rPr>
          <w:spacing w:val="-64"/>
        </w:rPr>
      </w:r>
      <w:r>
        <w:rPr>
          <w:spacing w:val="-2"/>
        </w:rPr>
        <w:t>净资产份额之间的差额，调整合并资产负债表中的资本公积中的股本溢价，资本公积中的股本溢价不足冲减的，调整留存收</w:t>
      </w:r>
      <w:r>
        <w:rPr>
          <w:spacing w:val="-66"/>
        </w:rPr>
        <w:t> </w:t>
      </w:r>
      <w:r>
        <w:rPr>
          <w:spacing w:val="-66"/>
        </w:rPr>
      </w:r>
      <w:r>
        <w:rPr/>
        <w:t>益。</w:t>
      </w:r>
    </w:p>
    <w:p>
      <w:pPr>
        <w:pStyle w:val="BodyText"/>
        <w:spacing w:line="324" w:lineRule="auto" w:before="51"/>
        <w:ind w:left="1134" w:right="0"/>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在不丧失控制权的情况下因部分处置对子公司的长期股权投资而取得的处置价款与处置长期股权投资相对应享有子公司自 </w:t>
      </w:r>
      <w:r>
        <w:rPr>
          <w:spacing w:val="-2"/>
        </w:rPr>
        <w:t>购买日或合并日开始持续计算的净资产份额之间的差额，调整合并资产负债表中的资本公积中的股本溢价，资本公积中的股</w:t>
      </w:r>
      <w:r>
        <w:rPr>
          <w:spacing w:val="-64"/>
        </w:rPr>
        <w:t> </w:t>
      </w:r>
      <w:r>
        <w:rPr>
          <w:spacing w:val="-64"/>
        </w:rPr>
      </w:r>
      <w:r>
        <w:rPr/>
        <w:t>本溢价不足冲减的，调整留存收益。</w:t>
      </w:r>
    </w:p>
    <w:p>
      <w:pPr>
        <w:spacing w:after="0" w:line="324"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7、现金及现金等价物的确定标准" w:id="174"/>
      <w:bookmarkEnd w:id="174"/>
      <w:r>
        <w:rPr>
          <w:b w:val="0"/>
          <w:bCs w:val="0"/>
        </w:rPr>
      </w:r>
      <w:r>
        <w:rPr>
          <w:rFonts w:ascii="Times New Roman" w:hAnsi="Times New Roman" w:cs="Times New Roman" w:eastAsia="Times New Roman" w:hint="default"/>
        </w:rPr>
        <w:t>7</w:t>
      </w:r>
      <w:r>
        <w:rPr/>
        <w:t>、现金及现金等价物的确定标准</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0"/>
        <w:jc w:val="left"/>
      </w:pPr>
      <w:r>
        <w:rPr/>
        <w:t>在编制现金流量表时，将本公司库存现金以及可以随时用于支付的存款确认为现金。 </w:t>
      </w:r>
      <w:r>
        <w:rPr>
          <w:spacing w:val="-2"/>
        </w:rPr>
        <w:t>将同时具备期限短（从购买日起三个月内到期）、流动性强、易于转换为已知现金、价值变动风险很小四个条件的投资，确</w:t>
      </w:r>
      <w:r>
        <w:rPr>
          <w:spacing w:val="-72"/>
        </w:rPr>
        <w:t> </w:t>
      </w:r>
      <w:r>
        <w:rPr>
          <w:spacing w:val="-72"/>
        </w:rPr>
      </w:r>
      <w:r>
        <w:rPr/>
        <w:t>定为现金等价物。</w:t>
      </w:r>
    </w:p>
    <w:p>
      <w:pPr>
        <w:spacing w:line="240" w:lineRule="auto" w:before="0"/>
        <w:rPr>
          <w:rFonts w:ascii="宋体" w:hAnsi="宋体" w:cs="宋体" w:eastAsia="宋体" w:hint="default"/>
          <w:sz w:val="18"/>
          <w:szCs w:val="18"/>
        </w:rPr>
      </w:pPr>
    </w:p>
    <w:p>
      <w:pPr>
        <w:pStyle w:val="BodyText"/>
        <w:spacing w:line="338" w:lineRule="auto" w:before="159"/>
        <w:ind w:left="1134" w:right="5172"/>
        <w:jc w:val="left"/>
      </w:pPr>
      <w:r>
        <w:rPr>
          <w:rFonts w:ascii="Times New Roman" w:hAnsi="Times New Roman" w:cs="Times New Roman" w:eastAsia="Times New Roman" w:hint="default"/>
        </w:rPr>
        <w:t>8</w:t>
      </w:r>
      <w:r>
        <w:rPr/>
        <w:t>、外币业务和外币报表折算 外币业务采用交易发生日的即期汇率作为折算汇率折合成人民币记账。</w:t>
      </w:r>
    </w:p>
    <w:p>
      <w:pPr>
        <w:pStyle w:val="BodyText"/>
        <w:spacing w:line="319" w:lineRule="auto" w:before="42"/>
        <w:ind w:right="0"/>
        <w:jc w:val="left"/>
      </w:pPr>
      <w:r>
        <w:rPr>
          <w:spacing w:val="-2"/>
        </w:rPr>
        <w:t>资产负债表日外币货币性项目余额按资产负债表日即期汇率折算，由此产生的汇兑差额，除属于与购建符合资本化条件的资</w:t>
      </w:r>
      <w:r>
        <w:rPr>
          <w:spacing w:val="-64"/>
        </w:rPr>
        <w:t> </w:t>
      </w:r>
      <w:r>
        <w:rPr>
          <w:spacing w:val="-64"/>
        </w:rPr>
      </w:r>
      <w:r>
        <w:rPr/>
        <w:t>产相关的外币专门借款产生的汇兑差额按照借款费用资本化的原则处理外，均计入当期损益。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0"/>
        <w:jc w:val="left"/>
        <w:rPr>
          <w:b w:val="0"/>
          <w:bCs w:val="0"/>
        </w:rPr>
      </w:pPr>
      <w:bookmarkStart w:name="9、金融工具" w:id="175"/>
      <w:bookmarkEnd w:id="175"/>
      <w:r>
        <w:rPr>
          <w:b w:val="0"/>
          <w:bCs w:val="0"/>
        </w:rPr>
      </w:r>
      <w:r>
        <w:rPr>
          <w:rFonts w:ascii="Times New Roman" w:hAnsi="Times New Roman" w:cs="Times New Roman" w:eastAsia="Times New Roman" w:hint="default"/>
        </w:rPr>
        <w:t>9</w:t>
      </w:r>
      <w:r>
        <w:rPr/>
        <w:t>、金融工具</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金融工具包括金融资产、金融负债和权益工具。</w:t>
      </w:r>
    </w:p>
    <w:p>
      <w:pPr>
        <w:pStyle w:val="BodyText"/>
        <w:spacing w:line="326" w:lineRule="auto" w:before="116"/>
        <w:ind w:left="1134" w:right="1032"/>
        <w:jc w:val="left"/>
      </w:pPr>
      <w:r>
        <w:rPr>
          <w:rFonts w:ascii="Times New Roman" w:hAnsi="Times New Roman" w:cs="Times New Roman" w:eastAsia="Times New Roman" w:hint="default"/>
        </w:rPr>
        <w:t>1</w:t>
      </w:r>
      <w:r>
        <w:rPr/>
        <w:t>、</w:t>
      </w:r>
      <w:r>
        <w:rPr>
          <w:spacing w:val="60"/>
        </w:rPr>
        <w:t> </w:t>
      </w:r>
      <w:r>
        <w:rPr/>
        <w:t>金融工具的分类</w:t>
      </w:r>
      <w:r>
        <w:rPr/>
        <w:t> </w:t>
      </w:r>
      <w:r>
        <w:rPr>
          <w:spacing w:val="-2"/>
        </w:rPr>
        <w:t>金融资产和金融负债于初始确认时分类为：以公允价值计量且其变动计入当期损益的金融资产或金融负债，包括交易性金融</w:t>
      </w:r>
      <w:r>
        <w:rPr>
          <w:spacing w:val="-64"/>
        </w:rPr>
        <w:t> </w:t>
      </w:r>
      <w:r>
        <w:rPr>
          <w:spacing w:val="-64"/>
        </w:rPr>
      </w:r>
      <w:r>
        <w:rPr/>
        <w:t>资产或金融负债和直接指定为以公允价值计量且其变动计入当期损益的金融资产或金融负债；持有至到期投资；应收款项； 可供出售金融资产；其他金融负债等。</w:t>
      </w:r>
    </w:p>
    <w:p>
      <w:pPr>
        <w:pStyle w:val="BodyText"/>
        <w:spacing w:line="240" w:lineRule="auto" w:before="51"/>
        <w:ind w:left="1134" w:right="0"/>
        <w:jc w:val="left"/>
      </w:pPr>
      <w:r>
        <w:rPr>
          <w:rFonts w:ascii="Times New Roman" w:hAnsi="Times New Roman" w:cs="Times New Roman" w:eastAsia="Times New Roman" w:hint="default"/>
        </w:rPr>
        <w:t>2</w:t>
      </w:r>
      <w:r>
        <w:rPr/>
        <w:t>、</w:t>
      </w:r>
      <w:r>
        <w:rPr>
          <w:spacing w:val="60"/>
        </w:rPr>
        <w:t> </w:t>
      </w:r>
      <w:r>
        <w:rPr/>
        <w:t>金融工具的确认依据和计量方法</w:t>
      </w:r>
    </w:p>
    <w:p>
      <w:pPr>
        <w:pStyle w:val="BodyText"/>
        <w:spacing w:line="328" w:lineRule="auto" w:before="102"/>
        <w:ind w:right="0"/>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取得时以公允价值（扣除已宣告但尚未发放的现金股利或已到付息期但尚未领取的债券利息）作为初始确认金额，相关的交</w:t>
      </w:r>
      <w:r>
        <w:rPr>
          <w:spacing w:val="-66"/>
        </w:rPr>
        <w:t> </w:t>
      </w:r>
      <w:r>
        <w:rPr>
          <w:spacing w:val="-66"/>
        </w:rPr>
      </w:r>
      <w:r>
        <w:rPr/>
        <w:t>易费用计入当期损益。</w:t>
      </w:r>
    </w:p>
    <w:p>
      <w:pPr>
        <w:pStyle w:val="BodyText"/>
        <w:spacing w:line="357" w:lineRule="auto" w:before="49"/>
        <w:ind w:right="3193"/>
        <w:jc w:val="left"/>
      </w:pPr>
      <w:r>
        <w:rPr/>
        <w:t>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38" w:lineRule="auto" w:before="29"/>
        <w:ind w:right="1118"/>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持有期间按照摊余成本和实际利率计算确认利息收入，计入投资收益。实际利率在取得时确定，在该预期存续期间或适用的</w:t>
      </w:r>
      <w:r>
        <w:rPr>
          <w:spacing w:val="-66"/>
        </w:rPr>
        <w:t> </w:t>
      </w:r>
      <w:r>
        <w:rPr>
          <w:spacing w:val="-66"/>
        </w:rPr>
      </w:r>
      <w:r>
        <w:rPr/>
        <w:t>更短期间内保持不变。</w:t>
      </w:r>
    </w:p>
    <w:p>
      <w:pPr>
        <w:pStyle w:val="BodyText"/>
        <w:spacing w:line="240" w:lineRule="auto" w:before="43"/>
        <w:ind w:right="0"/>
        <w:jc w:val="left"/>
      </w:pPr>
      <w:r>
        <w:rPr/>
        <w:t>处置时，将所取得价款与该投资账面价值之间的差额计入投资收益。</w:t>
      </w:r>
    </w:p>
    <w:p>
      <w:pPr>
        <w:pStyle w:val="BodyText"/>
        <w:spacing w:line="324" w:lineRule="auto" w:before="116"/>
        <w:ind w:right="1033"/>
        <w:jc w:val="left"/>
      </w:pPr>
      <w:r>
        <w:rPr/>
        <w:t>（</w:t>
      </w:r>
      <w:r>
        <w:rPr>
          <w:rFonts w:ascii="Times New Roman" w:hAnsi="Times New Roman" w:cs="Times New Roman" w:eastAsia="Times New Roman" w:hint="default"/>
        </w:rPr>
        <w:t>3</w:t>
      </w:r>
      <w:r>
        <w:rPr/>
        <w:t>）应收款项 公司对外销售商品或提供劳务形成的应收债权，以及公司持有的其他企业的不包括在活跃市场上有报价的债务工具的债权， </w:t>
      </w:r>
      <w:r>
        <w:rPr>
          <w:spacing w:val="-2"/>
        </w:rPr>
        <w:t>包括应收账款、其他应收款等，以向购货方应收的合同或协议价款作为初始确认金额；具有融资性质的，按其现值进行初始</w:t>
      </w:r>
      <w:r>
        <w:rPr>
          <w:spacing w:val="-65"/>
        </w:rPr>
        <w:t> </w:t>
      </w:r>
      <w:r>
        <w:rPr>
          <w:spacing w:val="-65"/>
        </w:rPr>
      </w:r>
      <w:r>
        <w:rPr/>
        <w:t>确认。</w:t>
      </w:r>
    </w:p>
    <w:p>
      <w:pPr>
        <w:pStyle w:val="BodyText"/>
        <w:spacing w:line="240" w:lineRule="auto" w:before="54"/>
        <w:ind w:left="1134" w:right="0"/>
        <w:jc w:val="left"/>
      </w:pPr>
      <w:r>
        <w:rPr/>
        <w:t>收回或处置时，将取得的价款与该应收款项账面价值之间的差额计入当期损益。</w:t>
      </w:r>
    </w:p>
    <w:p>
      <w:pPr>
        <w:pStyle w:val="BodyText"/>
        <w:spacing w:line="328" w:lineRule="auto" w:before="116"/>
        <w:ind w:right="1118"/>
        <w:jc w:val="left"/>
      </w:pPr>
      <w:r>
        <w:rPr/>
        <w:t>（</w:t>
      </w: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取得时按公允价值（扣除已宣告但尚未发放的现金股利或已到付息期但尚未领取的债券利息）和相关交易费用之和作为初始</w:t>
      </w:r>
      <w:r>
        <w:rPr>
          <w:spacing w:val="-64"/>
        </w:rPr>
        <w:t> </w:t>
      </w:r>
      <w:r>
        <w:rPr>
          <w:spacing w:val="-64"/>
        </w:rPr>
      </w:r>
      <w:r>
        <w:rPr/>
        <w:t>确认金额。</w:t>
      </w:r>
    </w:p>
    <w:p>
      <w:pPr>
        <w:pStyle w:val="BodyText"/>
        <w:spacing w:line="319" w:lineRule="auto" w:before="49"/>
        <w:ind w:right="1131"/>
        <w:jc w:val="both"/>
      </w:pPr>
      <w:r>
        <w:rPr>
          <w:spacing w:val="-2"/>
        </w:rPr>
        <w:t>持有期间将取得的利息或现金股利确认为投资收益。期末以公允价值计量且将公允价值变动计入其他综合收益。但是，在活</w:t>
      </w:r>
      <w:r>
        <w:rPr>
          <w:spacing w:val="-66"/>
        </w:rPr>
        <w:t> </w:t>
      </w:r>
      <w:r>
        <w:rPr>
          <w:spacing w:val="-66"/>
        </w:rPr>
      </w:r>
      <w:r>
        <w:rPr>
          <w:spacing w:val="-2"/>
        </w:rPr>
        <w:t>跃市场中没有报价且其公允价值不能可靠计量的权益工具投资，以及与该权益工具挂钩并须通过交付该权益工具结算的衍生</w:t>
      </w:r>
      <w:r>
        <w:rPr>
          <w:spacing w:val="-64"/>
        </w:rPr>
        <w:t> </w:t>
      </w:r>
      <w:r>
        <w:rPr>
          <w:spacing w:val="-64"/>
        </w:rPr>
      </w:r>
      <w:r>
        <w:rPr/>
        <w:t>金融资产，按照成本计量。</w:t>
      </w:r>
    </w:p>
    <w:p>
      <w:pPr>
        <w:spacing w:after="0" w:line="319"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0"/>
        <w:jc w:val="left"/>
      </w:pPr>
      <w:r>
        <w:rPr>
          <w:spacing w:val="-2"/>
        </w:rPr>
        <w:t>处置时，将取得的价款与该金融资产账面价值之间的差额，计入投资损益；同时，将原直接计入其他综合收益的公允价值变</w:t>
      </w:r>
      <w:r>
        <w:rPr>
          <w:spacing w:val="-66"/>
        </w:rPr>
        <w:t> </w:t>
      </w:r>
      <w:r>
        <w:rPr>
          <w:spacing w:val="-66"/>
        </w:rPr>
      </w:r>
      <w:r>
        <w:rPr/>
        <w:t>动累计额对应处置部分的金额转出，计入当期损益。</w:t>
      </w:r>
    </w:p>
    <w:p>
      <w:pPr>
        <w:pStyle w:val="BodyText"/>
        <w:spacing w:line="350" w:lineRule="auto" w:before="56"/>
        <w:ind w:right="4093"/>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 </w:t>
      </w:r>
      <w:r>
        <w:rPr>
          <w:rFonts w:ascii="Times New Roman" w:hAnsi="Times New Roman" w:cs="Times New Roman" w:eastAsia="Times New Roman" w:hint="default"/>
        </w:rPr>
        <w:t>3</w:t>
      </w:r>
      <w:r>
        <w:rPr/>
        <w:t>、</w:t>
      </w:r>
      <w:r>
        <w:rPr>
          <w:spacing w:val="60"/>
        </w:rPr>
        <w:t> </w:t>
      </w:r>
      <w:r>
        <w:rPr/>
        <w:t>金融资产转移的确认依据和计量方法</w:t>
      </w:r>
    </w:p>
    <w:p>
      <w:pPr>
        <w:pStyle w:val="BodyText"/>
        <w:spacing w:line="338" w:lineRule="auto" w:before="9"/>
        <w:ind w:right="0"/>
        <w:jc w:val="left"/>
      </w:pPr>
      <w:r>
        <w:rPr>
          <w:spacing w:val="-2"/>
        </w:rPr>
        <w:t>公司发生金融资产转移时，如已将金融资产所有权上几乎所有的风险和报酬转移给转入方，则终止确认该金融资产；如保留</w:t>
      </w:r>
      <w:r>
        <w:rPr>
          <w:spacing w:val="-66"/>
        </w:rPr>
        <w:t> </w:t>
      </w:r>
      <w:r>
        <w:rPr>
          <w:spacing w:val="-66"/>
        </w:rPr>
      </w:r>
      <w:r>
        <w:rPr/>
        <w:t>了金融资产所有权上几乎所有的风险和报酬的，则不终止确认该金融资产。 </w:t>
      </w:r>
      <w:r>
        <w:rPr>
          <w:spacing w:val="-2"/>
        </w:rPr>
        <w:t>在判断金融资产转移是否满足上述金融资产终止确认条件时，采用实质重于形式的原则。公司将金融资产转移区分为金融资</w:t>
      </w:r>
    </w:p>
    <w:p>
      <w:pPr>
        <w:pStyle w:val="BodyText"/>
        <w:spacing w:line="240" w:lineRule="auto" w:before="4"/>
        <w:ind w:right="0"/>
        <w:jc w:val="left"/>
      </w:pPr>
      <w:r>
        <w:rPr/>
        <w:t>产整体转移和部分转移。金融资产整体转移满足终止确认条件的，将下列两项金额的差额计入当期损益：</w:t>
      </w:r>
    </w:p>
    <w:p>
      <w:pPr>
        <w:pStyle w:val="BodyText"/>
        <w:spacing w:line="240" w:lineRule="auto" w:before="116"/>
        <w:ind w:right="0"/>
        <w:jc w:val="left"/>
      </w:pPr>
      <w:r>
        <w:rPr/>
        <w:t>（</w:t>
      </w:r>
      <w:r>
        <w:rPr>
          <w:rFonts w:ascii="Times New Roman" w:hAnsi="Times New Roman" w:cs="Times New Roman" w:eastAsia="Times New Roman" w:hint="default"/>
        </w:rPr>
        <w:t>1</w:t>
      </w:r>
      <w:r>
        <w:rPr/>
        <w:t>）所转移金融资产的账面价值；</w:t>
      </w:r>
    </w:p>
    <w:p>
      <w:pPr>
        <w:pStyle w:val="BodyText"/>
        <w:spacing w:line="302" w:lineRule="auto" w:before="101"/>
        <w:ind w:right="1123"/>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）因转移而收到的对价，与原直接计入所有者权益的公允价值变动累计额（涉及转移的金融资产为可供出售金融资产的 情形）之和。</w:t>
      </w:r>
    </w:p>
    <w:p>
      <w:pPr>
        <w:pStyle w:val="BodyText"/>
        <w:spacing w:line="319" w:lineRule="auto" w:before="69"/>
        <w:ind w:right="0"/>
        <w:jc w:val="left"/>
      </w:pPr>
      <w:r>
        <w:rPr>
          <w:spacing w:val="-2"/>
        </w:rPr>
        <w:t>金融资产部分转移满足终止确认条件的，将所转移金融资产整体的账面价值，在终止确认部分和未终止确认部分之间，按照</w:t>
      </w:r>
      <w:r>
        <w:rPr>
          <w:spacing w:val="-66"/>
        </w:rPr>
        <w:t> </w:t>
      </w:r>
      <w:r>
        <w:rPr>
          <w:spacing w:val="-66"/>
        </w:rPr>
      </w:r>
      <w:r>
        <w:rPr/>
        <w:t>各自的相对公允价值进行分摊，并将下列两项金额的差额计入当期损益：</w:t>
      </w:r>
    </w:p>
    <w:p>
      <w:pPr>
        <w:pStyle w:val="BodyText"/>
        <w:spacing w:line="240" w:lineRule="auto" w:before="56"/>
        <w:ind w:right="0"/>
        <w:jc w:val="left"/>
      </w:pPr>
      <w:r>
        <w:rPr/>
        <w:t>（</w:t>
      </w:r>
      <w:r>
        <w:rPr>
          <w:rFonts w:ascii="Times New Roman" w:hAnsi="Times New Roman" w:cs="Times New Roman" w:eastAsia="Times New Roman" w:hint="default"/>
        </w:rPr>
        <w:t>1</w:t>
      </w:r>
      <w:r>
        <w:rPr/>
        <w:t>）终止确认部分的账面价值；</w:t>
      </w:r>
    </w:p>
    <w:p>
      <w:pPr>
        <w:pStyle w:val="BodyText"/>
        <w:spacing w:line="302" w:lineRule="auto" w:before="101"/>
        <w:ind w:right="1123"/>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）终止确认部分的对价，与原直接计入所有者权益的公允价值变动累计额中对应终止确认部分的金额（涉及转移的金融 资产为可供出售金融资产的情形）之和。</w:t>
      </w:r>
    </w:p>
    <w:p>
      <w:pPr>
        <w:pStyle w:val="BodyText"/>
        <w:spacing w:line="240" w:lineRule="auto" w:before="70"/>
        <w:ind w:right="0"/>
        <w:jc w:val="left"/>
      </w:pPr>
      <w:r>
        <w:rPr/>
        <w:t>金融资产转移不满足终止确认条件的，继续确认该金融资产，所收到的对价确认为一项金融负债。</w:t>
      </w:r>
    </w:p>
    <w:p>
      <w:pPr>
        <w:pStyle w:val="BodyText"/>
        <w:spacing w:line="324" w:lineRule="auto" w:before="116"/>
        <w:ind w:left="1134" w:right="0"/>
        <w:jc w:val="left"/>
      </w:pPr>
      <w:r>
        <w:rPr>
          <w:rFonts w:ascii="Times New Roman" w:hAnsi="Times New Roman" w:cs="Times New Roman" w:eastAsia="Times New Roman" w:hint="default"/>
        </w:rPr>
        <w:t>4</w:t>
      </w:r>
      <w:r>
        <w:rPr/>
        <w:t>、</w:t>
      </w:r>
      <w:r>
        <w:rPr>
          <w:spacing w:val="60"/>
        </w:rPr>
        <w:t> </w:t>
      </w:r>
      <w:r>
        <w:rPr/>
        <w:t>金融负债终止确认条件</w:t>
      </w:r>
      <w:r>
        <w:rPr/>
        <w:t> </w:t>
      </w:r>
      <w:r>
        <w:rPr>
          <w:spacing w:val="-2"/>
        </w:rPr>
        <w:t>金融负债的现时义务全部或部分已经解除的，则终止确认该金融负债或其一部分；本公司若与债权人签定协议，以承担新金</w:t>
      </w:r>
      <w:r>
        <w:rPr>
          <w:spacing w:val="-66"/>
        </w:rPr>
        <w:t> </w:t>
      </w:r>
      <w:r>
        <w:rPr>
          <w:spacing w:val="-66"/>
        </w:rPr>
      </w:r>
      <w:r>
        <w:rPr>
          <w:spacing w:val="-2"/>
        </w:rPr>
        <w:t>融负债方式替换现存金融负债，且新金融负债与现存金融负债的合同条款实质上不同的，则终止确认现存金融负债，并同时</w:t>
      </w:r>
      <w:r>
        <w:rPr>
          <w:spacing w:val="-66"/>
        </w:rPr>
        <w:t> </w:t>
      </w:r>
      <w:r>
        <w:rPr>
          <w:spacing w:val="-66"/>
        </w:rPr>
      </w:r>
      <w:r>
        <w:rPr/>
        <w:t>确认新金融负债。</w:t>
      </w:r>
    </w:p>
    <w:p>
      <w:pPr>
        <w:pStyle w:val="BodyText"/>
        <w:spacing w:line="338" w:lineRule="auto" w:before="53"/>
        <w:ind w:left="1134" w:right="1032"/>
        <w:jc w:val="left"/>
      </w:pPr>
      <w:r>
        <w:rPr>
          <w:spacing w:val="-2"/>
        </w:rPr>
        <w:t>对现存金融负债全部或部分合同条款作出实质性修改的，则终止确认现存金融负债或其一部分，同时将修改条款后的金融负</w:t>
      </w:r>
      <w:r>
        <w:rPr>
          <w:spacing w:val="-64"/>
        </w:rPr>
        <w:t> </w:t>
      </w:r>
      <w:r>
        <w:rPr>
          <w:spacing w:val="-64"/>
        </w:rPr>
      </w:r>
      <w:r>
        <w:rPr/>
        <w:t>债确认为一项新金融负债。 金融负债全部或部分终止确认时，终止确认的金融负债账面价值与支付对价（包括转出的非现金资产或承担的新金融负债）</w:t>
      </w:r>
    </w:p>
    <w:p>
      <w:pPr>
        <w:pStyle w:val="BodyText"/>
        <w:spacing w:line="338" w:lineRule="auto" w:before="4"/>
        <w:ind w:left="1134" w:right="0"/>
        <w:jc w:val="left"/>
      </w:pPr>
      <w:r>
        <w:rPr/>
        <w:t>之间的差额，计入当期损益。 </w:t>
      </w:r>
      <w:r>
        <w:rPr>
          <w:spacing w:val="-2"/>
        </w:rPr>
        <w:t>本公司若回购部分金融负债的，在回购日按照继续确认部分与终止确认部分的相对公允价值，将该金融负债整体的账面价值</w:t>
      </w:r>
      <w:r>
        <w:rPr>
          <w:spacing w:val="-64"/>
        </w:rPr>
        <w:t> </w:t>
      </w:r>
      <w:r>
        <w:rPr>
          <w:spacing w:val="-64"/>
        </w:rPr>
      </w:r>
      <w:r>
        <w:rPr>
          <w:spacing w:val="-2"/>
        </w:rPr>
        <w:t>进行分配。分配给终止确认部分的账面价值与支付的对价（包括转出的非现金资产或承担的新金融负债）之间的差额，计入</w:t>
      </w:r>
    </w:p>
    <w:p>
      <w:pPr>
        <w:pStyle w:val="BodyText"/>
        <w:spacing w:line="240" w:lineRule="auto" w:before="4"/>
        <w:ind w:left="1134" w:right="0"/>
        <w:jc w:val="left"/>
      </w:pPr>
      <w:r>
        <w:rPr/>
        <w:t>当期损益。</w:t>
      </w:r>
    </w:p>
    <w:p>
      <w:pPr>
        <w:pStyle w:val="BodyText"/>
        <w:spacing w:line="324" w:lineRule="auto" w:before="117"/>
        <w:ind w:left="1134" w:right="0"/>
        <w:jc w:val="left"/>
      </w:pPr>
      <w:r>
        <w:rPr>
          <w:rFonts w:ascii="Times New Roman" w:hAnsi="Times New Roman" w:cs="Times New Roman" w:eastAsia="Times New Roman" w:hint="default"/>
        </w:rPr>
        <w:t>5</w:t>
      </w:r>
      <w:r>
        <w:rPr/>
        <w:t>、</w:t>
      </w:r>
      <w:r>
        <w:rPr>
          <w:spacing w:val="60"/>
        </w:rPr>
        <w:t> </w:t>
      </w:r>
      <w:r>
        <w:rPr/>
        <w:t>金融资产和金融负债的公允价值的确定方法</w:t>
      </w:r>
      <w:r>
        <w:rPr/>
        <w:t> </w:t>
      </w:r>
      <w:r>
        <w:rPr>
          <w:spacing w:val="-2"/>
        </w:rPr>
        <w:t>存在活跃市场的金融工具，以活跃市场中的报价确定其公允价值。不存在活跃市场的金融工具，采用估值技术确定其公允价</w:t>
      </w:r>
      <w:r>
        <w:rPr>
          <w:spacing w:val="-66"/>
        </w:rPr>
        <w:t> </w:t>
      </w:r>
      <w:r>
        <w:rPr>
          <w:spacing w:val="-66"/>
        </w:rPr>
      </w:r>
      <w:r>
        <w:rPr>
          <w:spacing w:val="-2"/>
        </w:rPr>
        <w:t>值。在估值时，本公司采用在当前情况下适用并且有足够可利用数据和其他信息支持的估值技术，选择与市场参与者在相关</w:t>
      </w:r>
      <w:r>
        <w:rPr>
          <w:spacing w:val="-66"/>
        </w:rPr>
        <w:t> </w:t>
      </w:r>
      <w:r>
        <w:rPr>
          <w:spacing w:val="-66"/>
        </w:rPr>
      </w:r>
      <w:r>
        <w:rPr>
          <w:spacing w:val="-2"/>
        </w:rPr>
        <w:t>资产或负债的交易中所考虑的资产或负债特征相一致的输入值，并优先使用相关可观察输入值。只有在相关可观察输入值无</w:t>
      </w:r>
      <w:r>
        <w:rPr>
          <w:spacing w:val="-64"/>
        </w:rPr>
        <w:t> </w:t>
      </w:r>
      <w:r>
        <w:rPr>
          <w:spacing w:val="-64"/>
        </w:rPr>
      </w:r>
      <w:r>
        <w:rPr/>
        <w:t>法取得或取得不切实可行的情况下，才使用不可观察输入值。</w:t>
      </w:r>
    </w:p>
    <w:p>
      <w:pPr>
        <w:pStyle w:val="BodyText"/>
        <w:spacing w:line="328" w:lineRule="auto" w:before="53"/>
        <w:ind w:left="1134" w:right="0"/>
        <w:jc w:val="left"/>
      </w:pPr>
      <w:r>
        <w:rPr>
          <w:rFonts w:ascii="Times New Roman" w:hAnsi="Times New Roman" w:cs="Times New Roman" w:eastAsia="Times New Roman" w:hint="default"/>
        </w:rPr>
        <w:t>6</w:t>
      </w:r>
      <w:r>
        <w:rPr/>
        <w:t>、</w:t>
      </w:r>
      <w:r>
        <w:rPr>
          <w:spacing w:val="60"/>
        </w:rPr>
        <w:t> </w:t>
      </w:r>
      <w:r>
        <w:rPr/>
        <w:t>金融资产（不含应收款项）减值的测试方法及会计处理方法</w:t>
      </w:r>
      <w:r>
        <w:rPr/>
        <w:t> </w:t>
      </w:r>
      <w:r>
        <w:rPr>
          <w:spacing w:val="-2"/>
        </w:rPr>
        <w:t>除以公允价值计量且其变动计入当期损益的金融资产外，本公司于资产负债表日对金融资产的账面价值进行检查，如果有客</w:t>
      </w:r>
      <w:r>
        <w:rPr>
          <w:spacing w:val="-64"/>
        </w:rPr>
        <w:t> </w:t>
      </w:r>
      <w:r>
        <w:rPr>
          <w:spacing w:val="-64"/>
        </w:rPr>
      </w:r>
      <w:r>
        <w:rPr/>
        <w:t>观证据表明某项金融资产发生减值的，计提减值准备。</w:t>
      </w:r>
    </w:p>
    <w:p>
      <w:pPr>
        <w:pStyle w:val="BodyText"/>
        <w:spacing w:line="338" w:lineRule="auto" w:before="50"/>
        <w:ind w:right="1033"/>
        <w:jc w:val="left"/>
      </w:pPr>
      <w:r>
        <w:rPr/>
        <w:t>（</w:t>
      </w:r>
      <w:r>
        <w:rPr>
          <w:rFonts w:ascii="Times New Roman" w:hAnsi="Times New Roman" w:cs="Times New Roman" w:eastAsia="Times New Roman" w:hint="default"/>
        </w:rPr>
        <w:t>1</w:t>
      </w:r>
      <w:r>
        <w:rPr/>
        <w:t>）可供出售金融资产的减值准备： 期末如果可供出售金融资产的公允价值发生严重下降，或在综合考虑各种相关因素后，预期这种下降趋势属于非暂时性的， 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对于已确认减值损失的可供出售债务工具，在随后的会计期间公允价值已上升且客观上与确认原减值损失确认后发生的事项</w:t>
      </w:r>
    </w:p>
    <w:p>
      <w:pPr>
        <w:spacing w:after="0" w:line="338"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57" w:lineRule="auto" w:before="44"/>
        <w:ind w:right="6073"/>
        <w:jc w:val="left"/>
      </w:pPr>
      <w:r>
        <w:rPr/>
        <w:t>有关的，原确认的减值损失予以转回，计入当期损益。 可供出售权益工具投资发生的减值损失，不通过损益转回。</w:t>
      </w:r>
    </w:p>
    <w:p>
      <w:pPr>
        <w:pStyle w:val="BodyText"/>
        <w:spacing w:line="338" w:lineRule="auto" w:before="29"/>
        <w:ind w:right="5173"/>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10、应收款项" w:id="176"/>
      <w:bookmarkEnd w:id="176"/>
      <w:r>
        <w:rPr>
          <w:b w:val="0"/>
          <w:bCs w:val="0"/>
        </w:rPr>
      </w:r>
      <w:r>
        <w:rPr>
          <w:rFonts w:ascii="Times New Roman" w:hAnsi="Times New Roman" w:cs="Times New Roman" w:eastAsia="Times New Roman" w:hint="default"/>
        </w:rPr>
        <w:t>10</w:t>
      </w:r>
      <w:r>
        <w:rPr/>
        <w:t>、应收款项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w:t>
      </w:r>
      <w:r>
        <w:rPr>
          <w:rFonts w:ascii="Times New Roman" w:hAnsi="Times New Roman" w:cs="Times New Roman" w:eastAsia="Times New Roman" w:hint="default"/>
        </w:rPr>
        <w:t>1</w:t>
      </w:r>
      <w:r>
        <w:rPr/>
        <w:t>）单项金额重大并单独计提坏账准备的应收款项</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应收款项余额前五名。</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w:t>
            </w:r>
          </w:p>
        </w:tc>
      </w:tr>
    </w:tbl>
    <w:p>
      <w:pPr>
        <w:pStyle w:val="BodyText"/>
        <w:spacing w:line="240" w:lineRule="auto" w:before="51"/>
        <w:ind w:left="1134" w:right="0"/>
        <w:jc w:val="left"/>
      </w:pPr>
      <w:r>
        <w:rPr/>
        <w:t>（</w:t>
      </w:r>
      <w:r>
        <w:rPr>
          <w:rFonts w:ascii="Times New Roman" w:hAnsi="Times New Roman" w:cs="Times New Roman" w:eastAsia="Times New Roman" w:hint="default"/>
        </w:rPr>
        <w:t>2</w:t>
      </w:r>
      <w:r>
        <w:rPr/>
        <w:t>）按信用风险特征组合计提坏账准备的应收款项</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both"/>
              <w:rPr>
                <w:rFonts w:ascii="宋体" w:hAnsi="宋体" w:cs="宋体" w:eastAsia="宋体" w:hint="default"/>
                <w:sz w:val="18"/>
                <w:szCs w:val="18"/>
              </w:rPr>
            </w:pPr>
            <w:r>
              <w:rPr>
                <w:rFonts w:ascii="宋体" w:hAnsi="宋体" w:cs="宋体" w:eastAsia="宋体" w:hint="default"/>
                <w:sz w:val="18"/>
                <w:szCs w:val="18"/>
              </w:rPr>
              <w:t>除已单独计提减值准备的应收账款、其他应收款外，公司根 据以前年度与之相同或相类似的、按账龄段划分的具有类似 信用风险特征的应收款项组合的实际损失率为基础，结合现 时情况分析法确定坏账准备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计提的比例。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合并报表范围内公司的应收款项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性质特殊不存在减值风险的应收款项</w:t>
            </w:r>
          </w:p>
        </w:tc>
        <w:tc>
          <w:tcPr>
            <w:tcW w:w="47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组合中，采用账龄分析法计提坏账准备的：</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0"/>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合并报表范围内公司的应收款项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性质特殊不存在减值风险的应收款项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w:t>
      </w:r>
      <w:r>
        <w:rPr>
          <w:rFonts w:ascii="Times New Roman" w:hAnsi="Times New Roman" w:cs="Times New Roman" w:eastAsia="Times New Roman" w:hint="default"/>
        </w:rPr>
        <w:t>3</w:t>
      </w:r>
      <w:r>
        <w:rPr/>
        <w:t>）单项金额不重大但单独计提坏账准备的应收款项</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账龄时间较长且存在客观证据表明发生了减值。</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根据预计未来现金流量现值低于其账面价值的差额，确认减</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2"/>
        <w:rPr>
          <w:rFonts w:ascii="宋体" w:hAnsi="宋体" w:cs="宋体" w:eastAsia="宋体" w:hint="default"/>
          <w:sz w:val="28"/>
          <w:szCs w:val="28"/>
        </w:rPr>
      </w:pPr>
    </w:p>
    <w:p>
      <w:pPr>
        <w:spacing w:line="38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10;top:14;width:4775;height:353" coordorigin="10,14" coordsize="4775,353">
              <v:shape style="position:absolute;left:10;top:14;width:4775;height:353" coordorigin="10,14" coordsize="4775,353" path="m10,367l4784,367,4784,14,10,14,10,367xe" filled="true" fillcolor="#d2d2d2"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4776;height:2" coordorigin="10,372" coordsize="4776,2">
              <v:shape style="position:absolute;left:10;top:372;width:4776;height:2" coordorigin="10,372" coordsize="4776,0" path="m10,372l4785,372e" filled="false" stroked="true" strokeweight=".48pt" strokecolor="#000000">
                <v:path arrowok="t"/>
              </v:shape>
            </v:group>
            <v:group style="position:absolute;left:4790;top:5;width:2;height:372" coordorigin="4790,5" coordsize="2,372">
              <v:shape style="position:absolute;left:4790;top:5;width:2;height:372" coordorigin="4790,5" coordsize="0,372" path="m4790,5l4790,377e" filled="false" stroked="true" strokeweight=".48pt" strokecolor="#000000">
                <v:path arrowok="t"/>
              </v:shape>
            </v:group>
            <v:group style="position:absolute;left:4795;top:372;width:4774;height:2" coordorigin="4795,372" coordsize="4774,2">
              <v:shape style="position:absolute;left:4795;top:372;width:4774;height:2" coordorigin="4795,372" coordsize="4774,0" path="m4795,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pt" strokecolor="#000000">
                <v:path arrowok="t"/>
              </v:shape>
              <v:shape style="position:absolute;left:4789;top:10;width:4785;height:363" type="#_x0000_t202" filled="false" stroked="false">
                <v:textbox inset="0,0,0,0">
                  <w:txbxContent>
                    <w:p>
                      <w:pPr>
                        <w:spacing w:before="16"/>
                        <w:ind w:left="28" w:right="0" w:firstLine="0"/>
                        <w:jc w:val="left"/>
                        <w:rPr>
                          <w:rFonts w:ascii="宋体" w:hAnsi="宋体" w:cs="宋体" w:eastAsia="宋体" w:hint="default"/>
                          <w:sz w:val="18"/>
                          <w:szCs w:val="18"/>
                        </w:rPr>
                      </w:pPr>
                      <w:r>
                        <w:rPr>
                          <w:rFonts w:ascii="宋体" w:hAnsi="宋体" w:cs="宋体" w:eastAsia="宋体" w:hint="default"/>
                          <w:sz w:val="18"/>
                          <w:szCs w:val="18"/>
                        </w:rPr>
                        <w:t>值损失，计提坏账准备。</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5"/>
        <w:ind w:left="1134" w:right="0"/>
        <w:jc w:val="left"/>
        <w:rPr>
          <w:b w:val="0"/>
          <w:bCs w:val="0"/>
        </w:rPr>
      </w:pPr>
      <w:bookmarkStart w:name="11、存货" w:id="177"/>
      <w:bookmarkEnd w:id="177"/>
      <w:r>
        <w:rPr>
          <w:b w:val="0"/>
          <w:bCs w:val="0"/>
        </w:rPr>
      </w:r>
      <w:r>
        <w:rPr>
          <w:rFonts w:ascii="Times New Roman" w:hAnsi="Times New Roman" w:cs="Times New Roman" w:eastAsia="Times New Roman" w:hint="default"/>
        </w:rPr>
        <w:t>11</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BodyText"/>
        <w:spacing w:line="348" w:lineRule="auto" w:before="29"/>
        <w:ind w:right="4993"/>
        <w:jc w:val="left"/>
      </w:pPr>
      <w:r>
        <w:rPr>
          <w:rFonts w:ascii="Times New Roman" w:hAnsi="Times New Roman" w:cs="Times New Roman" w:eastAsia="Times New Roman" w:hint="default"/>
        </w:rPr>
        <w:t>1</w:t>
      </w:r>
      <w:r>
        <w:rPr/>
        <w:t>、</w:t>
      </w:r>
      <w:r>
        <w:rPr>
          <w:spacing w:val="60"/>
        </w:rPr>
        <w:t> </w:t>
      </w:r>
      <w:r>
        <w:rPr/>
        <w:t>存货的分类</w:t>
      </w:r>
      <w:r>
        <w:rPr/>
        <w:t> 存货分类为：原材料、周转材料、库存商品、在产品、委托加工物资等。 </w:t>
      </w:r>
      <w:r>
        <w:rPr>
          <w:rFonts w:ascii="Times New Roman" w:hAnsi="Times New Roman" w:cs="Times New Roman" w:eastAsia="Times New Roman" w:hint="default"/>
        </w:rPr>
        <w:t>2</w:t>
      </w:r>
      <w:r>
        <w:rPr/>
        <w:t>、</w:t>
      </w:r>
      <w:r>
        <w:rPr>
          <w:spacing w:val="60"/>
        </w:rPr>
        <w:t> </w:t>
      </w:r>
      <w:r>
        <w:rPr/>
        <w:t>发出存货的计价方法</w:t>
      </w:r>
    </w:p>
    <w:p>
      <w:pPr>
        <w:pStyle w:val="BodyText"/>
        <w:spacing w:line="240" w:lineRule="auto" w:before="14"/>
        <w:ind w:left="1134" w:right="0"/>
        <w:jc w:val="left"/>
      </w:pPr>
      <w:r>
        <w:rPr/>
        <w:t>存货发出时按加权平均法计价。</w:t>
      </w:r>
    </w:p>
    <w:p>
      <w:pPr>
        <w:pStyle w:val="BodyText"/>
        <w:spacing w:line="321" w:lineRule="auto" w:before="116"/>
        <w:ind w:left="1134" w:right="0"/>
        <w:jc w:val="left"/>
      </w:pPr>
      <w:r>
        <w:rPr>
          <w:rFonts w:ascii="Times New Roman" w:hAnsi="Times New Roman" w:cs="Times New Roman" w:eastAsia="Times New Roman" w:hint="default"/>
        </w:rPr>
        <w:t>3</w:t>
      </w:r>
      <w:r>
        <w:rPr/>
        <w:t>、</w:t>
      </w:r>
      <w:r>
        <w:rPr>
          <w:spacing w:val="60"/>
        </w:rPr>
        <w:t> </w:t>
      </w:r>
      <w:r>
        <w:rPr/>
        <w:t>不同类别存货可变现净值的确定依据</w:t>
      </w:r>
      <w:r>
        <w:rPr/>
        <w:t> </w:t>
      </w:r>
      <w:r>
        <w:rPr>
          <w:spacing w:val="-2"/>
        </w:rPr>
        <w:t>产成品、库存商品和用于出售的材料等直接用于出售的商品存货，在正常生产经营过程中，以该存货的估计售价减去估计的</w:t>
      </w:r>
      <w:r>
        <w:rPr>
          <w:spacing w:val="-66"/>
        </w:rPr>
        <w:t> </w:t>
      </w:r>
      <w:r>
        <w:rPr>
          <w:spacing w:val="-66"/>
        </w:rPr>
      </w:r>
      <w:r>
        <w:rPr>
          <w:spacing w:val="-2"/>
        </w:rPr>
        <w:t>销售费用和相关税费后的金额，确定其可变现净值；需要经过加工的材料存货，在正常生产经营过程中，以所生产的产成品</w:t>
      </w:r>
      <w:r>
        <w:rPr>
          <w:spacing w:val="-66"/>
        </w:rPr>
        <w:t> </w:t>
      </w:r>
      <w:r>
        <w:rPr>
          <w:spacing w:val="-66"/>
        </w:rPr>
      </w:r>
      <w:r>
        <w:rPr>
          <w:spacing w:val="-2"/>
        </w:rPr>
        <w:t>的估计售价减去至完工时估计将要发生的成本、估计的销售费用和相关税费后的金额，确定其可变现净值；为执行销售合同</w:t>
      </w:r>
      <w:r>
        <w:rPr>
          <w:spacing w:val="-66"/>
        </w:rPr>
        <w:t> </w:t>
      </w:r>
      <w:r>
        <w:rPr>
          <w:spacing w:val="-66"/>
        </w:rPr>
      </w:r>
      <w:r>
        <w:rPr>
          <w:spacing w:val="-2"/>
        </w:rPr>
        <w:t>或者劳务合同而持有的存货，其可变现净值以合同价格为基础计算，若持有存货的数量多于销售合同订购数量的，超出部分</w:t>
      </w:r>
      <w:r>
        <w:rPr>
          <w:spacing w:val="-66"/>
        </w:rPr>
        <w:t> </w:t>
      </w:r>
      <w:r>
        <w:rPr>
          <w:spacing w:val="-66"/>
        </w:rPr>
      </w:r>
      <w:r>
        <w:rPr/>
        <w:t>的存货的可变现净值以一般销售价格为基础计算。</w:t>
      </w:r>
    </w:p>
    <w:p>
      <w:pPr>
        <w:pStyle w:val="BodyText"/>
        <w:spacing w:line="319" w:lineRule="auto" w:before="55"/>
        <w:ind w:left="1134" w:right="1131"/>
        <w:jc w:val="both"/>
      </w:pPr>
      <w:r>
        <w:rPr>
          <w:spacing w:val="-2"/>
        </w:rPr>
        <w:t>期末按照单个存货项目计提存货跌价准备；但对于数量繁多、单价较低的存货，按照存货类别计提存货跌价准备；与在同一</w:t>
      </w:r>
      <w:r>
        <w:rPr>
          <w:spacing w:val="-66"/>
        </w:rPr>
        <w:t> </w:t>
      </w:r>
      <w:r>
        <w:rPr>
          <w:spacing w:val="-66"/>
        </w:rPr>
      </w:r>
      <w:r>
        <w:rPr>
          <w:spacing w:val="-2"/>
        </w:rPr>
        <w:t>地区生产和销售的产品系列相关、具有相同或类似最终用途或目的，且难以与其他项目分开计量的存货，则合并计提存货跌</w:t>
      </w:r>
      <w:r>
        <w:rPr>
          <w:spacing w:val="-66"/>
        </w:rPr>
        <w:t> </w:t>
      </w:r>
      <w:r>
        <w:rPr>
          <w:spacing w:val="-66"/>
        </w:rPr>
      </w:r>
      <w:r>
        <w:rPr/>
        <w:t>价准备。</w:t>
      </w:r>
    </w:p>
    <w:p>
      <w:pPr>
        <w:pStyle w:val="BodyText"/>
        <w:spacing w:line="357" w:lineRule="auto" w:before="56"/>
        <w:ind w:left="1134" w:right="1932"/>
        <w:jc w:val="left"/>
      </w:pPr>
      <w:r>
        <w:rPr/>
        <w:t>除有明确证据表明资产负债表日市场价格异常外，存货项目的可变现净值以资产负债表日市场价格为基础确定。 本期期末存货项目的可变现净值以资产负债表日市场价格为基础确定。</w:t>
      </w:r>
    </w:p>
    <w:p>
      <w:pPr>
        <w:pStyle w:val="BodyText"/>
        <w:spacing w:line="338" w:lineRule="auto" w:before="29"/>
        <w:ind w:left="1134" w:right="9072"/>
        <w:jc w:val="left"/>
      </w:pPr>
      <w:r>
        <w:rPr>
          <w:rFonts w:ascii="Times New Roman" w:hAnsi="Times New Roman" w:cs="Times New Roman" w:eastAsia="Times New Roman" w:hint="default"/>
        </w:rPr>
        <w:t>4</w:t>
      </w:r>
      <w:r>
        <w:rPr/>
        <w:t>、</w:t>
      </w:r>
      <w:r>
        <w:rPr>
          <w:spacing w:val="60"/>
        </w:rPr>
        <w:t> </w:t>
      </w:r>
      <w:r>
        <w:rPr/>
        <w:t>存货的盘存制度</w:t>
      </w:r>
      <w:r>
        <w:rPr/>
        <w:t> 采用永续盘存制。</w:t>
      </w:r>
    </w:p>
    <w:p>
      <w:pPr>
        <w:pStyle w:val="BodyText"/>
        <w:spacing w:line="240" w:lineRule="auto" w:before="42"/>
        <w:ind w:left="1134" w:right="0"/>
        <w:jc w:val="left"/>
      </w:pPr>
      <w:r>
        <w:rPr>
          <w:rFonts w:ascii="Times New Roman" w:hAnsi="Times New Roman" w:cs="Times New Roman" w:eastAsia="Times New Roman" w:hint="default"/>
        </w:rPr>
        <w:t>5</w:t>
      </w:r>
      <w:r>
        <w:rPr/>
        <w:t>、</w:t>
      </w:r>
      <w:r>
        <w:rPr>
          <w:spacing w:val="60"/>
        </w:rPr>
        <w:t> </w:t>
      </w:r>
      <w:r>
        <w:rPr/>
        <w:t>低值易耗品和包装物的摊销方法</w:t>
      </w:r>
    </w:p>
    <w:p>
      <w:pPr>
        <w:pStyle w:val="BodyText"/>
        <w:spacing w:line="240" w:lineRule="auto" w:before="103"/>
        <w:ind w:right="0"/>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102"/>
        <w:ind w:right="0"/>
        <w:jc w:val="left"/>
      </w:pPr>
      <w:r>
        <w:rPr/>
        <w:t>（</w:t>
      </w:r>
      <w:r>
        <w:rPr>
          <w:rFonts w:ascii="Times New Roman" w:hAnsi="Times New Roman" w:cs="Times New Roman" w:eastAsia="Times New Roman" w:hint="default"/>
        </w:rPr>
        <w:t>2</w:t>
      </w:r>
      <w:r>
        <w:rPr/>
        <w:t>）包装物采用一次转销法。</w:t>
      </w:r>
    </w:p>
    <w:p>
      <w:pPr>
        <w:spacing w:line="240" w:lineRule="auto" w:before="9"/>
        <w:rPr>
          <w:rFonts w:ascii="宋体" w:hAnsi="宋体" w:cs="宋体" w:eastAsia="宋体" w:hint="default"/>
          <w:sz w:val="25"/>
          <w:szCs w:val="25"/>
        </w:rPr>
      </w:pPr>
    </w:p>
    <w:p>
      <w:pPr>
        <w:pStyle w:val="Heading3"/>
        <w:spacing w:line="240" w:lineRule="auto"/>
        <w:ind w:left="1134" w:right="0"/>
        <w:jc w:val="left"/>
        <w:rPr>
          <w:b w:val="0"/>
          <w:bCs w:val="0"/>
        </w:rPr>
      </w:pPr>
      <w:bookmarkStart w:name="12、长期股权投资" w:id="178"/>
      <w:bookmarkEnd w:id="178"/>
      <w:r>
        <w:rPr>
          <w:b w:val="0"/>
          <w:bCs w:val="0"/>
        </w:rPr>
      </w:r>
      <w:r>
        <w:rPr>
          <w:rFonts w:ascii="Times New Roman" w:hAnsi="Times New Roman" w:cs="Times New Roman" w:eastAsia="Times New Roman" w:hint="default"/>
        </w:rPr>
        <w:t>12</w:t>
      </w:r>
      <w:r>
        <w:rPr/>
        <w:t>、长期股权投资</w:t>
      </w:r>
      <w:r>
        <w:rPr>
          <w:b w:val="0"/>
          <w:bCs w:val="0"/>
        </w:rPr>
      </w:r>
    </w:p>
    <w:p>
      <w:pPr>
        <w:spacing w:line="240" w:lineRule="auto" w:before="9"/>
        <w:rPr>
          <w:rFonts w:ascii="宋体" w:hAnsi="宋体" w:cs="宋体" w:eastAsia="宋体" w:hint="default"/>
          <w:b/>
          <w:bCs/>
          <w:sz w:val="26"/>
          <w:szCs w:val="26"/>
        </w:rPr>
      </w:pPr>
    </w:p>
    <w:p>
      <w:pPr>
        <w:pStyle w:val="BodyText"/>
        <w:spacing w:line="324" w:lineRule="auto"/>
        <w:ind w:right="1118"/>
        <w:jc w:val="left"/>
      </w:pPr>
      <w:r>
        <w:rPr>
          <w:rFonts w:ascii="Times New Roman" w:hAnsi="Times New Roman" w:cs="Times New Roman" w:eastAsia="Times New Roman" w:hint="default"/>
        </w:rPr>
        <w:t>1</w:t>
      </w:r>
      <w:r>
        <w:rPr/>
        <w:t>、</w:t>
      </w:r>
      <w:r>
        <w:rPr>
          <w:spacing w:val="60"/>
        </w:rPr>
        <w:t> </w:t>
      </w:r>
      <w:r>
        <w:rPr/>
        <w:t>共同控制、重大影响的判断标准</w:t>
      </w:r>
      <w:r>
        <w:rPr/>
        <w:t> </w:t>
      </w:r>
      <w:r>
        <w:rPr>
          <w:spacing w:val="-2"/>
        </w:rPr>
        <w:t>共同控制，是指按照相关约定对某项安排所共有的控制，并且该安排的相关活动必须经过分享控制权的参与方一致同意后才</w:t>
      </w:r>
      <w:r>
        <w:rPr>
          <w:spacing w:val="-64"/>
        </w:rPr>
        <w:t> </w:t>
      </w:r>
      <w:r>
        <w:rPr>
          <w:spacing w:val="-64"/>
        </w:rPr>
      </w:r>
      <w:r>
        <w:rPr>
          <w:spacing w:val="-2"/>
        </w:rPr>
        <w:t>能决策。本公司与其他合营方一同对被投资单位实施共同控制且对被投资单位净资产享有权利的，被投资单位为本公司的合</w:t>
      </w:r>
      <w:r>
        <w:rPr>
          <w:spacing w:val="-63"/>
        </w:rPr>
        <w:t> </w:t>
      </w:r>
      <w:r>
        <w:rPr>
          <w:spacing w:val="-63"/>
        </w:rPr>
      </w:r>
      <w:r>
        <w:rPr/>
        <w:t>营企业。</w:t>
      </w:r>
    </w:p>
    <w:p>
      <w:pPr>
        <w:pStyle w:val="BodyText"/>
        <w:spacing w:line="319" w:lineRule="auto" w:before="53"/>
        <w:ind w:right="0"/>
        <w:jc w:val="left"/>
      </w:pPr>
      <w:r>
        <w:rPr>
          <w:spacing w:val="-2"/>
        </w:rPr>
        <w:t>重大影响，是指对一个企业的财务和经营决策有参与决策的权力，但并不能够控制或者与其他方一起共同控制这些政策的制</w:t>
      </w:r>
      <w:r>
        <w:rPr>
          <w:spacing w:val="-64"/>
        </w:rPr>
        <w:t> </w:t>
      </w:r>
      <w:r>
        <w:rPr>
          <w:spacing w:val="-64"/>
        </w:rPr>
      </w:r>
      <w:r>
        <w:rPr/>
        <w:t>定。本能够对被投资单位施加重大影响的，被投资单位为本公司联营企业。</w:t>
      </w:r>
    </w:p>
    <w:p>
      <w:pPr>
        <w:pStyle w:val="BodyText"/>
        <w:spacing w:line="240" w:lineRule="auto" w:before="56"/>
        <w:ind w:right="0"/>
        <w:jc w:val="left"/>
      </w:pPr>
      <w:r>
        <w:rPr>
          <w:rFonts w:ascii="Times New Roman" w:hAnsi="Times New Roman" w:cs="Times New Roman" w:eastAsia="Times New Roman" w:hint="default"/>
        </w:rPr>
        <w:t>2</w:t>
      </w:r>
      <w:r>
        <w:rPr/>
        <w:t>、</w:t>
      </w:r>
      <w:r>
        <w:rPr>
          <w:spacing w:val="60"/>
        </w:rPr>
        <w:t> </w:t>
      </w:r>
      <w:r>
        <w:rPr/>
        <w:t>初始投资成本的确定</w:t>
      </w:r>
    </w:p>
    <w:p>
      <w:pPr>
        <w:pStyle w:val="BodyText"/>
        <w:spacing w:line="321" w:lineRule="auto" w:before="102"/>
        <w:ind w:right="0"/>
        <w:jc w:val="left"/>
      </w:pPr>
      <w:r>
        <w:rPr/>
        <w:t>（</w:t>
      </w:r>
      <w:r>
        <w:rPr>
          <w:rFonts w:ascii="Times New Roman" w:hAnsi="Times New Roman" w:cs="Times New Roman" w:eastAsia="Times New Roman" w:hint="default"/>
        </w:rPr>
        <w:t>1</w:t>
      </w:r>
      <w:r>
        <w:rPr/>
        <w:t>）企业合并形成的长期股权投资 </w:t>
      </w:r>
      <w:r>
        <w:rPr>
          <w:spacing w:val="-2"/>
        </w:rPr>
        <w:t>同一控制下的企业合并：公司以支付现金、转让非现金资产或承担债务方式以及以发行权益性证券作为合并对价的，在合并</w:t>
      </w:r>
      <w:r>
        <w:rPr>
          <w:spacing w:val="-66"/>
        </w:rPr>
        <w:t> </w:t>
      </w:r>
      <w:r>
        <w:rPr>
          <w:spacing w:val="-66"/>
        </w:rPr>
      </w:r>
      <w:r>
        <w:rPr>
          <w:spacing w:val="-2"/>
        </w:rPr>
        <w:t>日按照取得被合并方所有者权益在最终控制方合并财务报表中的账面价值的份额作为长期股权投资的初始投资成本。因追加</w:t>
      </w:r>
      <w:r>
        <w:rPr>
          <w:spacing w:val="-64"/>
        </w:rPr>
        <w:t> </w:t>
      </w:r>
      <w:r>
        <w:rPr>
          <w:spacing w:val="-64"/>
        </w:rPr>
      </w:r>
      <w:r>
        <w:rPr>
          <w:spacing w:val="-2"/>
        </w:rPr>
        <w:t>投资等原因能够对同一控制下的被投资单位实施控制的，在合并日根据合并后应享有被合并方净资产在最终控制方合并财务</w:t>
      </w:r>
      <w:r>
        <w:rPr>
          <w:spacing w:val="-64"/>
        </w:rPr>
        <w:t> </w:t>
      </w:r>
      <w:r>
        <w:rPr>
          <w:spacing w:val="-64"/>
        </w:rPr>
      </w:r>
      <w:r>
        <w:rPr>
          <w:spacing w:val="-2"/>
        </w:rPr>
        <w:t>报表中的账面价值的份额，确定长期股权投资的初始投资成本。合并日长期股权投资的初始投资成本，与达到合并前的长期</w:t>
      </w:r>
      <w:r>
        <w:rPr>
          <w:spacing w:val="-66"/>
        </w:rPr>
        <w:t> </w:t>
      </w:r>
      <w:r>
        <w:rPr>
          <w:spacing w:val="-66"/>
        </w:rPr>
      </w:r>
      <w:r>
        <w:rPr>
          <w:spacing w:val="-2"/>
        </w:rPr>
        <w:t>股权投资账面价值加上合并日进一步取得股份新支付对价的账面价值之和的差额，调整股本溢价，股本溢价不足冲减的，冲</w:t>
      </w:r>
    </w:p>
    <w:p>
      <w:pPr>
        <w:spacing w:after="0" w:line="321"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38" w:lineRule="auto" w:before="44"/>
        <w:ind w:right="1118"/>
        <w:jc w:val="left"/>
      </w:pPr>
      <w:r>
        <w:rPr/>
        <w:t>减留存收益。 </w:t>
      </w:r>
      <w:r>
        <w:rPr>
          <w:spacing w:val="-2"/>
        </w:rPr>
        <w:t>非同一控制下的企业合并：公司按照购买日确定的合并成本作为长期股权投资的初始投资成本。因追加投资等原因能够对非</w:t>
      </w:r>
      <w:r>
        <w:rPr>
          <w:spacing w:val="-64"/>
        </w:rPr>
        <w:t> </w:t>
      </w:r>
      <w:r>
        <w:rPr>
          <w:spacing w:val="-64"/>
        </w:rPr>
      </w:r>
      <w:r>
        <w:rPr>
          <w:spacing w:val="-2"/>
        </w:rPr>
        <w:t>同一控制下的被投资单位实施控制的，按照原持有的股权投资账面价值加上新增投资成本之和，作为改按成本法核算的初始</w:t>
      </w:r>
    </w:p>
    <w:p>
      <w:pPr>
        <w:pStyle w:val="BodyText"/>
        <w:spacing w:line="240" w:lineRule="auto" w:before="4"/>
        <w:ind w:right="0"/>
        <w:jc w:val="both"/>
      </w:pPr>
      <w:r>
        <w:rPr/>
        <w:t>投资成本。</w:t>
      </w:r>
    </w:p>
    <w:p>
      <w:pPr>
        <w:pStyle w:val="BodyText"/>
        <w:spacing w:line="348" w:lineRule="auto" w:before="117"/>
        <w:ind w:right="3373"/>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w:t>
      </w:r>
    </w:p>
    <w:p>
      <w:pPr>
        <w:pStyle w:val="BodyText"/>
        <w:spacing w:line="319" w:lineRule="auto" w:before="35"/>
        <w:ind w:right="1130"/>
        <w:jc w:val="both"/>
      </w:pPr>
      <w:r>
        <w:rPr>
          <w:spacing w:val="-2"/>
        </w:rPr>
        <w:t>在非货币性资产交换具备商业实质和换入资产或换出资产的公允价值能够可靠计量的前提下，非货币性资产交换换入的长期</w:t>
      </w:r>
      <w:r>
        <w:rPr>
          <w:spacing w:val="-64"/>
        </w:rPr>
        <w:t> </w:t>
      </w:r>
      <w:r>
        <w:rPr>
          <w:spacing w:val="-64"/>
        </w:rPr>
      </w:r>
      <w:r>
        <w:rPr>
          <w:spacing w:val="-2"/>
        </w:rPr>
        <w:t>股权投资以换出资产的公允价值和应支付的相关税费确定其初始投资成本，除非有确凿证据表明换入资产的公允价值更加可</w:t>
      </w:r>
      <w:r>
        <w:rPr>
          <w:spacing w:val="-64"/>
        </w:rPr>
        <w:t> </w:t>
      </w:r>
      <w:r>
        <w:rPr>
          <w:spacing w:val="-64"/>
        </w:rPr>
      </w:r>
      <w:r>
        <w:rPr>
          <w:spacing w:val="-2"/>
        </w:rPr>
        <w:t>靠；不满足上述前提的非货币性资产交换，以换出资产的账面价值和应支付的相关税费作为换入长期股权投资的初始投资成</w:t>
      </w:r>
      <w:r>
        <w:rPr>
          <w:spacing w:val="-63"/>
        </w:rPr>
        <w:t> </w:t>
      </w:r>
      <w:r>
        <w:rPr>
          <w:spacing w:val="-63"/>
        </w:rPr>
      </w:r>
      <w:r>
        <w:rPr/>
        <w:t>本。</w:t>
      </w:r>
    </w:p>
    <w:p>
      <w:pPr>
        <w:pStyle w:val="BodyText"/>
        <w:spacing w:line="240" w:lineRule="auto" w:before="56"/>
        <w:ind w:left="1134" w:right="0"/>
        <w:jc w:val="both"/>
      </w:pPr>
      <w:r>
        <w:rPr/>
        <w:t>通过债务重组取得的长期股权投资，其初始投资成本按照公允价值为基础确定。</w:t>
      </w:r>
    </w:p>
    <w:p>
      <w:pPr>
        <w:pStyle w:val="BodyText"/>
        <w:spacing w:line="240" w:lineRule="auto" w:before="116"/>
        <w:ind w:right="0"/>
        <w:jc w:val="both"/>
      </w:pPr>
      <w:r>
        <w:rPr>
          <w:rFonts w:ascii="Times New Roman" w:hAnsi="Times New Roman" w:cs="Times New Roman" w:eastAsia="Times New Roman" w:hint="default"/>
        </w:rPr>
        <w:t>3</w:t>
      </w:r>
      <w:r>
        <w:rPr/>
        <w:t>、</w:t>
      </w:r>
      <w:r>
        <w:rPr>
          <w:spacing w:val="60"/>
        </w:rPr>
        <w:t> </w:t>
      </w:r>
      <w:r>
        <w:rPr/>
        <w:t>后续计量及损益确认方法</w:t>
      </w:r>
    </w:p>
    <w:p>
      <w:pPr>
        <w:pStyle w:val="BodyText"/>
        <w:spacing w:line="328" w:lineRule="auto" w:before="103"/>
        <w:ind w:right="0"/>
        <w:jc w:val="left"/>
      </w:pPr>
      <w:r>
        <w:rPr/>
        <w:t>（</w:t>
      </w:r>
      <w:r>
        <w:rPr>
          <w:rFonts w:ascii="Times New Roman" w:hAnsi="Times New Roman" w:cs="Times New Roman" w:eastAsia="Times New Roman" w:hint="default"/>
        </w:rPr>
        <w:t>1</w:t>
      </w:r>
      <w:r>
        <w:rPr/>
        <w:t>）成本法核算的长期股权投资 </w:t>
      </w:r>
      <w:r>
        <w:rPr>
          <w:spacing w:val="-2"/>
        </w:rPr>
        <w:t>公司对子公司的长期股权投资，采用成本法核算。除取得投资时实际支付的价款或对价中包含的已宣告但尚未发放的现金股</w:t>
      </w:r>
      <w:r>
        <w:rPr>
          <w:spacing w:val="-64"/>
        </w:rPr>
        <w:t> </w:t>
      </w:r>
      <w:r>
        <w:rPr>
          <w:spacing w:val="-64"/>
        </w:rPr>
      </w:r>
      <w:r>
        <w:rPr/>
        <w:t>利或利润外，公司按照享有被投资单位宣告发放的现金股利或利润确认当期投资收益。</w:t>
      </w:r>
    </w:p>
    <w:p>
      <w:pPr>
        <w:pStyle w:val="BodyText"/>
        <w:spacing w:line="326" w:lineRule="auto" w:before="49"/>
        <w:ind w:right="0"/>
        <w:jc w:val="left"/>
      </w:pPr>
      <w:r>
        <w:rPr/>
        <w:t>（</w:t>
      </w:r>
      <w:r>
        <w:rPr>
          <w:rFonts w:ascii="Times New Roman" w:hAnsi="Times New Roman" w:cs="Times New Roman" w:eastAsia="Times New Roman" w:hint="default"/>
        </w:rPr>
        <w:t>2</w:t>
      </w:r>
      <w:r>
        <w:rPr/>
        <w:t>）权益法核算的长期股权投资 </w:t>
      </w:r>
      <w:r>
        <w:rPr>
          <w:spacing w:val="-2"/>
        </w:rPr>
        <w:t>对联营企业和合营企业的长期股权投资，采用权益法核算。初始投资成本大于投资时应享有被投资单位可辨认净资产公允价</w:t>
      </w:r>
      <w:r>
        <w:rPr>
          <w:spacing w:val="-64"/>
        </w:rPr>
        <w:t> </w:t>
      </w:r>
      <w:r>
        <w:rPr>
          <w:spacing w:val="-64"/>
        </w:rPr>
      </w:r>
      <w:r>
        <w:rPr>
          <w:spacing w:val="-2"/>
        </w:rPr>
        <w:t>值份额的差额，不调整长期股权投资的初始投资成本；初始投资成本小于投资时应享有被投资单位可辨认净资产公允价值份</w:t>
      </w:r>
      <w:r>
        <w:rPr>
          <w:spacing w:val="-64"/>
        </w:rPr>
        <w:t> </w:t>
      </w:r>
      <w:r>
        <w:rPr>
          <w:spacing w:val="-64"/>
        </w:rPr>
      </w:r>
      <w:r>
        <w:rPr/>
        <w:t>额的差额，计入当期损益。</w:t>
      </w:r>
    </w:p>
    <w:p>
      <w:pPr>
        <w:pStyle w:val="BodyText"/>
        <w:spacing w:line="319" w:lineRule="auto" w:before="50"/>
        <w:ind w:right="1131"/>
        <w:jc w:val="both"/>
      </w:pPr>
      <w:r>
        <w:rPr>
          <w:spacing w:val="-2"/>
        </w:rPr>
        <w:t>公司按照应享有或应分担的被投资单位实现的净损益和其他综合收益的份额，分别确认投资收益和其他综合收益，同时调整</w:t>
      </w:r>
      <w:r>
        <w:rPr>
          <w:spacing w:val="-64"/>
        </w:rPr>
        <w:t> </w:t>
      </w:r>
      <w:r>
        <w:rPr>
          <w:spacing w:val="-64"/>
        </w:rPr>
      </w:r>
      <w:r>
        <w:rPr>
          <w:spacing w:val="-2"/>
        </w:rPr>
        <w:t>长期股权投资的账面价值；按照被投资单位宣告分派的利润或现金股利计算应享有的部分，相应减少长期股权投资的账面价</w:t>
      </w:r>
      <w:r>
        <w:rPr>
          <w:spacing w:val="-64"/>
        </w:rPr>
        <w:t> </w:t>
      </w:r>
      <w:r>
        <w:rPr>
          <w:spacing w:val="-64"/>
        </w:rPr>
      </w:r>
      <w:r>
        <w:rPr>
          <w:spacing w:val="-2"/>
        </w:rPr>
        <w:t>值；对于被投资单位除净损益、其他综合收益和利润分配以外所有者权益的其他变动，调整长期股权投资的账面价值并计入</w:t>
      </w:r>
      <w:r>
        <w:rPr>
          <w:spacing w:val="-66"/>
        </w:rPr>
        <w:t> </w:t>
      </w:r>
      <w:r>
        <w:rPr>
          <w:spacing w:val="-66"/>
        </w:rPr>
      </w:r>
      <w:r>
        <w:rPr/>
        <w:t>所有者权益。</w:t>
      </w:r>
    </w:p>
    <w:p>
      <w:pPr>
        <w:pStyle w:val="BodyText"/>
        <w:spacing w:line="319" w:lineRule="auto" w:before="55"/>
        <w:ind w:right="1131"/>
        <w:jc w:val="both"/>
      </w:pPr>
      <w:r>
        <w:rPr>
          <w:spacing w:val="-2"/>
        </w:rPr>
        <w:t>在确认应享有被投资单位净损益的份额时，以取得投资时被投资单位可辨认净资产的公允价值为基础，并按照公司的会计政</w:t>
      </w:r>
      <w:r>
        <w:rPr>
          <w:spacing w:val="-64"/>
        </w:rPr>
        <w:t> </w:t>
      </w:r>
      <w:r>
        <w:rPr>
          <w:spacing w:val="-64"/>
        </w:rPr>
      </w:r>
      <w:r>
        <w:rPr>
          <w:spacing w:val="-2"/>
        </w:rPr>
        <w:t>策及会计期间，对被投资单位的净利润进行调整后确认。在持有投资期间，被投资单位编制合并财务报表的，以合并财务报</w:t>
      </w:r>
      <w:r>
        <w:rPr>
          <w:spacing w:val="-66"/>
        </w:rPr>
        <w:t> </w:t>
      </w:r>
      <w:r>
        <w:rPr>
          <w:spacing w:val="-66"/>
        </w:rPr>
      </w:r>
      <w:r>
        <w:rPr/>
        <w:t>表中的净利润、其他综合收益和其他所有者权益变动中归属于被投资单位的金额为基础进行核算。</w:t>
      </w:r>
    </w:p>
    <w:p>
      <w:pPr>
        <w:pStyle w:val="BodyText"/>
        <w:spacing w:line="319" w:lineRule="auto" w:before="56"/>
        <w:ind w:right="1132"/>
        <w:jc w:val="both"/>
      </w:pPr>
      <w:r>
        <w:rPr>
          <w:spacing w:val="-2"/>
        </w:rPr>
        <w:t>在公司确认应分担被投资单位发生的亏损时，按照以下顺序进行处理：首先，冲减长期股权投资的账面价值。其次，长期股</w:t>
      </w:r>
      <w:r>
        <w:rPr>
          <w:spacing w:val="-66"/>
        </w:rPr>
        <w:t> </w:t>
      </w:r>
      <w:r>
        <w:rPr>
          <w:spacing w:val="-66"/>
        </w:rPr>
      </w:r>
      <w:r>
        <w:rPr>
          <w:spacing w:val="-2"/>
        </w:rPr>
        <w:t>权投资的账面价值不足以冲减的，以其他实质上构成对被投资单位净投资的长期权益（提示：应明确该等长期权益的具体内</w:t>
      </w:r>
      <w:r>
        <w:rPr>
          <w:spacing w:val="-66"/>
        </w:rPr>
        <w:t> </w:t>
      </w:r>
      <w:r>
        <w:rPr>
          <w:spacing w:val="-66"/>
        </w:rPr>
      </w:r>
      <w:r>
        <w:rPr>
          <w:spacing w:val="-2"/>
        </w:rPr>
        <w:t>容和认定标准）账面价值为限继续确认投资损失，冲减长期应收项目等的账面价值。最后，经过上述处理，按照投资合同或</w:t>
      </w:r>
      <w:r>
        <w:rPr>
          <w:spacing w:val="-66"/>
        </w:rPr>
        <w:t> </w:t>
      </w:r>
      <w:r>
        <w:rPr>
          <w:spacing w:val="-66"/>
        </w:rPr>
      </w:r>
      <w:r>
        <w:rPr/>
        <w:t>协议约定企业仍承担额外义务的，按预计承担的义务确认预计负债，计入当期投资损失。</w:t>
      </w:r>
    </w:p>
    <w:p>
      <w:pPr>
        <w:pStyle w:val="BodyText"/>
        <w:spacing w:line="338" w:lineRule="auto" w:before="56"/>
        <w:ind w:left="1134" w:right="4992"/>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319" w:lineRule="auto" w:before="42"/>
        <w:ind w:right="1131"/>
        <w:jc w:val="both"/>
      </w:pPr>
      <w:r>
        <w:rPr>
          <w:spacing w:val="-2"/>
        </w:rPr>
        <w:t>采用权益法核算的长期股权投资，在处置该项投资时，采用与被投资单位直接处置相关资产或负债相同的基础，按相应比例</w:t>
      </w:r>
      <w:r>
        <w:rPr>
          <w:spacing w:val="-66"/>
        </w:rPr>
        <w:t> </w:t>
      </w:r>
      <w:r>
        <w:rPr>
          <w:spacing w:val="-66"/>
        </w:rPr>
      </w:r>
      <w:r>
        <w:rPr>
          <w:spacing w:val="-2"/>
        </w:rPr>
        <w:t>对原计入其他综合收益的部分进行会计处理。因被投资单位除净损益、其他综合收益和利润分配以外的其他所有者权益变动</w:t>
      </w:r>
      <w:r>
        <w:rPr>
          <w:spacing w:val="-64"/>
        </w:rPr>
        <w:t> </w:t>
      </w:r>
      <w:r>
        <w:rPr>
          <w:spacing w:val="-64"/>
        </w:rPr>
      </w:r>
      <w:r>
        <w:rPr>
          <w:spacing w:val="-2"/>
        </w:rPr>
        <w:t>而确认的所有者权益，按比例结转入当期损益，由于被投资方重新计量设定受益计划净负债或净资产变动而产生的其他综合</w:t>
      </w:r>
      <w:r>
        <w:rPr>
          <w:spacing w:val="-64"/>
        </w:rPr>
        <w:t> </w:t>
      </w:r>
      <w:r>
        <w:rPr>
          <w:spacing w:val="-64"/>
        </w:rPr>
      </w:r>
      <w:r>
        <w:rPr/>
        <w:t>收益除外。</w:t>
      </w:r>
    </w:p>
    <w:p>
      <w:pPr>
        <w:pStyle w:val="BodyText"/>
        <w:spacing w:line="319" w:lineRule="auto" w:before="55"/>
        <w:ind w:right="1131"/>
        <w:jc w:val="both"/>
      </w:pPr>
      <w:r>
        <w:rPr>
          <w:spacing w:val="-2"/>
        </w:rPr>
        <w:t>因处置部分股权投资等原因丧失了对被投资单位的共同控制或重大影响的，处置后的剩余股权改按金融工具确认和计量准则</w:t>
      </w:r>
      <w:r>
        <w:rPr>
          <w:spacing w:val="-64"/>
        </w:rPr>
        <w:t> </w:t>
      </w:r>
      <w:r>
        <w:rPr>
          <w:spacing w:val="-64"/>
        </w:rPr>
      </w:r>
      <w:r>
        <w:rPr>
          <w:spacing w:val="-2"/>
        </w:rPr>
        <w:t>核算，其在丧失共同控制或重大影响之日的公允价值与账面价值之间的差额计入当期损益。原股权投资因采用权益法核算而</w:t>
      </w:r>
      <w:r>
        <w:rPr>
          <w:spacing w:val="-64"/>
        </w:rPr>
        <w:t> </w:t>
      </w:r>
      <w:r>
        <w:rPr>
          <w:spacing w:val="-64"/>
        </w:rPr>
      </w:r>
      <w:r>
        <w:rPr>
          <w:spacing w:val="-2"/>
        </w:rPr>
        <w:t>确认的其他综合收益，在终止采用权益法核算时采用与被投资单位直接处置相关资产或负债相同的基础进行会计处理。因被</w:t>
      </w:r>
      <w:r>
        <w:rPr>
          <w:spacing w:val="-64"/>
        </w:rPr>
        <w:t> </w:t>
      </w:r>
      <w:r>
        <w:rPr>
          <w:spacing w:val="-64"/>
        </w:rPr>
      </w:r>
      <w:r>
        <w:rPr>
          <w:spacing w:val="-2"/>
        </w:rPr>
        <w:t>投资方除净损益、其他综合收益和利润分配以外的其他所有者权益变动而确认的所有者权益，在终止采用权益法核算时全部</w:t>
      </w:r>
      <w:r>
        <w:rPr>
          <w:spacing w:val="-64"/>
        </w:rPr>
        <w:t> </w:t>
      </w:r>
      <w:r>
        <w:rPr>
          <w:spacing w:val="-64"/>
        </w:rPr>
      </w:r>
      <w:r>
        <w:rPr/>
        <w:t>转入当期损益。</w:t>
      </w:r>
    </w:p>
    <w:p>
      <w:pPr>
        <w:spacing w:after="0" w:line="319"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1131"/>
        <w:jc w:val="both"/>
      </w:pPr>
      <w:r>
        <w:rPr>
          <w:spacing w:val="-2"/>
        </w:rPr>
        <w:t>因处置部分股权投资、因其他投资方对子公司增资而导致本公司持股比例下降等原因丧失了对被投资单位控制权的，在编制</w:t>
      </w:r>
      <w:r>
        <w:rPr>
          <w:spacing w:val="-64"/>
        </w:rPr>
        <w:t> </w:t>
      </w:r>
      <w:r>
        <w:rPr>
          <w:spacing w:val="-64"/>
        </w:rPr>
      </w:r>
      <w:r>
        <w:rPr>
          <w:spacing w:val="-2"/>
        </w:rPr>
        <w:t>个别财务报表时，剩余股权能够对被投资单位实施共同控制或重大影响的，改按权益法核算，并对该剩余股权视同自取得时</w:t>
      </w:r>
      <w:r>
        <w:rPr>
          <w:spacing w:val="-66"/>
        </w:rPr>
        <w:t> </w:t>
      </w:r>
      <w:r>
        <w:rPr>
          <w:spacing w:val="-66"/>
        </w:rPr>
      </w:r>
      <w:r>
        <w:rPr>
          <w:spacing w:val="-2"/>
        </w:rPr>
        <w:t>即采用权益法核算进行调整；剩余股权不能对被投资单位实施共同控制或施加重大影响的，改按金融工具确认和计量准则的</w:t>
      </w:r>
      <w:r>
        <w:rPr>
          <w:spacing w:val="-64"/>
        </w:rPr>
        <w:t> </w:t>
      </w:r>
      <w:r>
        <w:rPr>
          <w:spacing w:val="-64"/>
        </w:rPr>
      </w:r>
      <w:r>
        <w:rPr/>
        <w:t>有关规定进行会计处理，其在丧失控制之日的公允价值与账面价值间的差额计入当期损益。</w:t>
      </w:r>
    </w:p>
    <w:p>
      <w:pPr>
        <w:pStyle w:val="BodyText"/>
        <w:spacing w:line="319" w:lineRule="auto" w:before="56"/>
        <w:ind w:right="1131"/>
        <w:jc w:val="both"/>
      </w:pPr>
      <w:r>
        <w:rPr>
          <w:spacing w:val="-2"/>
        </w:rPr>
        <w:t>处置的股权是因追加投资等原因通过企业合并取得的，在编制个别财务报表时，处置后的剩余股权采用成本法或权益法核算</w:t>
      </w:r>
      <w:r>
        <w:rPr>
          <w:spacing w:val="-64"/>
        </w:rPr>
        <w:t> </w:t>
      </w:r>
      <w:r>
        <w:rPr>
          <w:spacing w:val="-64"/>
        </w:rPr>
      </w:r>
      <w:r>
        <w:rPr>
          <w:spacing w:val="-2"/>
        </w:rPr>
        <w:t>的，购买日之前持有的股权投资因采用权益法核算而确认的其他综合收益和其他所有者权益按比例结转；处置后的剩余股权</w:t>
      </w:r>
      <w:r>
        <w:rPr>
          <w:spacing w:val="-64"/>
        </w:rPr>
        <w:t> </w:t>
      </w:r>
      <w:r>
        <w:rPr>
          <w:spacing w:val="-64"/>
        </w:rPr>
      </w:r>
      <w:r>
        <w:rPr/>
        <w:t>改按金融工具确认和计量准则进行会计处理的，其他综合收益和其他所有者权益全部结转。</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bookmarkStart w:name="13、固定资产" w:id="179"/>
      <w:bookmarkEnd w:id="179"/>
      <w:r>
        <w:rPr>
          <w:b w:val="0"/>
          <w:bCs w:val="0"/>
        </w:rPr>
      </w:r>
      <w:r>
        <w:rPr>
          <w:rFonts w:ascii="Times New Roman" w:hAnsi="Times New Roman" w:cs="Times New Roman" w:eastAsia="Times New Roman" w:hint="default"/>
        </w:rPr>
        <w:t>13</w:t>
      </w:r>
      <w:r>
        <w:rPr/>
        <w:t>、固定资产</w:t>
      </w:r>
      <w:r>
        <w:rPr>
          <w:b w:val="0"/>
          <w:bCs w:val="0"/>
        </w:rPr>
      </w:r>
    </w:p>
    <w:p>
      <w:pPr>
        <w:spacing w:line="240" w:lineRule="auto" w:before="8"/>
        <w:rPr>
          <w:rFonts w:ascii="宋体" w:hAnsi="宋体" w:cs="宋体" w:eastAsia="宋体" w:hint="default"/>
          <w:b/>
          <w:bCs/>
          <w:sz w:val="26"/>
          <w:szCs w:val="26"/>
        </w:rPr>
      </w:pPr>
    </w:p>
    <w:p>
      <w:pPr>
        <w:pStyle w:val="BodyText"/>
        <w:spacing w:line="328" w:lineRule="auto"/>
        <w:ind w:right="1118"/>
        <w:jc w:val="left"/>
      </w:pPr>
      <w:r>
        <w:rPr/>
        <w:t>（</w:t>
      </w:r>
      <w:r>
        <w:rPr>
          <w:rFonts w:ascii="Times New Roman" w:hAnsi="Times New Roman" w:cs="Times New Roman" w:eastAsia="Times New Roman" w:hint="default"/>
        </w:rPr>
        <w:t>1</w:t>
      </w:r>
      <w:r>
        <w:rPr/>
        <w:t>）确认条件 </w:t>
      </w:r>
      <w:r>
        <w:rPr>
          <w:spacing w:val="-2"/>
        </w:rPr>
        <w:t>固定资产指为生产商品、提供劳务、出租或经营管理而持有，并且使用寿命超过一个会计年度的有形资产。固定资产在同时</w:t>
      </w:r>
      <w:r>
        <w:rPr>
          <w:spacing w:val="-66"/>
        </w:rPr>
        <w:t> </w:t>
      </w:r>
      <w:r>
        <w:rPr>
          <w:spacing w:val="-66"/>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pStyle w:val="BodyText"/>
        <w:spacing w:line="240" w:lineRule="auto" w:before="28"/>
        <w:ind w:right="0"/>
        <w:jc w:val="both"/>
      </w:pPr>
      <w:r>
        <w:rPr/>
        <w:t>（</w:t>
      </w:r>
      <w:r>
        <w:rPr>
          <w:rFonts w:ascii="Times New Roman" w:hAnsi="Times New Roman" w:cs="Times New Roman" w:eastAsia="Times New Roman" w:hint="default"/>
        </w:rPr>
        <w:t>2</w:t>
      </w:r>
      <w:r>
        <w:rPr/>
        <w:t>）折旧方法</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19-9.5</w:t>
            </w:r>
          </w:p>
        </w:tc>
      </w:tr>
    </w:tbl>
    <w:p>
      <w:pPr>
        <w:pStyle w:val="BodyText"/>
        <w:spacing w:line="240" w:lineRule="auto" w:before="51"/>
        <w:ind w:left="1134" w:right="0"/>
        <w:jc w:val="left"/>
      </w:pPr>
      <w:r>
        <w:rPr/>
        <w:t>（</w:t>
      </w:r>
      <w:r>
        <w:rPr>
          <w:rFonts w:ascii="Times New Roman" w:hAnsi="Times New Roman" w:cs="Times New Roman" w:eastAsia="Times New Roman" w:hint="default"/>
        </w:rPr>
        <w:t>3</w:t>
      </w:r>
      <w:r>
        <w:rPr/>
        <w:t>）融资租入固定资产的认定依据、计价和折旧方法</w:t>
      </w:r>
    </w:p>
    <w:p>
      <w:pPr>
        <w:spacing w:line="240" w:lineRule="auto" w:before="9"/>
        <w:rPr>
          <w:rFonts w:ascii="宋体" w:hAnsi="宋体" w:cs="宋体" w:eastAsia="宋体" w:hint="default"/>
          <w:sz w:val="25"/>
          <w:szCs w:val="25"/>
        </w:rPr>
      </w:pPr>
    </w:p>
    <w:p>
      <w:pPr>
        <w:pStyle w:val="Heading3"/>
        <w:spacing w:line="240" w:lineRule="auto"/>
        <w:ind w:left="1134" w:right="0"/>
        <w:jc w:val="left"/>
        <w:rPr>
          <w:b w:val="0"/>
          <w:bCs w:val="0"/>
        </w:rPr>
      </w:pPr>
      <w:bookmarkStart w:name="14、在建工程" w:id="180"/>
      <w:bookmarkEnd w:id="180"/>
      <w:r>
        <w:rPr>
          <w:b w:val="0"/>
          <w:bCs w:val="0"/>
        </w:rPr>
      </w:r>
      <w:r>
        <w:rPr>
          <w:rFonts w:ascii="Times New Roman" w:hAnsi="Times New Roman" w:cs="Times New Roman" w:eastAsia="Times New Roman" w:hint="default"/>
        </w:rPr>
        <w:t>14</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BodyText"/>
        <w:spacing w:line="319" w:lineRule="auto" w:before="28"/>
        <w:ind w:left="1134" w:right="1131"/>
        <w:jc w:val="both"/>
      </w:pPr>
      <w:r>
        <w:rPr>
          <w:spacing w:val="-2"/>
        </w:rPr>
        <w:t>在建工程项目按建造该项资产达到预定可使用状态前所发生的必要支出，作为固定资产的入账价值。所建造的固定资产在工</w:t>
      </w:r>
      <w:r>
        <w:rPr>
          <w:spacing w:val="-64"/>
        </w:rPr>
        <w:t> </w:t>
      </w:r>
      <w:r>
        <w:rPr>
          <w:spacing w:val="-64"/>
        </w:rPr>
      </w:r>
      <w:r>
        <w:rPr>
          <w:spacing w:val="-2"/>
        </w:rPr>
        <w:t>程已达到预定可使用状态，但尚未办理竣工决算的，自达到预定可使用状态之日起，根据工程预算、造价或者工程实际成本</w:t>
      </w:r>
      <w:r>
        <w:rPr>
          <w:spacing w:val="-66"/>
        </w:rPr>
        <w:t> </w:t>
      </w:r>
      <w:r>
        <w:rPr>
          <w:spacing w:val="-66"/>
        </w:rPr>
      </w:r>
      <w:r>
        <w:rPr>
          <w:spacing w:val="-2"/>
        </w:rPr>
        <w:t>等，按估计的价值转入固定资产，并按本公司固定资产折旧政策计提固定资产的折旧，待办理竣工决算后，再按实际成本调</w:t>
      </w:r>
      <w:r>
        <w:rPr>
          <w:spacing w:val="-66"/>
        </w:rPr>
        <w:t> </w:t>
      </w:r>
      <w:r>
        <w:rPr>
          <w:spacing w:val="-66"/>
        </w:rPr>
      </w:r>
      <w:r>
        <w:rPr/>
        <w:t>整原来的暂估价值，但不调整原已计提的折旧额。</w:t>
      </w:r>
    </w:p>
    <w:p>
      <w:pPr>
        <w:spacing w:line="240" w:lineRule="auto" w:before="3"/>
        <w:rPr>
          <w:rFonts w:ascii="宋体" w:hAnsi="宋体" w:cs="宋体" w:eastAsia="宋体" w:hint="default"/>
          <w:sz w:val="22"/>
          <w:szCs w:val="22"/>
        </w:rPr>
      </w:pPr>
    </w:p>
    <w:p>
      <w:pPr>
        <w:pStyle w:val="Heading3"/>
        <w:spacing w:line="240" w:lineRule="auto"/>
        <w:ind w:left="1134" w:right="0"/>
        <w:jc w:val="left"/>
        <w:rPr>
          <w:b w:val="0"/>
          <w:bCs w:val="0"/>
        </w:rPr>
      </w:pPr>
      <w:bookmarkStart w:name="15、借款费用" w:id="181"/>
      <w:bookmarkEnd w:id="181"/>
      <w:r>
        <w:rPr>
          <w:b w:val="0"/>
          <w:bCs w:val="0"/>
        </w:rPr>
      </w:r>
      <w:r>
        <w:rPr>
          <w:rFonts w:ascii="Times New Roman" w:hAnsi="Times New Roman" w:cs="Times New Roman" w:eastAsia="Times New Roman" w:hint="default"/>
        </w:rPr>
        <w:t>15</w:t>
      </w:r>
      <w:r>
        <w:rPr/>
        <w:t>、借款费用</w:t>
      </w:r>
      <w:r>
        <w:rPr>
          <w:b w:val="0"/>
          <w:bCs w:val="0"/>
        </w:rPr>
      </w:r>
    </w:p>
    <w:p>
      <w:pPr>
        <w:spacing w:line="240" w:lineRule="auto" w:before="9"/>
        <w:rPr>
          <w:rFonts w:ascii="宋体" w:hAnsi="宋体" w:cs="宋体" w:eastAsia="宋体" w:hint="default"/>
          <w:b/>
          <w:bCs/>
          <w:sz w:val="26"/>
          <w:szCs w:val="26"/>
        </w:rPr>
      </w:pPr>
    </w:p>
    <w:p>
      <w:pPr>
        <w:pStyle w:val="BodyText"/>
        <w:spacing w:line="348" w:lineRule="auto"/>
        <w:ind w:right="1118"/>
        <w:jc w:val="left"/>
      </w:pPr>
      <w:r>
        <w:rPr>
          <w:rFonts w:ascii="Times New Roman" w:hAnsi="Times New Roman" w:cs="Times New Roman" w:eastAsia="Times New Roman" w:hint="default"/>
        </w:rPr>
        <w:t>1</w:t>
      </w:r>
      <w:r>
        <w:rPr/>
        <w:t>、</w:t>
      </w:r>
      <w:r>
        <w:rPr>
          <w:spacing w:val="60"/>
        </w:rPr>
        <w:t> </w:t>
      </w:r>
      <w:r>
        <w:rPr/>
        <w:t>借款费用资本化的确认原则</w:t>
      </w:r>
      <w:r>
        <w:rPr/>
        <w:t> 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公司发生的借款费用，可直接归属于符合资本化条件的资产的购建或者生产的，予以资本化，计入相关资产成本；其他借款</w:t>
      </w:r>
    </w:p>
    <w:p>
      <w:pPr>
        <w:pStyle w:val="BodyText"/>
        <w:spacing w:line="338" w:lineRule="auto"/>
        <w:ind w:left="1134" w:right="0"/>
        <w:jc w:val="left"/>
      </w:pPr>
      <w:r>
        <w:rPr/>
        <w:t>费用，在发生时根据其发生额确认为费用，计入当期损益。 </w:t>
      </w:r>
      <w:r>
        <w:rPr>
          <w:spacing w:val="-2"/>
        </w:rPr>
        <w:t>符合资本化条件的资产，是指需要经过相当长时间的购建或者生产活动才能达到预定可使用或者可销售状态的固定资产、投</w:t>
      </w:r>
      <w:r>
        <w:rPr>
          <w:spacing w:val="-63"/>
        </w:rPr>
        <w:t> </w:t>
      </w:r>
      <w:r>
        <w:rPr>
          <w:spacing w:val="-63"/>
        </w:rPr>
      </w:r>
      <w:r>
        <w:rPr/>
        <w:t>资性房地产和存货等资产。</w:t>
      </w:r>
    </w:p>
    <w:p>
      <w:pPr>
        <w:pStyle w:val="BodyText"/>
        <w:spacing w:line="240" w:lineRule="auto" w:before="42"/>
        <w:ind w:left="1134" w:right="0"/>
        <w:jc w:val="left"/>
      </w:pPr>
      <w:r>
        <w:rPr/>
        <w:t>借款费用同时满足下列条件时开始资本化：</w:t>
      </w:r>
    </w:p>
    <w:p>
      <w:pPr>
        <w:pStyle w:val="BodyText"/>
        <w:spacing w:line="302" w:lineRule="auto" w:before="115"/>
        <w:ind w:left="1134" w:right="1122"/>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）资产支出已经发生，资产支出包括为购建或者生产符合资本化条件的资产而以支付现金、转移非现金资产或者承担带 息债务形式发生的支出；</w:t>
      </w:r>
    </w:p>
    <w:p>
      <w:pPr>
        <w:spacing w:after="0" w:line="302"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102"/>
        <w:ind w:left="1134"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pStyle w:val="BodyText"/>
        <w:spacing w:line="352" w:lineRule="auto" w:before="103"/>
        <w:ind w:right="0"/>
        <w:jc w:val="left"/>
      </w:pPr>
      <w:r>
        <w:rPr>
          <w:rFonts w:ascii="Times New Roman" w:hAnsi="Times New Roman" w:cs="Times New Roman" w:eastAsia="Times New Roman" w:hint="default"/>
        </w:rPr>
        <w:t>2</w:t>
      </w:r>
      <w:r>
        <w:rPr/>
        <w:t>、</w:t>
      </w:r>
      <w:r>
        <w:rPr>
          <w:spacing w:val="60"/>
        </w:rPr>
        <w:t> </w:t>
      </w:r>
      <w:r>
        <w:rPr/>
        <w:t>借款费用资本化期间</w:t>
      </w:r>
      <w:r>
        <w:rPr/>
        <w:t> 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w:t>
      </w:r>
    </w:p>
    <w:p>
      <w:pPr>
        <w:pStyle w:val="BodyText"/>
        <w:spacing w:line="319" w:lineRule="auto" w:before="30"/>
        <w:ind w:right="1118"/>
        <w:jc w:val="left"/>
      </w:pPr>
      <w:r>
        <w:rPr>
          <w:spacing w:val="-2"/>
        </w:rPr>
        <w:t>购建或者生产的资产的各部分分别完工，但必须等到整体完工后才可使用或可对外销售的，在该资产整体完工时停止借款费</w:t>
      </w:r>
      <w:r>
        <w:rPr>
          <w:spacing w:val="-64"/>
        </w:rPr>
        <w:t> </w:t>
      </w:r>
      <w:r>
        <w:rPr>
          <w:spacing w:val="-64"/>
        </w:rPr>
      </w:r>
      <w:r>
        <w:rPr/>
        <w:t>用资本化。</w:t>
      </w:r>
    </w:p>
    <w:p>
      <w:pPr>
        <w:pStyle w:val="BodyText"/>
        <w:spacing w:line="240" w:lineRule="auto" w:before="56"/>
        <w:ind w:right="0"/>
        <w:jc w:val="left"/>
      </w:pPr>
      <w:r>
        <w:rPr>
          <w:rFonts w:ascii="Times New Roman" w:hAnsi="Times New Roman" w:cs="Times New Roman" w:eastAsia="Times New Roman" w:hint="default"/>
        </w:rPr>
        <w:t>3</w:t>
      </w:r>
      <w:r>
        <w:rPr/>
        <w:t>、</w:t>
      </w:r>
      <w:r>
        <w:rPr>
          <w:spacing w:val="60"/>
        </w:rPr>
        <w:t> </w:t>
      </w:r>
      <w:r>
        <w:rPr/>
        <w:t>暂停资本化期间</w:t>
      </w:r>
    </w:p>
    <w:p>
      <w:pPr>
        <w:pStyle w:val="BodyText"/>
        <w:spacing w:line="309" w:lineRule="auto" w:before="102"/>
        <w:ind w:right="1116"/>
        <w:jc w:val="left"/>
      </w:pPr>
      <w:r>
        <w:rPr/>
        <w:t>符合资本化条件的资产在购建或生产过程中发生的非正常中断、且中断时间连续超过</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spacing w:val="-4"/>
        </w:rPr>
        <w:t>个月的，则借款费用暂停资本化；该</w:t>
      </w:r>
      <w:r>
        <w:rPr/>
        <w:t> 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BodyText"/>
        <w:spacing w:line="328" w:lineRule="auto" w:before="64"/>
        <w:ind w:right="0"/>
        <w:jc w:val="left"/>
      </w:pPr>
      <w:r>
        <w:rPr>
          <w:rFonts w:ascii="Times New Roman" w:hAnsi="Times New Roman" w:cs="Times New Roman" w:eastAsia="Times New Roman" w:hint="default"/>
        </w:rPr>
        <w:t>4</w:t>
      </w:r>
      <w:r>
        <w:rPr/>
        <w:t>、</w:t>
      </w:r>
      <w:r>
        <w:rPr>
          <w:spacing w:val="60"/>
        </w:rPr>
        <w:t> </w:t>
      </w:r>
      <w:r>
        <w:rPr/>
        <w:t>借款费用资本化率、资本化金额的计算方法</w:t>
      </w:r>
      <w:r>
        <w:rPr/>
        <w:t> </w:t>
      </w:r>
      <w:r>
        <w:rPr>
          <w:spacing w:val="-2"/>
        </w:rPr>
        <w:t>对于为购建或者生产符合资本化条件的资产而借入的专门借款，以专门借款当期实际发生的借款费用，减去尚未动用的借款</w:t>
      </w:r>
      <w:r>
        <w:rPr>
          <w:spacing w:val="-64"/>
        </w:rPr>
        <w:t> </w:t>
      </w:r>
      <w:r>
        <w:rPr>
          <w:spacing w:val="-64"/>
        </w:rPr>
      </w:r>
      <w:r>
        <w:rPr/>
        <w:t>资金存入银行取得的利息收入或进行暂时性投资取得的投资收益后的金额，来确定借款费用的资本化金额。</w:t>
      </w:r>
    </w:p>
    <w:p>
      <w:pPr>
        <w:pStyle w:val="BodyText"/>
        <w:spacing w:line="319" w:lineRule="auto" w:before="49"/>
        <w:ind w:right="1130"/>
        <w:jc w:val="both"/>
      </w:pPr>
      <w:r>
        <w:rPr>
          <w:spacing w:val="-2"/>
        </w:rPr>
        <w:t>对于为购建或者生产符合资本化条件的资产而占用的一般借款，根据累计资产支出超过专门借款部分的资产支出加权平均数</w:t>
      </w:r>
      <w:r>
        <w:rPr>
          <w:spacing w:val="-64"/>
        </w:rPr>
        <w:t> </w:t>
      </w:r>
      <w:r>
        <w:rPr>
          <w:spacing w:val="-64"/>
        </w:rPr>
      </w:r>
      <w:r>
        <w:rPr>
          <w:spacing w:val="-2"/>
        </w:rPr>
        <w:t>乘以所占用一般借款的资本化率，计算确定一般借款应予资本化的借款费用金额。资本化率根据一般借款加权平均利率计算</w:t>
      </w:r>
      <w:r>
        <w:rPr>
          <w:spacing w:val="-63"/>
        </w:rPr>
        <w:t> </w:t>
      </w:r>
      <w:r>
        <w:rPr>
          <w:spacing w:val="-63"/>
        </w:rPr>
      </w:r>
      <w:r>
        <w:rPr/>
        <w:t>确定。</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16、无形资产" w:id="182"/>
      <w:bookmarkEnd w:id="182"/>
      <w:r>
        <w:rPr>
          <w:b w:val="0"/>
          <w:bCs w:val="0"/>
        </w:rPr>
      </w:r>
      <w:r>
        <w:rPr>
          <w:rFonts w:ascii="Times New Roman" w:hAnsi="Times New Roman" w:cs="Times New Roman" w:eastAsia="Times New Roman" w:hint="default"/>
        </w:rPr>
        <w:t>16</w:t>
      </w:r>
      <w:r>
        <w:rPr/>
        <w:t>、无形资产</w:t>
      </w:r>
      <w:r>
        <w:rPr>
          <w:b w:val="0"/>
          <w:bCs w:val="0"/>
        </w:rPr>
      </w:r>
    </w:p>
    <w:p>
      <w:pPr>
        <w:spacing w:line="240" w:lineRule="auto" w:before="9"/>
        <w:rPr>
          <w:rFonts w:ascii="宋体" w:hAnsi="宋体" w:cs="宋体" w:eastAsia="宋体" w:hint="default"/>
          <w:b/>
          <w:bCs/>
          <w:sz w:val="26"/>
          <w:szCs w:val="26"/>
        </w:rPr>
      </w:pPr>
    </w:p>
    <w:p>
      <w:pPr>
        <w:pStyle w:val="BodyText"/>
        <w:spacing w:line="348" w:lineRule="auto"/>
        <w:ind w:left="1134" w:right="7692"/>
        <w:jc w:val="left"/>
      </w:pPr>
      <w:r>
        <w:rPr/>
        <w:t>（</w:t>
      </w:r>
      <w:r>
        <w:rPr>
          <w:rFonts w:ascii="Times New Roman" w:hAnsi="Times New Roman" w:cs="Times New Roman" w:eastAsia="Times New Roman" w:hint="default"/>
        </w:rPr>
        <w:t>1</w:t>
      </w:r>
      <w:r>
        <w:rPr/>
        <w:t>）计价方法、使用寿命、减值测试 公司是否需要遵守特殊行业的披露要求 否</w:t>
      </w:r>
    </w:p>
    <w:p>
      <w:pPr>
        <w:pStyle w:val="BodyText"/>
        <w:spacing w:line="240" w:lineRule="auto" w:before="36"/>
        <w:ind w:left="1134" w:right="0"/>
        <w:jc w:val="left"/>
      </w:pPr>
      <w:r>
        <w:rPr>
          <w:rFonts w:ascii="Times New Roman" w:hAnsi="Times New Roman" w:cs="Times New Roman" w:eastAsia="Times New Roman" w:hint="default"/>
        </w:rPr>
        <w:t>1</w:t>
      </w:r>
      <w:r>
        <w:rPr/>
        <w:t>、</w:t>
      </w:r>
      <w:r>
        <w:rPr>
          <w:spacing w:val="60"/>
        </w:rPr>
        <w:t> </w:t>
      </w:r>
      <w:r>
        <w:rPr/>
        <w:t>无形资产的计价方法</w:t>
      </w:r>
    </w:p>
    <w:p>
      <w:pPr>
        <w:pStyle w:val="BodyText"/>
        <w:spacing w:line="328" w:lineRule="auto" w:before="102"/>
        <w:ind w:right="0"/>
        <w:jc w:val="left"/>
      </w:pPr>
      <w:r>
        <w:rPr/>
        <w:t>（</w:t>
      </w:r>
      <w:r>
        <w:rPr>
          <w:rFonts w:ascii="Times New Roman" w:hAnsi="Times New Roman" w:cs="Times New Roman" w:eastAsia="Times New Roman" w:hint="default"/>
        </w:rPr>
        <w:t>1</w:t>
      </w:r>
      <w:r>
        <w:rPr/>
        <w:t>）公司取得无形资产时按成本进行初始计量 </w:t>
      </w:r>
      <w:r>
        <w:rPr>
          <w:spacing w:val="-2"/>
        </w:rPr>
        <w:t>外购无形资产的成本，包括购买价款、相关税费以及直接归属于使该项资产达到预定用途所发生的其他支出。购买无形资产</w:t>
      </w:r>
      <w:r>
        <w:rPr>
          <w:spacing w:val="-66"/>
        </w:rPr>
        <w:t> </w:t>
      </w:r>
      <w:r>
        <w:rPr>
          <w:spacing w:val="-66"/>
        </w:rPr>
      </w:r>
      <w:r>
        <w:rPr/>
        <w:t>的价款超过正常信用条件延期支付，实质上具有融资性质的，无形资产的成本以购买价款的现值为基础确定。</w:t>
      </w:r>
    </w:p>
    <w:p>
      <w:pPr>
        <w:pStyle w:val="BodyText"/>
        <w:spacing w:line="319" w:lineRule="auto" w:before="49"/>
        <w:ind w:right="0"/>
        <w:jc w:val="left"/>
      </w:pPr>
      <w:r>
        <w:rPr>
          <w:spacing w:val="-2"/>
        </w:rPr>
        <w:t>债务重组取得债务人用以抵债的无形资产，以该无形资产的公允价值为基础确定其入账价值，并将重组债务的账面价值与该</w:t>
      </w:r>
      <w:r>
        <w:rPr>
          <w:spacing w:val="-64"/>
        </w:rPr>
        <w:t> </w:t>
      </w:r>
      <w:r>
        <w:rPr>
          <w:spacing w:val="-64"/>
        </w:rPr>
      </w:r>
      <w:r>
        <w:rPr/>
        <w:t>用以抵债的无形资产公允价值之间的差额，计入当期损益。</w:t>
      </w:r>
    </w:p>
    <w:p>
      <w:pPr>
        <w:pStyle w:val="BodyText"/>
        <w:spacing w:line="338" w:lineRule="auto" w:before="55"/>
        <w:ind w:left="1134" w:right="0"/>
        <w:jc w:val="left"/>
      </w:pPr>
      <w:r>
        <w:rPr>
          <w:spacing w:val="-2"/>
        </w:rPr>
        <w:t>以同一控制下的企业吸收合并方式取得的无形资产按被合并方的账面价值确定其入账价值；以非同一控制下的企业吸收合并</w:t>
      </w:r>
      <w:r>
        <w:rPr>
          <w:spacing w:val="-64"/>
        </w:rPr>
        <w:t> </w:t>
      </w:r>
      <w:r>
        <w:rPr>
          <w:spacing w:val="-64"/>
        </w:rPr>
      </w:r>
      <w:r>
        <w:rPr/>
        <w:t>方式取得的无形资产按公允价值确定其入账价值。 </w:t>
      </w:r>
      <w:r>
        <w:rPr>
          <w:spacing w:val="-2"/>
        </w:rPr>
        <w:t>内部自行开发的无形资产，其成本包括：开发该无形资产时耗用的材料、劳务成本、注册费、在开发过程中使用的其他专利</w:t>
      </w:r>
    </w:p>
    <w:p>
      <w:pPr>
        <w:pStyle w:val="BodyText"/>
        <w:spacing w:line="240" w:lineRule="auto" w:before="4"/>
        <w:ind w:left="1134" w:right="0"/>
        <w:jc w:val="left"/>
      </w:pPr>
      <w:r>
        <w:rPr/>
        <w:t>权和特许权的摊销以及满足资本化条件的利息费用，以及为使该无形资产达到预定用途前所发生的其他直接费用。</w:t>
      </w:r>
    </w:p>
    <w:p>
      <w:pPr>
        <w:pStyle w:val="BodyText"/>
        <w:spacing w:line="338" w:lineRule="auto" w:before="117"/>
        <w:ind w:right="7513"/>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319" w:lineRule="auto" w:before="41"/>
        <w:ind w:right="0"/>
        <w:jc w:val="left"/>
      </w:pPr>
      <w:r>
        <w:rPr>
          <w:spacing w:val="-2"/>
        </w:rPr>
        <w:t>对于使用寿命有限的无形资产，在为企业带来经济利益的期限内按直线法摊销；无法预见无形资产为企业带来经济利益期限</w:t>
      </w:r>
      <w:r>
        <w:rPr>
          <w:spacing w:val="-64"/>
        </w:rPr>
        <w:t> </w:t>
      </w:r>
      <w:r>
        <w:rPr>
          <w:spacing w:val="-64"/>
        </w:rPr>
      </w:r>
      <w:r>
        <w:rPr/>
        <w:t>的，视为使用寿命不确定的无形资产，不予摊销。</w:t>
      </w:r>
    </w:p>
    <w:p>
      <w:pPr>
        <w:pStyle w:val="BodyText"/>
        <w:spacing w:line="240" w:lineRule="auto" w:before="58"/>
        <w:ind w:right="0"/>
        <w:jc w:val="left"/>
      </w:pPr>
      <w:r>
        <w:rPr>
          <w:rFonts w:ascii="Times New Roman" w:hAnsi="Times New Roman" w:cs="Times New Roman" w:eastAsia="Times New Roman" w:hint="default"/>
        </w:rPr>
        <w:t>2</w:t>
      </w:r>
      <w:r>
        <w:rPr/>
        <w:t>、</w:t>
      </w:r>
      <w:r>
        <w:rPr>
          <w:spacing w:val="60"/>
        </w:rPr>
        <w:t> </w:t>
      </w:r>
      <w:r>
        <w:rPr/>
        <w:t>使用寿命有限的无形资产的使用寿命估计情况：</w:t>
      </w:r>
    </w:p>
    <w:p>
      <w:pPr>
        <w:spacing w:line="240" w:lineRule="auto" w:before="12"/>
        <w:rPr>
          <w:rFonts w:ascii="宋体" w:hAnsi="宋体" w:cs="宋体" w:eastAsia="宋体" w:hint="default"/>
          <w:sz w:val="6"/>
          <w:szCs w:val="6"/>
        </w:rPr>
      </w:pPr>
    </w:p>
    <w:tbl>
      <w:tblPr>
        <w:tblW w:w="0" w:type="auto"/>
        <w:jc w:val="left"/>
        <w:tblInd w:w="1123" w:type="dxa"/>
        <w:tblLayout w:type="fixed"/>
        <w:tblCellMar>
          <w:top w:w="0" w:type="dxa"/>
          <w:left w:w="0" w:type="dxa"/>
          <w:bottom w:w="0" w:type="dxa"/>
          <w:right w:w="0" w:type="dxa"/>
        </w:tblCellMar>
        <w:tblLook w:val="01E0"/>
      </w:tblPr>
      <w:tblGrid>
        <w:gridCol w:w="2793"/>
        <w:gridCol w:w="2741"/>
        <w:gridCol w:w="2885"/>
      </w:tblGrid>
      <w:tr>
        <w:trPr>
          <w:trHeight w:val="435" w:hRule="exact"/>
        </w:trPr>
        <w:tc>
          <w:tcPr>
            <w:tcW w:w="27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7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288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依据</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2789"/>
        <w:gridCol w:w="2741"/>
        <w:gridCol w:w="2885"/>
      </w:tblGrid>
      <w:tr>
        <w:trPr>
          <w:trHeight w:val="435" w:hRule="exact"/>
        </w:trPr>
        <w:tc>
          <w:tcPr>
            <w:tcW w:w="27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7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8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土地使用权证规定年限</w:t>
            </w:r>
          </w:p>
        </w:tc>
      </w:tr>
      <w:tr>
        <w:trPr>
          <w:trHeight w:val="432" w:hRule="exact"/>
        </w:trPr>
        <w:tc>
          <w:tcPr>
            <w:tcW w:w="27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预计受益期限</w:t>
            </w:r>
          </w:p>
        </w:tc>
      </w:tr>
      <w:tr>
        <w:trPr>
          <w:trHeight w:val="432" w:hRule="exact"/>
        </w:trPr>
        <w:tc>
          <w:tcPr>
            <w:tcW w:w="27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预计受益期限</w:t>
            </w:r>
          </w:p>
        </w:tc>
      </w:tr>
      <w:tr>
        <w:trPr>
          <w:trHeight w:val="432" w:hRule="exact"/>
        </w:trPr>
        <w:tc>
          <w:tcPr>
            <w:tcW w:w="27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预计受益期限</w:t>
            </w:r>
          </w:p>
        </w:tc>
      </w:tr>
      <w:tr>
        <w:trPr>
          <w:trHeight w:val="432" w:hRule="exact"/>
        </w:trPr>
        <w:tc>
          <w:tcPr>
            <w:tcW w:w="27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预计受益期限</w:t>
            </w:r>
          </w:p>
        </w:tc>
      </w:tr>
    </w:tbl>
    <w:p>
      <w:pPr>
        <w:pStyle w:val="BodyText"/>
        <w:spacing w:line="360" w:lineRule="auto" w:before="51"/>
        <w:ind w:right="4813"/>
        <w:jc w:val="left"/>
      </w:pPr>
      <w:r>
        <w:rPr/>
        <w:t>每期末，对使用寿命有限的无形资产的使用寿命及摊销方法进行复核。 经复核，本报告期末无形资产的使用寿命及摊销方法与以前估计未有不同。 </w:t>
      </w:r>
      <w:r>
        <w:rPr>
          <w:rFonts w:ascii="Times New Roman" w:hAnsi="Times New Roman" w:cs="Times New Roman" w:eastAsia="Times New Roman" w:hint="default"/>
        </w:rPr>
        <w:t>3</w:t>
      </w:r>
      <w:r>
        <w:rPr/>
        <w:t>、</w:t>
      </w:r>
      <w:r>
        <w:rPr>
          <w:spacing w:val="60"/>
        </w:rPr>
        <w:t> </w:t>
      </w:r>
      <w:r>
        <w:rPr/>
        <w:t>使用寿命不确定的无形资产的判断依据：</w:t>
      </w:r>
    </w:p>
    <w:p>
      <w:pPr>
        <w:pStyle w:val="BodyText"/>
        <w:spacing w:line="240" w:lineRule="auto" w:before="2"/>
        <w:ind w:right="0"/>
        <w:jc w:val="left"/>
      </w:pPr>
      <w:r>
        <w:rPr/>
        <w:t>截止</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日，本公司无使用寿命不确定的无形资产。</w:t>
      </w:r>
    </w:p>
    <w:p>
      <w:pPr>
        <w:pStyle w:val="BodyText"/>
        <w:spacing w:line="240" w:lineRule="auto" w:before="102"/>
        <w:ind w:right="0"/>
        <w:jc w:val="left"/>
      </w:pPr>
      <w:r>
        <w:rPr/>
        <w:t>（</w:t>
      </w:r>
      <w:r>
        <w:rPr>
          <w:rFonts w:ascii="Times New Roman" w:hAnsi="Times New Roman" w:cs="Times New Roman" w:eastAsia="Times New Roman" w:hint="default"/>
        </w:rPr>
        <w:t>2</w:t>
      </w:r>
      <w:r>
        <w:rPr/>
        <w:t>）内部研究开发支出会计政策</w:t>
      </w:r>
    </w:p>
    <w:p>
      <w:pPr>
        <w:pStyle w:val="BodyText"/>
        <w:spacing w:line="348" w:lineRule="auto" w:before="103"/>
        <w:ind w:right="1395"/>
        <w:jc w:val="left"/>
      </w:pPr>
      <w:r>
        <w:rPr>
          <w:rFonts w:ascii="Times New Roman" w:hAnsi="Times New Roman" w:cs="Times New Roman" w:eastAsia="Times New Roman" w:hint="default"/>
        </w:rPr>
        <w:t>4</w:t>
      </w:r>
      <w:r>
        <w:rPr/>
        <w:t>、</w:t>
      </w:r>
      <w:r>
        <w:rPr>
          <w:spacing w:val="60"/>
        </w:rPr>
        <w:t> </w:t>
      </w:r>
      <w:r>
        <w:rPr/>
        <w:t>划分公司内部研究开发项目的研究阶段和开发阶段具体标准</w:t>
      </w:r>
      <w:r>
        <w:rPr/>
        <w:t> 公司内部研究开发项目的支出分为研究阶段支出和开发阶段支出。 研究阶段：为获取并理解新的科学或技术知识等而进行的独创性的有计划调查、研究活动的阶段。</w:t>
      </w:r>
    </w:p>
    <w:p>
      <w:pPr>
        <w:pStyle w:val="BodyText"/>
        <w:spacing w:line="319" w:lineRule="auto" w:before="35"/>
        <w:ind w:right="0"/>
        <w:jc w:val="left"/>
      </w:pPr>
      <w:r>
        <w:rPr>
          <w:spacing w:val="-2"/>
        </w:rPr>
        <w:t>开发阶段：在进行商业性生产或使用前，将研究成果或其他知识应用于某项计划或设计，以生产出新的或具有实质性改进的</w:t>
      </w:r>
      <w:r>
        <w:rPr>
          <w:spacing w:val="-66"/>
        </w:rPr>
        <w:t> </w:t>
      </w:r>
      <w:r>
        <w:rPr>
          <w:spacing w:val="-66"/>
        </w:rPr>
      </w:r>
      <w:r>
        <w:rPr/>
        <w:t>材料、装置、产品等活动的阶段。</w:t>
      </w:r>
    </w:p>
    <w:p>
      <w:pPr>
        <w:pStyle w:val="BodyText"/>
        <w:spacing w:line="338" w:lineRule="auto" w:before="56"/>
        <w:ind w:left="1134" w:right="4812"/>
        <w:jc w:val="left"/>
      </w:pPr>
      <w:r>
        <w:rPr>
          <w:rFonts w:ascii="Times New Roman" w:hAnsi="Times New Roman" w:cs="Times New Roman" w:eastAsia="Times New Roman" w:hint="default"/>
        </w:rPr>
        <w:t>5</w:t>
      </w:r>
      <w:r>
        <w:rPr/>
        <w:t>、</w:t>
      </w:r>
      <w:r>
        <w:rPr>
          <w:spacing w:val="60"/>
        </w:rPr>
        <w:t> </w:t>
      </w:r>
      <w:r>
        <w:rPr/>
        <w:t>开发阶段支出符合资本化的具体标准</w:t>
      </w:r>
      <w:r>
        <w:rPr/>
        <w:t> 内部研究开发项目开发阶段的支出，同时满足下列条件时确认为无形资产：</w:t>
      </w:r>
    </w:p>
    <w:p>
      <w:pPr>
        <w:pStyle w:val="BodyText"/>
        <w:spacing w:line="240" w:lineRule="auto" w:before="43"/>
        <w:ind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03"/>
        <w:ind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2" w:lineRule="auto" w:before="101"/>
        <w:ind w:left="1134" w:right="1122"/>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）无形资产产生经济利益的方式，包括能够证明运用该无形资产生产的产品存在市场或无形资产自身存在市场，无形资 产将在内部使用的，能够证明其有用性；</w:t>
      </w:r>
    </w:p>
    <w:p>
      <w:pPr>
        <w:pStyle w:val="BodyText"/>
        <w:spacing w:line="240" w:lineRule="auto" w:before="70"/>
        <w:ind w:left="1134" w:right="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38" w:lineRule="auto" w:before="102"/>
        <w:ind w:right="2113"/>
        <w:jc w:val="left"/>
      </w:pPr>
      <w:r>
        <w:rPr/>
        <w:t>（</w:t>
      </w:r>
      <w:r>
        <w:rPr>
          <w:rFonts w:ascii="Times New Roman" w:hAnsi="Times New Roman" w:cs="Times New Roman" w:eastAsia="Times New Roman" w:hint="default"/>
        </w:rPr>
        <w:t>5</w:t>
      </w:r>
      <w:r>
        <w:rPr/>
        <w:t>）归属于该无形资产开发阶段的支出能够可靠地计量。 开发阶段的支出，若不满足上列条件的，于发生时计入当期损益。研究阶段的支出，在发生时计入当期损益。</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17、长期资产减值" w:id="183"/>
      <w:bookmarkEnd w:id="183"/>
      <w:r>
        <w:rPr>
          <w:b w:val="0"/>
          <w:bCs w:val="0"/>
        </w:rPr>
      </w:r>
      <w:r>
        <w:rPr>
          <w:rFonts w:ascii="Times New Roman" w:hAnsi="Times New Roman" w:cs="Times New Roman" w:eastAsia="Times New Roman" w:hint="default"/>
        </w:rPr>
        <w:t>17</w:t>
      </w:r>
      <w:r>
        <w:rPr/>
        <w:t>、长期资产减值</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134" w:right="1131"/>
        <w:jc w:val="both"/>
      </w:pPr>
      <w:r>
        <w:rPr>
          <w:spacing w:val="-2"/>
        </w:rPr>
        <w:t>长期股权投资、固定资产、在建工程、使用寿命有限的无形资产等长期资产，于资产负债表日存在减值迹象的，进行减值测</w:t>
      </w:r>
      <w:r>
        <w:rPr>
          <w:spacing w:val="-66"/>
        </w:rPr>
        <w:t> </w:t>
      </w:r>
      <w:r>
        <w:rPr>
          <w:spacing w:val="-66"/>
        </w:rPr>
      </w:r>
      <w:r>
        <w:rPr>
          <w:spacing w:val="-2"/>
        </w:rPr>
        <w:t>试。减值测试结果表明资产的可收回金额低于其账面价值的，按其差额计提减值准备并计入减值损失。可收回金额为资产的</w:t>
      </w:r>
      <w:r>
        <w:rPr>
          <w:spacing w:val="-66"/>
        </w:rPr>
        <w:t> </w:t>
      </w:r>
      <w:r>
        <w:rPr>
          <w:spacing w:val="-66"/>
        </w:rPr>
      </w:r>
      <w:r>
        <w:rPr>
          <w:spacing w:val="-2"/>
        </w:rPr>
        <w:t>公允价值减去处置费用后的净额与资产预计未来现金流量的现值两者之间的较高者。资产减值准备按单项资产为基础计算并</w:t>
      </w:r>
      <w:r>
        <w:rPr>
          <w:spacing w:val="-64"/>
        </w:rPr>
        <w:t> </w:t>
      </w:r>
      <w:r>
        <w:rPr>
          <w:spacing w:val="-64"/>
        </w:rPr>
      </w:r>
      <w:r>
        <w:rPr>
          <w:spacing w:val="-2"/>
        </w:rPr>
        <w:t>确认，如果难以对单项资产的可收回金额进行估计的，以该资产所属的资产组确定资产组的可收回金额。资产组是能够独立</w:t>
      </w:r>
      <w:r>
        <w:rPr>
          <w:spacing w:val="-65"/>
        </w:rPr>
        <w:t> </w:t>
      </w:r>
      <w:r>
        <w:rPr>
          <w:spacing w:val="-65"/>
        </w:rPr>
      </w:r>
      <w:r>
        <w:rPr/>
        <w:t>产生现金流入的最小资产组合。</w:t>
      </w:r>
    </w:p>
    <w:p>
      <w:pPr>
        <w:pStyle w:val="BodyText"/>
        <w:spacing w:line="338" w:lineRule="auto" w:before="56"/>
        <w:ind w:left="1134" w:right="0"/>
        <w:jc w:val="left"/>
      </w:pPr>
      <w:r>
        <w:rPr/>
        <w:t>商誉至少在每年年度终了进行减值测试。 </w:t>
      </w:r>
      <w:r>
        <w:rPr>
          <w:spacing w:val="-2"/>
        </w:rPr>
        <w:t>本公司进行商誉减值测试，对于因企业合并形成的商誉的账面价值，自购买日起按照合理的方法分摊至相关的资产组；难以</w:t>
      </w:r>
      <w:r>
        <w:rPr>
          <w:spacing w:val="-66"/>
        </w:rPr>
        <w:t> </w:t>
      </w:r>
      <w:r>
        <w:rPr>
          <w:spacing w:val="-66"/>
        </w:rPr>
      </w:r>
      <w:r>
        <w:rPr>
          <w:spacing w:val="-2"/>
        </w:rPr>
        <w:t>分摊至相关的资产组的，将其分摊至相关的资产组组合。在将商誉的账面价值分摊至相关的资产组或者资产组组合时，按照</w:t>
      </w:r>
    </w:p>
    <w:p>
      <w:pPr>
        <w:pStyle w:val="BodyText"/>
        <w:spacing w:line="319" w:lineRule="auto" w:before="2"/>
        <w:ind w:right="0"/>
        <w:jc w:val="left"/>
      </w:pPr>
      <w:r>
        <w:rPr/>
        <w:t>各资产组或者资产组组合的公允价值占相关资产组或者资产组组合公允价值总额的比例进行分摊。公允价值难以可靠计量 的，按照各资产组或者资产组组合的账面价值占相关资产组或者资产组组合账面价值总额的比例进行分摊。</w:t>
      </w:r>
    </w:p>
    <w:p>
      <w:pPr>
        <w:pStyle w:val="BodyText"/>
        <w:spacing w:line="316" w:lineRule="auto" w:before="55"/>
        <w:ind w:right="1131"/>
        <w:jc w:val="both"/>
      </w:pPr>
      <w:r>
        <w:rPr>
          <w:spacing w:val="-2"/>
        </w:rPr>
        <w:t>在对包含商誉的相关资产组或者资产组组合进行减值测试时，如与商誉相关的资产组或者资产组组合存在减值迹象的，先对</w:t>
      </w:r>
      <w:r>
        <w:rPr>
          <w:spacing w:val="-64"/>
        </w:rPr>
        <w:t> </w:t>
      </w:r>
      <w:r>
        <w:rPr>
          <w:spacing w:val="-64"/>
        </w:rPr>
      </w:r>
      <w:r>
        <w:rPr>
          <w:spacing w:val="-2"/>
        </w:rPr>
        <w:t>不包含商誉的资产组或者资产组组合进行减值测试，计算可收回金额，并与相关账面价值相比较，确认相应的减值损失。再</w:t>
      </w:r>
      <w:r>
        <w:rPr>
          <w:spacing w:val="-66"/>
        </w:rPr>
        <w:t> </w:t>
      </w:r>
      <w:r>
        <w:rPr>
          <w:spacing w:val="-66"/>
        </w:rPr>
      </w:r>
      <w:r>
        <w:rPr>
          <w:spacing w:val="-2"/>
        </w:rPr>
        <w:t>对包含商誉的资产组或者资产组组合进行减值测试，比较这些相关资产组或者资产组组合的账面价值（包括所分摊的商誉的</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0"/>
        <w:jc w:val="left"/>
      </w:pPr>
      <w:r>
        <w:rPr>
          <w:spacing w:val="-2"/>
        </w:rPr>
        <w:t>账面价值部分）与其可收回金额，如相关资产组或者资产组组合的可收回金额低于其账面价值的，确认商誉的减值损失。上</w:t>
      </w:r>
      <w:r>
        <w:rPr>
          <w:spacing w:val="-66"/>
        </w:rPr>
        <w:t> </w:t>
      </w:r>
      <w:r>
        <w:rPr>
          <w:spacing w:val="-66"/>
        </w:rPr>
      </w:r>
      <w:r>
        <w:rPr/>
        <w:t>述资产减值损失一经确认，在以后会计期间不予转回。</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18、长期待摊费用" w:id="184"/>
      <w:bookmarkEnd w:id="184"/>
      <w:r>
        <w:rPr>
          <w:b w:val="0"/>
          <w:bCs w:val="0"/>
        </w:rPr>
      </w:r>
      <w:r>
        <w:rPr>
          <w:rFonts w:ascii="Times New Roman" w:hAnsi="Times New Roman" w:cs="Times New Roman" w:eastAsia="Times New Roman" w:hint="default"/>
        </w:rPr>
        <w:t>18</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长期待摊费用为已经发生但应由本期和以后各期负担的分摊期限在一年以上的各项费用。</w:t>
      </w:r>
    </w:p>
    <w:p>
      <w:pPr>
        <w:pStyle w:val="BodyText"/>
        <w:spacing w:line="348" w:lineRule="auto" w:before="116"/>
        <w:ind w:right="7873"/>
        <w:jc w:val="left"/>
      </w:pPr>
      <w:r>
        <w:rPr>
          <w:rFonts w:ascii="Times New Roman" w:hAnsi="Times New Roman" w:cs="Times New Roman" w:eastAsia="Times New Roman" w:hint="default"/>
        </w:rPr>
        <w:t>1</w:t>
      </w:r>
      <w:r>
        <w:rPr/>
        <w:t>、</w:t>
      </w:r>
      <w:r>
        <w:rPr>
          <w:spacing w:val="60"/>
        </w:rPr>
        <w:t> </w:t>
      </w:r>
      <w:r>
        <w:rPr/>
        <w:t>摊销年限</w:t>
      </w:r>
      <w:r>
        <w:rPr/>
        <w:t> 长期待摊费用在受益期内平均摊销。 </w:t>
      </w:r>
      <w:r>
        <w:rPr>
          <w:rFonts w:ascii="Times New Roman" w:hAnsi="Times New Roman" w:cs="Times New Roman" w:eastAsia="Times New Roman" w:hint="default"/>
        </w:rPr>
        <w:t>2</w:t>
      </w:r>
      <w:r>
        <w:rPr/>
        <w:t>、</w:t>
      </w:r>
      <w:r>
        <w:rPr>
          <w:spacing w:val="60"/>
        </w:rPr>
        <w:t> </w:t>
      </w:r>
      <w:r>
        <w:rPr/>
        <w:t>摊销年限</w:t>
      </w:r>
    </w:p>
    <w:tbl>
      <w:tblPr>
        <w:tblW w:w="0" w:type="auto"/>
        <w:jc w:val="left"/>
        <w:tblInd w:w="1126" w:type="dxa"/>
        <w:tblLayout w:type="fixed"/>
        <w:tblCellMar>
          <w:top w:w="0" w:type="dxa"/>
          <w:left w:w="0" w:type="dxa"/>
          <w:bottom w:w="0" w:type="dxa"/>
          <w:right w:w="0" w:type="dxa"/>
        </w:tblCellMar>
        <w:tblLook w:val="01E0"/>
      </w:tblPr>
      <w:tblGrid>
        <w:gridCol w:w="4551"/>
        <w:gridCol w:w="3864"/>
      </w:tblGrid>
      <w:tr>
        <w:trPr>
          <w:trHeight w:val="435" w:hRule="exact"/>
        </w:trPr>
        <w:tc>
          <w:tcPr>
            <w:tcW w:w="45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8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摊销年限</w:t>
            </w:r>
          </w:p>
        </w:tc>
      </w:tr>
      <w:tr>
        <w:trPr>
          <w:trHeight w:val="432" w:hRule="exact"/>
        </w:trPr>
        <w:tc>
          <w:tcPr>
            <w:tcW w:w="45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信息披露费</w:t>
            </w:r>
          </w:p>
        </w:tc>
        <w:tc>
          <w:tcPr>
            <w:tcW w:w="386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32" w:hRule="exact"/>
        </w:trPr>
        <w:tc>
          <w:tcPr>
            <w:tcW w:w="45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绿化费</w:t>
            </w:r>
          </w:p>
        </w:tc>
        <w:tc>
          <w:tcPr>
            <w:tcW w:w="386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32" w:hRule="exact"/>
        </w:trPr>
        <w:tc>
          <w:tcPr>
            <w:tcW w:w="45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86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9、职工薪酬" w:id="185"/>
      <w:bookmarkEnd w:id="185"/>
      <w:r>
        <w:rPr>
          <w:b w:val="0"/>
          <w:bCs w:val="0"/>
        </w:rPr>
      </w:r>
      <w:r>
        <w:rPr>
          <w:rFonts w:ascii="Times New Roman" w:hAnsi="Times New Roman" w:cs="Times New Roman" w:eastAsia="Times New Roman" w:hint="default"/>
        </w:rPr>
        <w:t>19</w:t>
      </w:r>
      <w:r>
        <w:rPr/>
        <w:t>、职工薪酬</w:t>
      </w:r>
      <w:r>
        <w:rPr>
          <w:b w:val="0"/>
          <w:bCs w:val="0"/>
        </w:rPr>
      </w:r>
    </w:p>
    <w:p>
      <w:pPr>
        <w:spacing w:line="240" w:lineRule="auto" w:before="8"/>
        <w:rPr>
          <w:rFonts w:ascii="宋体" w:hAnsi="宋体" w:cs="宋体" w:eastAsia="宋体" w:hint="default"/>
          <w:b/>
          <w:bCs/>
          <w:sz w:val="26"/>
          <w:szCs w:val="26"/>
        </w:rPr>
      </w:pPr>
    </w:p>
    <w:p>
      <w:pPr>
        <w:pStyle w:val="BodyText"/>
        <w:spacing w:line="348" w:lineRule="auto"/>
        <w:ind w:right="0"/>
        <w:jc w:val="left"/>
      </w:pPr>
      <w:r>
        <w:rPr/>
        <w:t>（</w:t>
      </w:r>
      <w:r>
        <w:rPr>
          <w:rFonts w:ascii="Times New Roman" w:hAnsi="Times New Roman" w:cs="Times New Roman" w:eastAsia="Times New Roman" w:hint="default"/>
        </w:rPr>
        <w:t>1</w:t>
      </w:r>
      <w:r>
        <w:rPr/>
        <w:t>）短期薪酬的会计处理方法 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本公司为职工缴纳的社会保险费和住房公积金，以及按规定提取的工会经费和职工教育经费，在职工为本公司提供服务的会</w:t>
      </w:r>
    </w:p>
    <w:p>
      <w:pPr>
        <w:pStyle w:val="BodyText"/>
        <w:spacing w:line="357" w:lineRule="auto"/>
        <w:ind w:right="4993"/>
        <w:jc w:val="left"/>
      </w:pPr>
      <w:r>
        <w:rPr/>
        <w:t>计期间，根据规定的计提基础和计提比例计算确定相应的职工薪酬金额。 职工福利费为非货币性福利的，如能够可靠计量的，按照公允价值计量。</w:t>
      </w:r>
    </w:p>
    <w:p>
      <w:pPr>
        <w:pStyle w:val="BodyText"/>
        <w:spacing w:line="240" w:lineRule="auto" w:before="29"/>
        <w:ind w:right="0"/>
        <w:jc w:val="left"/>
      </w:pPr>
      <w:r>
        <w:rPr/>
        <w:t>（</w:t>
      </w:r>
      <w:r>
        <w:rPr>
          <w:rFonts w:ascii="Times New Roman" w:hAnsi="Times New Roman" w:cs="Times New Roman" w:eastAsia="Times New Roman" w:hint="default"/>
        </w:rPr>
        <w:t>2</w:t>
      </w:r>
      <w:r>
        <w:rPr/>
        <w:t>）离职后福利的会计处理方法</w:t>
      </w:r>
    </w:p>
    <w:p>
      <w:pPr>
        <w:pStyle w:val="BodyText"/>
        <w:spacing w:line="328" w:lineRule="auto" w:before="102"/>
        <w:ind w:left="1134" w:right="0"/>
        <w:jc w:val="left"/>
      </w:pPr>
      <w:r>
        <w:rPr/>
        <w:t>（</w:t>
      </w:r>
      <w:r>
        <w:rPr>
          <w:rFonts w:ascii="Times New Roman" w:hAnsi="Times New Roman" w:cs="Times New Roman" w:eastAsia="Times New Roman" w:hint="default"/>
        </w:rPr>
        <w:t>1</w:t>
      </w:r>
      <w:r>
        <w:rPr/>
        <w:t>）设定提存计划 </w:t>
      </w:r>
      <w:r>
        <w:rPr>
          <w:spacing w:val="-2"/>
        </w:rPr>
        <w:t>本公司按当地政府的相关规定为职工缴纳基本养老保险和失业保险，在职工为本公司提供服务的会计期间，按以当地规定的</w:t>
      </w:r>
      <w:r>
        <w:rPr>
          <w:spacing w:val="-64"/>
        </w:rPr>
        <w:t> </w:t>
      </w:r>
      <w:r>
        <w:rPr>
          <w:spacing w:val="-64"/>
        </w:rPr>
      </w:r>
      <w:r>
        <w:rPr/>
        <w:t>缴纳基数和比例计算应缴纳金额，确认为负债，并计入当期损益或相关资产成本。</w:t>
      </w:r>
    </w:p>
    <w:p>
      <w:pPr>
        <w:pStyle w:val="BodyText"/>
        <w:spacing w:line="338" w:lineRule="auto" w:before="50"/>
        <w:ind w:right="0"/>
        <w:jc w:val="left"/>
      </w:pPr>
      <w:r>
        <w:rPr/>
        <w:t>（</w:t>
      </w:r>
      <w:r>
        <w:rPr>
          <w:rFonts w:ascii="Times New Roman" w:hAnsi="Times New Roman" w:cs="Times New Roman" w:eastAsia="Times New Roman" w:hint="default"/>
        </w:rPr>
        <w:t>2</w:t>
      </w:r>
      <w:r>
        <w:rPr/>
        <w:t>）设定受益计划 </w:t>
      </w:r>
      <w:r>
        <w:rPr>
          <w:spacing w:val="-2"/>
        </w:rPr>
        <w:t>本公司根据预期累计福利单位法确定的公式将设定受益计划产生的福利义务归属于职工提供服务的期间，并计入当期损益或</w:t>
      </w:r>
      <w:r>
        <w:rPr>
          <w:spacing w:val="-64"/>
        </w:rPr>
        <w:t> </w:t>
      </w:r>
      <w:r>
        <w:rPr>
          <w:spacing w:val="-64"/>
        </w:rPr>
      </w:r>
      <w:r>
        <w:rPr/>
        <w:t>相关资产成本。 </w:t>
      </w:r>
      <w:r>
        <w:rPr>
          <w:spacing w:val="-2"/>
        </w:rPr>
        <w:t>设定受益计划义务现值减去设定受益计划资产公允价值所形成的赤字或盈余确认为一项设定受益计划净负债或净资产。设定</w:t>
      </w:r>
      <w:r>
        <w:rPr>
          <w:spacing w:val="-64"/>
        </w:rPr>
        <w:t> </w:t>
      </w:r>
      <w:r>
        <w:rPr>
          <w:spacing w:val="-64"/>
        </w:rPr>
      </w:r>
      <w:r>
        <w:rPr/>
        <w:t>受益计划存在盈余的，本公司以设定受益计划的盈余和资产上限两项的孰低者计量设定受益计划净资产。 </w:t>
      </w:r>
      <w:r>
        <w:rPr>
          <w:spacing w:val="-2"/>
        </w:rPr>
        <w:t>所有设定受益计划义务，包括预期在职工提供服务的年度报告期间结束后的十二个月内支付的义务，根据资产负债表日与设</w:t>
      </w:r>
      <w:r>
        <w:rPr>
          <w:spacing w:val="-64"/>
        </w:rPr>
        <w:t> </w:t>
      </w:r>
      <w:r>
        <w:rPr>
          <w:spacing w:val="-64"/>
        </w:rPr>
      </w:r>
      <w:r>
        <w:rPr/>
        <w:t>定受益计划义务期限和币种相匹配的国债或活跃市场上的高质量公司债券的市场收益率予以折现。 </w:t>
      </w:r>
      <w:r>
        <w:rPr>
          <w:spacing w:val="-2"/>
        </w:rPr>
        <w:t>设定受益计划产生的服务成本和设定受益计划净负债或净资产的利息净额计入当期损益或相关资产成本；重新计量设定受益</w:t>
      </w:r>
    </w:p>
    <w:p>
      <w:pPr>
        <w:pStyle w:val="BodyText"/>
        <w:spacing w:line="338" w:lineRule="auto" w:before="2"/>
        <w:ind w:right="0"/>
        <w:jc w:val="left"/>
      </w:pPr>
      <w:r>
        <w:rPr>
          <w:spacing w:val="-2"/>
        </w:rPr>
        <w:t>计划净负债或净资产所产生的变动计入其他综合收益，并且在后续会计期间不转回至损益，在原设定受益计划终止时在权益</w:t>
      </w:r>
      <w:r>
        <w:rPr>
          <w:spacing w:val="-64"/>
        </w:rPr>
        <w:t> </w:t>
      </w:r>
      <w:r>
        <w:rPr>
          <w:spacing w:val="-64"/>
        </w:rPr>
      </w:r>
      <w:r>
        <w:rPr/>
        <w:t>范围内将原计入其他综合收益的部分全部结转至未分配利润。 在设定受益计划结算时，按在结算日确定的设定受益计划义务现值和结算价格两者的差额，确认结算利得或损失。</w:t>
      </w:r>
    </w:p>
    <w:p>
      <w:pPr>
        <w:pStyle w:val="BodyText"/>
        <w:spacing w:line="328" w:lineRule="auto" w:before="44"/>
        <w:ind w:left="1134" w:right="0"/>
        <w:jc w:val="left"/>
      </w:pPr>
      <w:r>
        <w:rPr/>
        <w:t>（</w:t>
      </w:r>
      <w:r>
        <w:rPr>
          <w:rFonts w:ascii="Times New Roman" w:hAnsi="Times New Roman" w:cs="Times New Roman" w:eastAsia="Times New Roman" w:hint="default"/>
        </w:rPr>
        <w:t>3</w:t>
      </w:r>
      <w:r>
        <w:rPr/>
        <w:t>）辞退福利的会计处理方法 </w:t>
      </w:r>
      <w:r>
        <w:rPr>
          <w:spacing w:val="-2"/>
        </w:rPr>
        <w:t>本公司在不能单方面撤回因解除劳动关系计划或裁减建议所提供的辞退福利时，或确认与涉及支付辞退福利的重组相关的成</w:t>
      </w:r>
      <w:r>
        <w:rPr>
          <w:spacing w:val="-64"/>
        </w:rPr>
        <w:t> </w:t>
      </w:r>
      <w:r>
        <w:rPr>
          <w:spacing w:val="-64"/>
        </w:rPr>
      </w:r>
      <w:r>
        <w:rPr>
          <w:spacing w:val="-3"/>
        </w:rPr>
        <w:t>本或费用时（两者孰早），确认辞退福利产生的职工薪酬负债，并计入当期损益。</w:t>
      </w:r>
    </w:p>
    <w:p>
      <w:pPr>
        <w:spacing w:after="0" w:line="328"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0、收入" w:id="186"/>
      <w:bookmarkEnd w:id="186"/>
      <w:r>
        <w:rPr>
          <w:b w:val="0"/>
          <w:bCs w:val="0"/>
        </w:rPr>
      </w:r>
      <w:r>
        <w:rPr>
          <w:rFonts w:ascii="Times New Roman" w:hAnsi="Times New Roman" w:cs="Times New Roman" w:eastAsia="Times New Roman" w:hint="default"/>
        </w:rPr>
        <w:t>20</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BodyText"/>
        <w:spacing w:line="240" w:lineRule="auto" w:before="29"/>
        <w:ind w:left="1134" w:right="0"/>
        <w:jc w:val="left"/>
      </w:pPr>
      <w:r>
        <w:rPr>
          <w:rFonts w:ascii="Times New Roman" w:hAnsi="Times New Roman" w:cs="Times New Roman" w:eastAsia="Times New Roman" w:hint="default"/>
        </w:rPr>
        <w:t>1</w:t>
      </w:r>
      <w:r>
        <w:rPr/>
        <w:t>、</w:t>
      </w:r>
      <w:r>
        <w:rPr>
          <w:spacing w:val="60"/>
        </w:rPr>
        <w:t> </w:t>
      </w:r>
      <w:r>
        <w:rPr/>
        <w:t>销售商品收入确认和计量原则</w:t>
      </w:r>
    </w:p>
    <w:p>
      <w:pPr>
        <w:pStyle w:val="BodyText"/>
        <w:spacing w:line="324" w:lineRule="auto" w:before="102"/>
        <w:ind w:right="0"/>
        <w:jc w:val="left"/>
      </w:pPr>
      <w:r>
        <w:rPr/>
        <w:t>（</w:t>
      </w:r>
      <w:r>
        <w:rPr>
          <w:rFonts w:ascii="Times New Roman" w:hAnsi="Times New Roman" w:cs="Times New Roman" w:eastAsia="Times New Roman" w:hint="default"/>
        </w:rPr>
        <w:t>1</w:t>
      </w:r>
      <w:r>
        <w:rPr/>
        <w:t>）销售商品收入确认和计量的一般原则 </w:t>
      </w:r>
      <w:r>
        <w:rPr>
          <w:spacing w:val="-2"/>
        </w:rPr>
        <w:t>公司已将商品所有权上的主要风险和报酬转移给购买方；公司既没有保留与所有权相联系的继续管理权，也没有对已售出的</w:t>
      </w:r>
      <w:r>
        <w:rPr>
          <w:spacing w:val="-64"/>
        </w:rPr>
        <w:t> </w:t>
      </w:r>
      <w:r>
        <w:rPr>
          <w:spacing w:val="-64"/>
        </w:rPr>
      </w:r>
      <w:r>
        <w:rPr>
          <w:spacing w:val="-2"/>
        </w:rPr>
        <w:t>商品实施有效控制；收入的金额能够可靠地计量；相关的经济利益很可能流入企业；相关的已发生或将发生的成本能够可靠</w:t>
      </w:r>
      <w:r>
        <w:rPr>
          <w:spacing w:val="-66"/>
        </w:rPr>
        <w:t> </w:t>
      </w:r>
      <w:r>
        <w:rPr>
          <w:spacing w:val="-66"/>
        </w:rPr>
      </w:r>
      <w:r>
        <w:rPr/>
        <w:t>地计量时，确认商品销售收入实现。</w:t>
      </w:r>
    </w:p>
    <w:p>
      <w:pPr>
        <w:pStyle w:val="BodyText"/>
        <w:spacing w:line="240" w:lineRule="auto" w:before="54"/>
        <w:ind w:right="0"/>
        <w:jc w:val="left"/>
      </w:pPr>
      <w:r>
        <w:rPr/>
        <w:t>（</w:t>
      </w:r>
      <w:r>
        <w:rPr>
          <w:rFonts w:ascii="Times New Roman" w:hAnsi="Times New Roman" w:cs="Times New Roman" w:eastAsia="Times New Roman" w:hint="default"/>
        </w:rPr>
        <w:t>2</w:t>
      </w:r>
      <w:r>
        <w:rPr/>
        <w:t>）本公司销售商品收入确认的具体判断标准</w:t>
      </w:r>
    </w:p>
    <w:p>
      <w:pPr>
        <w:pStyle w:val="BodyText"/>
        <w:spacing w:line="338" w:lineRule="auto" w:before="102"/>
        <w:ind w:right="1027"/>
        <w:jc w:val="left"/>
      </w:pPr>
      <w:r>
        <w:rPr/>
        <w:t>本公司主要业务为超细纤维 </w:t>
      </w:r>
      <w:r>
        <w:rPr>
          <w:rFonts w:ascii="Times New Roman" w:hAnsi="Times New Roman" w:cs="Times New Roman" w:eastAsia="Times New Roman" w:hint="default"/>
        </w:rPr>
        <w:t>PU</w:t>
      </w:r>
      <w:r>
        <w:rPr>
          <w:rFonts w:ascii="Times New Roman" w:hAnsi="Times New Roman" w:cs="Times New Roman" w:eastAsia="Times New Roman" w:hint="default"/>
          <w:spacing w:val="1"/>
        </w:rPr>
        <w:t> </w:t>
      </w:r>
      <w:r>
        <w:rPr/>
        <w:t>合成革的研制开发、生产、销售与服务，报告期内不同业务类别的收入具体确认原则如下： </w:t>
      </w:r>
      <w:r>
        <w:rPr>
          <w:rFonts w:ascii="Times New Roman" w:hAnsi="Times New Roman" w:cs="Times New Roman" w:eastAsia="Times New Roman" w:hint="default"/>
        </w:rPr>
        <w:t>1</w:t>
      </w:r>
      <w:r>
        <w:rPr/>
        <w:t>）在同时具备下列条件后确认内销收入： </w:t>
      </w:r>
      <w:r>
        <w:rPr>
          <w:spacing w:val="-2"/>
        </w:rPr>
        <w:t>根据与客户签订的销售协议的规定，完成相关产品生产，经检验合格交与客户，根据合同规定的金额开具发票；产品销售收</w:t>
      </w:r>
      <w:r>
        <w:rPr>
          <w:spacing w:val="-66"/>
        </w:rPr>
        <w:t> </w:t>
      </w:r>
      <w:r>
        <w:rPr>
          <w:spacing w:val="-66"/>
        </w:rPr>
      </w:r>
      <w:r>
        <w:rPr/>
        <w:t>入货款金额已确定，款项已收讫或预计可以收回；销售产品的单位成本能够合理计算。 </w:t>
      </w:r>
      <w:r>
        <w:rPr>
          <w:rFonts w:ascii="Times New Roman" w:hAnsi="Times New Roman" w:cs="Times New Roman" w:eastAsia="Times New Roman" w:hint="default"/>
        </w:rPr>
        <w:t>2</w:t>
      </w:r>
      <w:r>
        <w:rPr/>
        <w:t>）在同时具备下列条件后确认外销收入： </w:t>
      </w:r>
      <w:r>
        <w:rPr>
          <w:spacing w:val="-2"/>
        </w:rPr>
        <w:t>根据与客户签订的出口销售协议的规定，完成相关产品生产，经检验合格后向海关报关出口，取得报关单，并取得提单（运</w:t>
      </w:r>
    </w:p>
    <w:p>
      <w:pPr>
        <w:pStyle w:val="BodyText"/>
        <w:spacing w:line="319" w:lineRule="auto" w:before="2"/>
        <w:ind w:left="1134" w:right="1118"/>
        <w:jc w:val="left"/>
      </w:pPr>
      <w:r>
        <w:rPr>
          <w:spacing w:val="-2"/>
        </w:rPr>
        <w:t>单）；产品出口收入货款金额已确定，款项已收讫或预计可以收回，并开具出口销售发票；出口产品的单位成本能够合理计</w:t>
      </w:r>
      <w:r>
        <w:rPr>
          <w:spacing w:val="-72"/>
        </w:rPr>
        <w:t> </w:t>
      </w:r>
      <w:r>
        <w:rPr>
          <w:spacing w:val="-72"/>
        </w:rPr>
      </w:r>
      <w:r>
        <w:rPr/>
        <w:t>算。</w:t>
      </w:r>
    </w:p>
    <w:p>
      <w:pPr>
        <w:pStyle w:val="BodyText"/>
        <w:spacing w:line="240" w:lineRule="auto" w:before="58"/>
        <w:ind w:left="1134" w:right="0"/>
        <w:jc w:val="left"/>
      </w:pPr>
      <w:r>
        <w:rPr/>
        <w:t>（</w:t>
      </w:r>
      <w:r>
        <w:rPr>
          <w:rFonts w:ascii="Times New Roman" w:hAnsi="Times New Roman" w:cs="Times New Roman" w:eastAsia="Times New Roman" w:hint="default"/>
        </w:rPr>
        <w:t>3</w:t>
      </w:r>
      <w:r>
        <w:rPr/>
        <w:t>）本公司子公司威富通收入确认的具体判断标准</w:t>
      </w:r>
    </w:p>
    <w:p>
      <w:pPr>
        <w:pStyle w:val="BodyText"/>
        <w:spacing w:line="328" w:lineRule="auto" w:before="102"/>
        <w:ind w:left="1134" w:right="0"/>
        <w:jc w:val="left"/>
      </w:pPr>
      <w:r>
        <w:rPr>
          <w:rFonts w:ascii="Times New Roman" w:hAnsi="Times New Roman" w:cs="Times New Roman" w:eastAsia="Times New Roman" w:hint="default"/>
        </w:rPr>
        <w:t>1</w:t>
      </w:r>
      <w:r>
        <w:rPr/>
        <w:t>）软件技术开发服务 </w:t>
      </w:r>
      <w:r>
        <w:rPr>
          <w:spacing w:val="-2"/>
        </w:rPr>
        <w:t>公司通过自身的技术研发能力，为其他有需求的公司进行软件开发并收取相应的服务费用，按照合同约定、在项目实施完成</w:t>
      </w:r>
      <w:r>
        <w:rPr>
          <w:spacing w:val="-66"/>
        </w:rPr>
        <w:t> </w:t>
      </w:r>
      <w:r>
        <w:rPr>
          <w:spacing w:val="-66"/>
        </w:rPr>
      </w:r>
      <w:r>
        <w:rPr/>
        <w:t>并经客户验收合格后确认营业收入。</w:t>
      </w:r>
    </w:p>
    <w:p>
      <w:pPr>
        <w:pStyle w:val="BodyText"/>
        <w:spacing w:line="328" w:lineRule="auto" w:before="50"/>
        <w:ind w:left="1134" w:right="0"/>
        <w:jc w:val="left"/>
      </w:pPr>
      <w:r>
        <w:rPr>
          <w:rFonts w:ascii="Times New Roman" w:hAnsi="Times New Roman" w:cs="Times New Roman" w:eastAsia="Times New Roman" w:hint="default"/>
        </w:rPr>
        <w:t>2</w:t>
      </w:r>
      <w:r>
        <w:rPr/>
        <w:t>）移动支付分润业务 </w:t>
      </w:r>
      <w:r>
        <w:rPr>
          <w:spacing w:val="-2"/>
        </w:rPr>
        <w:t>公司为第三方移动支付公司、银行、终端商户等提供技术支持、账单结算等服务并收取相应的服务费用，按照终端商户实际</w:t>
      </w:r>
      <w:r>
        <w:rPr>
          <w:spacing w:val="-66"/>
        </w:rPr>
        <w:t> </w:t>
      </w:r>
      <w:r>
        <w:rPr>
          <w:spacing w:val="-66"/>
        </w:rPr>
      </w:r>
      <w:r>
        <w:rPr/>
        <w:t>发生的交易资金及签约费用率于交易实现的当天确认营业收入。</w:t>
      </w:r>
    </w:p>
    <w:p>
      <w:pPr>
        <w:pStyle w:val="BodyText"/>
        <w:spacing w:line="240" w:lineRule="auto" w:before="49"/>
        <w:ind w:left="1134" w:right="0"/>
        <w:jc w:val="left"/>
      </w:pPr>
      <w:r>
        <w:rPr>
          <w:rFonts w:ascii="Times New Roman" w:hAnsi="Times New Roman" w:cs="Times New Roman" w:eastAsia="Times New Roman" w:hint="default"/>
        </w:rPr>
        <w:t>3</w:t>
      </w:r>
      <w:r>
        <w:rPr/>
        <w:t>）流量充值业务</w:t>
      </w:r>
    </w:p>
    <w:p>
      <w:pPr>
        <w:pStyle w:val="BodyText"/>
        <w:spacing w:line="328" w:lineRule="auto" w:before="103"/>
        <w:ind w:left="1134" w:right="0"/>
        <w:jc w:val="left"/>
      </w:pPr>
      <w:r>
        <w:rPr>
          <w:rFonts w:ascii="Times New Roman" w:hAnsi="Times New Roman" w:cs="Times New Roman" w:eastAsia="Times New Roman" w:hint="default"/>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手机流量充值服务</w:t>
      </w:r>
      <w:r>
        <w:rPr>
          <w:w w:val="99"/>
        </w:rPr>
        <w:t> </w:t>
      </w:r>
      <w:r>
        <w:rPr>
          <w:spacing w:val="-2"/>
          <w:w w:val="99"/>
        </w:rPr>
        <w:t>公司作为货源供应商在腾讯充值平台为用户提供手机流量充值，按照终端消费者实际发生的充值量于交易实现的当天以与腾</w:t>
      </w:r>
      <w:r>
        <w:rPr>
          <w:spacing w:val="-64"/>
          <w:w w:val="99"/>
        </w:rPr>
        <w:t> </w:t>
      </w:r>
      <w:r>
        <w:rPr>
          <w:spacing w:val="-64"/>
          <w:w w:val="99"/>
        </w:rPr>
      </w:r>
      <w:r>
        <w:rPr/>
        <w:t>讯结算价确认流量充值收入。</w:t>
      </w:r>
    </w:p>
    <w:p>
      <w:pPr>
        <w:pStyle w:val="BodyText"/>
        <w:spacing w:line="328" w:lineRule="auto" w:before="49"/>
        <w:ind w:left="1134" w:right="0"/>
        <w:jc w:val="left"/>
      </w:pPr>
      <w:r>
        <w:rPr>
          <w:rFonts w:ascii="Times New Roman" w:hAnsi="Times New Roman" w:cs="Times New Roman" w:eastAsia="Times New Roman" w:hint="default"/>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充值平台技术服务</w:t>
      </w:r>
      <w:r>
        <w:rPr>
          <w:w w:val="99"/>
        </w:rPr>
        <w:t> </w:t>
      </w:r>
      <w:r>
        <w:rPr>
          <w:spacing w:val="-2"/>
          <w:w w:val="99"/>
        </w:rPr>
        <w:t>公司为手机流量充值供应商提供充值平台技术服务，按照终端消费者实际发生的充值量于交易实现的当天以与手机流量充值</w:t>
      </w:r>
      <w:r>
        <w:rPr>
          <w:spacing w:val="-64"/>
          <w:w w:val="99"/>
        </w:rPr>
        <w:t> </w:t>
      </w:r>
      <w:r>
        <w:rPr>
          <w:spacing w:val="-64"/>
          <w:w w:val="99"/>
        </w:rPr>
      </w:r>
      <w:r>
        <w:rPr/>
        <w:t>供应商签约服务费金额确认服务收入。</w:t>
      </w:r>
    </w:p>
    <w:p>
      <w:pPr>
        <w:pStyle w:val="BodyText"/>
        <w:spacing w:line="240" w:lineRule="auto" w:before="49"/>
        <w:ind w:left="1134" w:right="0"/>
        <w:jc w:val="left"/>
      </w:pPr>
      <w:r>
        <w:rPr>
          <w:rFonts w:ascii="Times New Roman" w:hAnsi="Times New Roman" w:cs="Times New Roman" w:eastAsia="Times New Roman" w:hint="default"/>
        </w:rPr>
        <w:t>4</w:t>
      </w:r>
      <w:r>
        <w:rPr/>
        <w:t>）终端设备销售业务</w:t>
      </w:r>
    </w:p>
    <w:p>
      <w:pPr>
        <w:pStyle w:val="BodyText"/>
        <w:spacing w:line="326" w:lineRule="auto" w:before="102"/>
        <w:ind w:right="0"/>
        <w:jc w:val="left"/>
      </w:pPr>
      <w:r>
        <w:rPr/>
        <w:t>终端设备（</w:t>
      </w:r>
      <w:r>
        <w:rPr>
          <w:rFonts w:ascii="Times New Roman" w:hAnsi="Times New Roman" w:cs="Times New Roman" w:eastAsia="Times New Roman" w:hint="default"/>
        </w:rPr>
        <w:t>POS</w:t>
      </w:r>
      <w:r>
        <w:rPr>
          <w:rFonts w:ascii="Times New Roman" w:hAnsi="Times New Roman" w:cs="Times New Roman" w:eastAsia="Times New Roman" w:hint="default"/>
          <w:spacing w:val="-1"/>
        </w:rPr>
        <w:t> </w:t>
      </w:r>
      <w:r>
        <w:rPr/>
        <w:t>机、扫码枪等）销售业务，在同时具备下列条件后确认营业收入： </w:t>
      </w:r>
      <w:r>
        <w:rPr>
          <w:spacing w:val="-2"/>
        </w:rPr>
        <w:t>根据与客户签订的销售协议的规定，将终端设备交与客户，公司不再保留与所有权相联系的继续管理权，也不再对售出的商</w:t>
      </w:r>
      <w:r>
        <w:rPr>
          <w:spacing w:val="-66"/>
        </w:rPr>
        <w:t> </w:t>
      </w:r>
      <w:r>
        <w:rPr>
          <w:spacing w:val="-66"/>
        </w:rPr>
      </w:r>
      <w:r>
        <w:rPr>
          <w:spacing w:val="-2"/>
        </w:rPr>
        <w:t>品实施有效控制；产品销售收入货款金额已确定；款项已收讫或预计可以收回，相关经济利益很可能流入；销售产品的单位</w:t>
      </w:r>
      <w:r>
        <w:rPr>
          <w:spacing w:val="-66"/>
        </w:rPr>
        <w:t> </w:t>
      </w:r>
      <w:r>
        <w:rPr>
          <w:spacing w:val="-66"/>
        </w:rPr>
      </w:r>
      <w:r>
        <w:rPr/>
        <w:t>成本能够合理计算。</w:t>
      </w:r>
    </w:p>
    <w:p>
      <w:pPr>
        <w:pStyle w:val="BodyText"/>
        <w:spacing w:line="240" w:lineRule="auto" w:before="51"/>
        <w:ind w:right="0"/>
        <w:jc w:val="left"/>
      </w:pPr>
      <w:r>
        <w:rPr>
          <w:rFonts w:ascii="Times New Roman" w:hAnsi="Times New Roman" w:cs="Times New Roman" w:eastAsia="Times New Roman" w:hint="default"/>
        </w:rPr>
        <w:t>2</w:t>
      </w:r>
      <w:r>
        <w:rPr/>
        <w:t>、</w:t>
      </w:r>
      <w:r>
        <w:rPr>
          <w:spacing w:val="60"/>
        </w:rPr>
        <w:t> </w:t>
      </w:r>
      <w:r>
        <w:rPr/>
        <w:t>让渡资产使用权收入的确认和计量原则</w:t>
      </w:r>
    </w:p>
    <w:p>
      <w:pPr>
        <w:pStyle w:val="BodyText"/>
        <w:spacing w:line="340" w:lineRule="auto" w:before="102"/>
        <w:ind w:left="1134" w:right="1392"/>
        <w:jc w:val="left"/>
      </w:pPr>
      <w:r>
        <w:rPr/>
        <w:t>（</w:t>
      </w:r>
      <w:r>
        <w:rPr>
          <w:rFonts w:ascii="Times New Roman" w:hAnsi="Times New Roman" w:cs="Times New Roman" w:eastAsia="Times New Roman" w:hint="default"/>
        </w:rPr>
        <w:t>1</w:t>
      </w:r>
      <w:r>
        <w:rPr/>
        <w:t>）让渡资产使用权收入确认和计量的总体原则 与交易相关的经济利益很可能流入企业，收入的金额能够可靠地计量时。分别下列情况确定让渡资产使用权收入金额：</w:t>
      </w:r>
    </w:p>
    <w:p>
      <w:pPr>
        <w:pStyle w:val="BodyText"/>
        <w:spacing w:line="240" w:lineRule="auto" w:before="40"/>
        <w:ind w:right="0"/>
        <w:jc w:val="left"/>
      </w:pPr>
      <w:r>
        <w:rPr/>
        <w:t>①利息收入金额，按照他人使用本企业货币资金的时间和实际利率计算确定。</w:t>
      </w:r>
    </w:p>
    <w:p>
      <w:pPr>
        <w:spacing w:after="0" w:line="240" w:lineRule="auto"/>
        <w:jc w:val="left"/>
        <w:sectPr>
          <w:footerReference w:type="default" r:id="rId15"/>
          <w:pgSz w:w="11910" w:h="16840"/>
          <w:pgMar w:footer="979" w:header="747"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②使用费收入金额，按照有关合同或协议约定的收费时间和方法计算确定。</w:t>
      </w:r>
    </w:p>
    <w:p>
      <w:pPr>
        <w:pStyle w:val="BodyText"/>
        <w:spacing w:line="340" w:lineRule="auto" w:before="116"/>
        <w:ind w:left="1134" w:right="7242"/>
        <w:jc w:val="left"/>
      </w:pPr>
      <w:r>
        <w:rPr/>
        <w:t>（</w:t>
      </w:r>
      <w:r>
        <w:rPr>
          <w:rFonts w:ascii="Times New Roman" w:hAnsi="Times New Roman" w:cs="Times New Roman" w:eastAsia="Times New Roman" w:hint="default"/>
        </w:rPr>
        <w:t>2</w:t>
      </w:r>
      <w:r>
        <w:rPr/>
        <w:t>）本公司确认让渡资产使用权收入的依据 本公司本期无让渡资产使用权收入。</w:t>
      </w:r>
    </w:p>
    <w:p>
      <w:pPr>
        <w:spacing w:line="240" w:lineRule="auto" w:before="13"/>
        <w:rPr>
          <w:rFonts w:ascii="宋体" w:hAnsi="宋体" w:cs="宋体" w:eastAsia="宋体" w:hint="default"/>
          <w:sz w:val="20"/>
          <w:szCs w:val="20"/>
        </w:rPr>
      </w:pPr>
    </w:p>
    <w:p>
      <w:pPr>
        <w:pStyle w:val="Heading3"/>
        <w:spacing w:line="240" w:lineRule="auto"/>
        <w:ind w:left="1134" w:right="0"/>
        <w:jc w:val="left"/>
        <w:rPr>
          <w:b w:val="0"/>
          <w:bCs w:val="0"/>
        </w:rPr>
      </w:pPr>
      <w:bookmarkStart w:name="21、政府补助" w:id="187"/>
      <w:bookmarkEnd w:id="187"/>
      <w:r>
        <w:rPr>
          <w:b w:val="0"/>
          <w:bCs w:val="0"/>
        </w:rPr>
      </w:r>
      <w:r>
        <w:rPr>
          <w:rFonts w:ascii="Times New Roman" w:hAnsi="Times New Roman" w:cs="Times New Roman" w:eastAsia="Times New Roman" w:hint="default"/>
        </w:rPr>
        <w:t>21</w:t>
      </w:r>
      <w:r>
        <w:rPr/>
        <w:t>、政府补助</w:t>
      </w:r>
      <w:r>
        <w:rPr>
          <w:b w:val="0"/>
          <w:bCs w:val="0"/>
        </w:rPr>
      </w:r>
    </w:p>
    <w:p>
      <w:pPr>
        <w:spacing w:line="240" w:lineRule="auto" w:before="9"/>
        <w:rPr>
          <w:rFonts w:ascii="宋体" w:hAnsi="宋体" w:cs="宋体" w:eastAsia="宋体" w:hint="default"/>
          <w:b/>
          <w:bCs/>
          <w:sz w:val="26"/>
          <w:szCs w:val="26"/>
        </w:rPr>
      </w:pPr>
    </w:p>
    <w:p>
      <w:pPr>
        <w:pStyle w:val="BodyText"/>
        <w:spacing w:line="328" w:lineRule="auto"/>
        <w:ind w:left="1134" w:right="0"/>
        <w:jc w:val="left"/>
      </w:pPr>
      <w:r>
        <w:rPr/>
        <w:t>（</w:t>
      </w:r>
      <w:r>
        <w:rPr>
          <w:rFonts w:ascii="Times New Roman" w:hAnsi="Times New Roman" w:cs="Times New Roman" w:eastAsia="Times New Roman" w:hint="default"/>
        </w:rPr>
        <w:t>1</w:t>
      </w:r>
      <w:r>
        <w:rPr/>
        <w:t>）与资产相关的政府补助判断依据及会计处理方法 </w:t>
      </w:r>
      <w:r>
        <w:rPr>
          <w:spacing w:val="-2"/>
        </w:rPr>
        <w:t>与资产相关的政府补助，是指企业取得的、用于购建或以其他方式形成长期资产的政府补助，包括购买固定资产或无形资产</w:t>
      </w:r>
      <w:r>
        <w:rPr>
          <w:spacing w:val="-65"/>
        </w:rPr>
        <w:t> </w:t>
      </w:r>
      <w:r>
        <w:rPr>
          <w:spacing w:val="-65"/>
        </w:rPr>
      </w:r>
      <w:r>
        <w:rPr/>
        <w:t>的财政拨款、固定资产专门借款的财政贴息等。</w:t>
      </w:r>
    </w:p>
    <w:p>
      <w:pPr>
        <w:pStyle w:val="BodyText"/>
        <w:spacing w:line="360" w:lineRule="auto" w:before="49"/>
        <w:ind w:right="2293"/>
        <w:jc w:val="left"/>
      </w:pPr>
      <w:r>
        <w:rPr/>
        <w:t>本公司将政府补助划分为与资产相关的具体标准为： 本公司将所取得的用于购建或以其他方式形成长期资产的政府补助界定为与资产相关的政府补助； 对于政府文件未明确规定补助对象的，本公司将该政府补助划分为与资产相关或与收益相关的判断依据为：</w:t>
      </w:r>
    </w:p>
    <w:p>
      <w:pPr>
        <w:pStyle w:val="BodyText"/>
        <w:spacing w:line="302" w:lineRule="auto" w:before="25"/>
        <w:ind w:left="1134" w:right="1122"/>
        <w:jc w:val="left"/>
      </w:pPr>
      <w:r>
        <w:rPr/>
        <w:t>（</w:t>
      </w:r>
      <w:r>
        <w:rPr>
          <w:rFonts w:ascii="Times New Roman" w:hAnsi="Times New Roman" w:cs="Times New Roman" w:eastAsia="Times New Roman" w:hint="default"/>
        </w:rPr>
        <w:t>1</w:t>
      </w:r>
      <w:r>
        <w:rPr/>
        <w:t>）政府文件明确了补助所针对的特定项目的，根据该特定项目的预算中将形成资产的支出金额和计入费用的支出金额的 相对比例进行划分，对该划分比例需在每个资产负债表日进行复核，必要时进行变更；</w:t>
      </w:r>
    </w:p>
    <w:p>
      <w:pPr>
        <w:pStyle w:val="BodyText"/>
        <w:spacing w:line="333" w:lineRule="auto" w:before="70"/>
        <w:ind w:right="1033"/>
        <w:jc w:val="left"/>
      </w:pPr>
      <w:r>
        <w:rPr/>
        <w:t>（</w:t>
      </w:r>
      <w:r>
        <w:rPr>
          <w:rFonts w:ascii="Times New Roman" w:hAnsi="Times New Roman" w:cs="Times New Roman" w:eastAsia="Times New Roman" w:hint="default"/>
        </w:rPr>
        <w:t>2</w:t>
      </w:r>
      <w:r>
        <w:rPr/>
        <w:t>）政府文件中对用途仅作一般性表述，没有指明特定项目的，作为与收益相关的政府补助。 </w:t>
      </w:r>
      <w:r>
        <w:rPr>
          <w:spacing w:val="-2"/>
        </w:rPr>
        <w:t>与购建固定资产、无形资产等长期资产相关的政府补助，确认为递延收益，按照所建造或购买的资产使用年限分期计入营业</w:t>
      </w:r>
      <w:r>
        <w:rPr>
          <w:spacing w:val="-66"/>
        </w:rPr>
        <w:t> </w:t>
      </w:r>
      <w:r>
        <w:rPr>
          <w:spacing w:val="-66"/>
        </w:rPr>
      </w:r>
      <w:r>
        <w:rPr/>
        <w:t>外收入； 对期末有证据表明公司能够符合财政扶持政策规定的相关条件且预计能够收到财政扶持资金的，按应收金额确认政府补助。 除此之外，政府补助均在实际收到时确认。</w:t>
      </w:r>
    </w:p>
    <w:p>
      <w:pPr>
        <w:pStyle w:val="BodyText"/>
        <w:spacing w:line="352" w:lineRule="auto" w:before="47"/>
        <w:ind w:right="2293"/>
        <w:jc w:val="left"/>
      </w:pPr>
      <w:r>
        <w:rPr/>
        <w:t>（</w:t>
      </w:r>
      <w:r>
        <w:rPr>
          <w:rFonts w:ascii="Times New Roman" w:hAnsi="Times New Roman" w:cs="Times New Roman" w:eastAsia="Times New Roman" w:hint="default"/>
        </w:rPr>
        <w:t>2</w:t>
      </w:r>
      <w:r>
        <w:rPr/>
        <w:t>）与收益相关的政府补助判断依据及会计处理方法 与收益相关的政府补助，是指除与资产相关的政府补助之外的政府补助。 本公司将政府补助划分为与收益相关的具体标准为： 资产相关的政府补助之外的政府补助界定为与收益相关的政府补助； 对于政府文件未明确规定补助对象的，本公司将该政府补助划分为与资产相关或与收益相关的判断依据为：</w:t>
      </w:r>
    </w:p>
    <w:p>
      <w:pPr>
        <w:pStyle w:val="BodyText"/>
        <w:spacing w:line="302" w:lineRule="auto" w:before="30"/>
        <w:ind w:left="1134" w:right="1122"/>
        <w:jc w:val="left"/>
      </w:pPr>
      <w:r>
        <w:rPr/>
        <w:t>（</w:t>
      </w:r>
      <w:r>
        <w:rPr>
          <w:rFonts w:ascii="Times New Roman" w:hAnsi="Times New Roman" w:cs="Times New Roman" w:eastAsia="Times New Roman" w:hint="default"/>
        </w:rPr>
        <w:t>1</w:t>
      </w:r>
      <w:r>
        <w:rPr/>
        <w:t>）政府文件明确了补助所针对的特定项目的，根据该特定项目的预算中将形成资产的支出金额和计入费用的支出金额的 相对比例进行划分，对该划分比例需在每个资产负债表日进行复核，必要时进行变更；</w:t>
      </w:r>
    </w:p>
    <w:p>
      <w:pPr>
        <w:pStyle w:val="BodyText"/>
        <w:spacing w:line="333" w:lineRule="auto" w:before="70"/>
        <w:ind w:right="1033"/>
        <w:jc w:val="left"/>
      </w:pPr>
      <w:r>
        <w:rPr/>
        <w:t>（</w:t>
      </w:r>
      <w:r>
        <w:rPr>
          <w:rFonts w:ascii="Times New Roman" w:hAnsi="Times New Roman" w:cs="Times New Roman" w:eastAsia="Times New Roman" w:hint="default"/>
        </w:rPr>
        <w:t>2</w:t>
      </w:r>
      <w:r>
        <w:rPr/>
        <w:t>）政府文件中对用途仅作一般性表述，没有指明特定项目的，作为与收益相关的政府补助。 </w:t>
      </w:r>
      <w:r>
        <w:rPr>
          <w:spacing w:val="-2"/>
        </w:rPr>
        <w:t>与收益相关的政府补助，用于补偿企业以后期间的相关费用或损失的，取得时确认为递延收益，在确认相关费用的期间计入</w:t>
      </w:r>
      <w:r>
        <w:rPr>
          <w:spacing w:val="-66"/>
        </w:rPr>
        <w:t> </w:t>
      </w:r>
      <w:r>
        <w:rPr>
          <w:spacing w:val="-66"/>
        </w:rPr>
      </w:r>
      <w:r>
        <w:rPr/>
        <w:t>当期营业外收入；用于补偿企业已发生的相关费用或损失的，取得时直接计入当期营业外收入。 对期末有证据表明公司能够符合财政扶持政策规定的相关条件且预计能够收到财政扶持资金的，按应收金额确认政府补助。 除此之外，政府补助均在实际收到时确认。</w:t>
      </w:r>
    </w:p>
    <w:p>
      <w:pPr>
        <w:spacing w:line="240" w:lineRule="auto" w:before="6"/>
        <w:rPr>
          <w:rFonts w:ascii="宋体" w:hAnsi="宋体" w:cs="宋体" w:eastAsia="宋体" w:hint="default"/>
          <w:sz w:val="21"/>
          <w:szCs w:val="21"/>
        </w:rPr>
      </w:pPr>
    </w:p>
    <w:p>
      <w:pPr>
        <w:pStyle w:val="Heading3"/>
        <w:spacing w:line="240" w:lineRule="auto"/>
        <w:ind w:right="0"/>
        <w:jc w:val="left"/>
        <w:rPr>
          <w:b w:val="0"/>
          <w:bCs w:val="0"/>
        </w:rPr>
      </w:pPr>
      <w:bookmarkStart w:name="22、递延所得税资产/递延所得税负债" w:id="188"/>
      <w:bookmarkEnd w:id="188"/>
      <w:r>
        <w:rPr>
          <w:b w:val="0"/>
          <w:bCs w:val="0"/>
        </w:rPr>
      </w:r>
      <w:r>
        <w:rPr>
          <w:rFonts w:ascii="Times New Roman" w:hAnsi="Times New Roman" w:cs="Times New Roman" w:eastAsia="Times New Roman" w:hint="default"/>
        </w:rPr>
        <w:t>22</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2"/>
        <w:jc w:val="both"/>
      </w:pPr>
      <w:r>
        <w:rPr>
          <w:spacing w:val="-2"/>
        </w:rPr>
        <w:t>对于可抵扣暂时性差异确认递延所得税资产，以未来期间很可能取得的用来抵扣可抵扣暂时性差异的应纳税所得额为限。对</w:t>
      </w:r>
      <w:r>
        <w:rPr>
          <w:spacing w:val="-64"/>
        </w:rPr>
        <w:t> </w:t>
      </w:r>
      <w:r>
        <w:rPr>
          <w:spacing w:val="-64"/>
        </w:rPr>
      </w:r>
      <w:r>
        <w:rPr>
          <w:spacing w:val="-2"/>
        </w:rPr>
        <w:t>于能够结转以后年度的可抵扣亏损和税款抵减，以很可能获得用来抵扣可抵扣亏损和税款抵减的未来应纳税所得额为限，确</w:t>
      </w:r>
      <w:r>
        <w:rPr>
          <w:spacing w:val="-64"/>
        </w:rPr>
        <w:t> </w:t>
      </w:r>
      <w:r>
        <w:rPr>
          <w:spacing w:val="-64"/>
        </w:rPr>
      </w:r>
      <w:r>
        <w:rPr/>
        <w:t>认相应的递延所得税资产。</w:t>
      </w:r>
    </w:p>
    <w:p>
      <w:pPr>
        <w:pStyle w:val="BodyText"/>
        <w:spacing w:line="357" w:lineRule="auto" w:before="58"/>
        <w:ind w:right="0"/>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不确认递延所得税资产或递延所得税负债的特殊情况包括：商誉的初始确认；除企业合并以外的发生时既不影响会计利润也</w:t>
      </w:r>
    </w:p>
    <w:p>
      <w:pPr>
        <w:pStyle w:val="BodyText"/>
        <w:spacing w:line="338" w:lineRule="auto"/>
        <w:ind w:right="0"/>
        <w:jc w:val="left"/>
      </w:pPr>
      <w:r>
        <w:rPr/>
        <w:t>不影响应纳税所得额（或可抵扣亏损）的其他交易或事项。 </w:t>
      </w:r>
      <w:r>
        <w:rPr>
          <w:spacing w:val="-2"/>
        </w:rPr>
        <w:t>当拥有以净额结算的法定权利，且意图以净额结算或取得资产、清偿负债同时进行时，当期所得税资产及当期所得税负债以</w:t>
      </w:r>
      <w:r>
        <w:rPr>
          <w:spacing w:val="-66"/>
        </w:rPr>
        <w:t> </w:t>
      </w:r>
      <w:r>
        <w:rPr>
          <w:spacing w:val="-66"/>
        </w:rPr>
      </w:r>
      <w:r>
        <w:rPr/>
        <w:t>抵销后的净额列报。</w:t>
      </w:r>
    </w:p>
    <w:p>
      <w:pPr>
        <w:spacing w:after="0" w:line="338" w:lineRule="auto"/>
        <w:jc w:val="left"/>
        <w:sectPr>
          <w:footerReference w:type="default" r:id="rId16"/>
          <w:pgSz w:w="11910" w:h="16840"/>
          <w:pgMar w:footer="979" w:header="747" w:top="1060" w:bottom="1160" w:left="0" w:right="0"/>
          <w:pgNumType w:start="101"/>
        </w:sectPr>
      </w:pPr>
    </w:p>
    <w:p>
      <w:pPr>
        <w:spacing w:line="240" w:lineRule="auto" w:before="12"/>
        <w:rPr>
          <w:rFonts w:ascii="宋体" w:hAnsi="宋体" w:cs="宋体" w:eastAsia="宋体" w:hint="default"/>
          <w:sz w:val="25"/>
          <w:szCs w:val="25"/>
        </w:rPr>
      </w:pPr>
    </w:p>
    <w:p>
      <w:pPr>
        <w:pStyle w:val="BodyText"/>
        <w:spacing w:line="319" w:lineRule="auto" w:before="44"/>
        <w:ind w:right="1131"/>
        <w:jc w:val="both"/>
      </w:pP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的期间内，涉及的纳税主体意图以净额结算当期所得税资产和负债或是同时取得资产、清偿负债时，递延所得税资产及递延</w:t>
      </w:r>
      <w:r>
        <w:rPr>
          <w:spacing w:val="-66"/>
        </w:rPr>
        <w:t> </w:t>
      </w:r>
      <w:r>
        <w:rPr>
          <w:spacing w:val="-66"/>
        </w:rPr>
      </w:r>
      <w:r>
        <w:rPr/>
        <w:t>所得税负债以抵销后的净额列报。</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bookmarkStart w:name="23、租赁" w:id="189"/>
      <w:bookmarkEnd w:id="189"/>
      <w:r>
        <w:rPr>
          <w:b w:val="0"/>
          <w:bCs w:val="0"/>
        </w:rPr>
      </w:r>
      <w:r>
        <w:rPr>
          <w:rFonts w:ascii="Times New Roman" w:hAnsi="Times New Roman" w:cs="Times New Roman" w:eastAsia="Times New Roman" w:hint="default"/>
        </w:rPr>
        <w:t>23</w:t>
      </w:r>
      <w:r>
        <w:rPr/>
        <w:t>、租赁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both"/>
      </w:pPr>
      <w:r>
        <w:rPr/>
        <w:t>（</w:t>
      </w:r>
      <w:r>
        <w:rPr>
          <w:rFonts w:ascii="Times New Roman" w:hAnsi="Times New Roman" w:cs="Times New Roman" w:eastAsia="Times New Roman" w:hint="default"/>
        </w:rPr>
        <w:t>1</w:t>
      </w:r>
      <w:r>
        <w:rPr/>
        <w:t>）经营租赁的会计处理方法</w:t>
      </w:r>
    </w:p>
    <w:p>
      <w:pPr>
        <w:pStyle w:val="BodyText"/>
        <w:spacing w:line="302" w:lineRule="auto" w:before="101"/>
        <w:ind w:left="1134" w:right="1132"/>
        <w:jc w:val="both"/>
      </w:pPr>
      <w:r>
        <w:rPr/>
        <w:t>（</w:t>
      </w:r>
      <w:r>
        <w:rPr>
          <w:rFonts w:ascii="Times New Roman" w:hAnsi="Times New Roman" w:cs="Times New Roman" w:eastAsia="Times New Roman" w:hint="default"/>
        </w:rPr>
        <w:t>1</w:t>
      </w:r>
      <w:r>
        <w:rPr/>
        <w:t>）公司租入资产所支付的租赁费，在不扣除免租期的整个租赁期内，按直线法进行分摊，计入当期费用。公司支付的与 租赁交易相关的初始直接费用，计入当期费用。</w:t>
      </w:r>
    </w:p>
    <w:p>
      <w:pPr>
        <w:pStyle w:val="BodyText"/>
        <w:spacing w:line="319" w:lineRule="auto" w:before="69"/>
        <w:ind w:left="1134" w:right="1132"/>
        <w:jc w:val="both"/>
      </w:pPr>
      <w:r>
        <w:rPr>
          <w:spacing w:val="-2"/>
        </w:rPr>
        <w:t>资产出租方承担了应由公司承担的与租赁相关的费用时，公司将该部分费用从租金总额中扣除，按扣除后的租金费用在租赁</w:t>
      </w:r>
      <w:r>
        <w:rPr>
          <w:spacing w:val="-64"/>
        </w:rPr>
        <w:t> </w:t>
      </w:r>
      <w:r>
        <w:rPr>
          <w:spacing w:val="-64"/>
        </w:rPr>
      </w:r>
      <w:r>
        <w:rPr/>
        <w:t>期内分摊，计入当期费用。</w:t>
      </w:r>
    </w:p>
    <w:p>
      <w:pPr>
        <w:pStyle w:val="BodyText"/>
        <w:spacing w:line="309" w:lineRule="auto" w:before="55"/>
        <w:ind w:left="1134" w:right="1131"/>
        <w:jc w:val="both"/>
      </w:pPr>
      <w:r>
        <w:rPr/>
        <w:t>（</w:t>
      </w:r>
      <w:r>
        <w:rPr>
          <w:rFonts w:ascii="Times New Roman" w:hAnsi="Times New Roman" w:cs="Times New Roman" w:eastAsia="Times New Roman" w:hint="default"/>
        </w:rPr>
        <w:t>2</w:t>
      </w:r>
      <w:r>
        <w:rPr/>
        <w:t>）公司出租资产所收取的租赁费，在不扣除免租期的整个租赁期内，按直线法进行分摊，确认为租赁相关收入。公司支 </w:t>
      </w:r>
      <w:r>
        <w:rPr>
          <w:spacing w:val="-2"/>
        </w:rPr>
        <w:t>付的与租赁交易相关的初始直接费用，计入当期费用；如金额较大的，则予以资本化，在整个租赁期间内按照与租赁相关收</w:t>
      </w:r>
      <w:r>
        <w:rPr>
          <w:spacing w:val="-66"/>
        </w:rPr>
        <w:t> </w:t>
      </w:r>
      <w:r>
        <w:rPr>
          <w:spacing w:val="-66"/>
        </w:rPr>
      </w:r>
      <w:r>
        <w:rPr/>
        <w:t>入确认相同的基础分期计入当期收益。</w:t>
      </w:r>
    </w:p>
    <w:p>
      <w:pPr>
        <w:pStyle w:val="BodyText"/>
        <w:spacing w:line="319" w:lineRule="auto" w:before="62"/>
        <w:ind w:left="1134" w:right="1132"/>
        <w:jc w:val="both"/>
      </w:pPr>
      <w:r>
        <w:rPr>
          <w:spacing w:val="-2"/>
        </w:rPr>
        <w:t>公司承担了应由承租方承担的与租赁相关的费用时，公司将该部分费用从租金收入总额中扣除，按扣除后的租金费用在租赁</w:t>
      </w:r>
      <w:r>
        <w:rPr>
          <w:spacing w:val="-64"/>
        </w:rPr>
        <w:t> </w:t>
      </w:r>
      <w:r>
        <w:rPr>
          <w:spacing w:val="-64"/>
        </w:rPr>
      </w:r>
      <w:r>
        <w:rPr/>
        <w:t>期内分配。</w:t>
      </w:r>
    </w:p>
    <w:p>
      <w:pPr>
        <w:spacing w:line="240" w:lineRule="auto" w:before="4"/>
        <w:rPr>
          <w:rFonts w:ascii="宋体" w:hAnsi="宋体" w:cs="宋体" w:eastAsia="宋体" w:hint="default"/>
          <w:sz w:val="22"/>
          <w:szCs w:val="22"/>
        </w:rPr>
      </w:pPr>
    </w:p>
    <w:p>
      <w:pPr>
        <w:pStyle w:val="Heading3"/>
        <w:spacing w:line="240" w:lineRule="auto"/>
        <w:ind w:left="1134" w:right="0"/>
        <w:jc w:val="both"/>
        <w:rPr>
          <w:b w:val="0"/>
          <w:bCs w:val="0"/>
        </w:rPr>
      </w:pPr>
      <w:bookmarkStart w:name="24、重要会计政策和会计估计变更" w:id="190"/>
      <w:bookmarkEnd w:id="190"/>
      <w:r>
        <w:rPr>
          <w:b w:val="0"/>
          <w:bCs w:val="0"/>
        </w:rPr>
      </w:r>
      <w:r>
        <w:rPr>
          <w:rFonts w:ascii="Times New Roman" w:hAnsi="Times New Roman" w:cs="Times New Roman" w:eastAsia="Times New Roman" w:hint="default"/>
        </w:rPr>
        <w:t>24</w:t>
      </w:r>
      <w:r>
        <w:rPr/>
        <w:t>、重要会计政策和会计估计变更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w:t>
      </w:r>
      <w:r>
        <w:rPr>
          <w:rFonts w:ascii="Times New Roman" w:hAnsi="Times New Roman" w:cs="Times New Roman" w:eastAsia="Times New Roman" w:hint="default"/>
        </w:rPr>
        <w:t>1</w:t>
      </w:r>
      <w:r>
        <w:rPr/>
        <w:t>）重要会计政策变更</w:t>
      </w:r>
    </w:p>
    <w:p>
      <w:pPr>
        <w:pStyle w:val="BodyText"/>
        <w:spacing w:line="240" w:lineRule="auto" w:before="103"/>
        <w:ind w:left="113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执行企业会计准则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财政部法律法规</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2" w:lineRule="auto" w:before="51"/>
        <w:ind w:right="1122"/>
        <w:jc w:val="left"/>
      </w:pPr>
      <w:r>
        <w:rPr>
          <w:spacing w:val="-6"/>
        </w:rPr>
        <w:t>执行《企业会计准则第</w:t>
      </w:r>
      <w:r>
        <w:rPr>
          <w:spacing w:val="-43"/>
        </w:rPr>
        <w:t> </w:t>
      </w:r>
      <w:r>
        <w:rPr>
          <w:rFonts w:ascii="Times New Roman" w:hAnsi="Times New Roman" w:cs="Times New Roman" w:eastAsia="Times New Roman" w:hint="default"/>
        </w:rPr>
        <w:t>42</w:t>
      </w:r>
      <w:r>
        <w:rPr>
          <w:rFonts w:ascii="Times New Roman" w:hAnsi="Times New Roman" w:cs="Times New Roman" w:eastAsia="Times New Roman" w:hint="default"/>
          <w:spacing w:val="2"/>
        </w:rPr>
        <w:t> </w:t>
      </w:r>
      <w:r>
        <w:rPr>
          <w:spacing w:val="-9"/>
        </w:rPr>
        <w:t>号</w:t>
      </w:r>
      <w:r>
        <w:rPr>
          <w:rFonts w:ascii="Times New Roman" w:hAnsi="Times New Roman" w:cs="Times New Roman" w:eastAsia="Times New Roman" w:hint="default"/>
          <w:spacing w:val="-9"/>
        </w:rPr>
        <w:t>——</w:t>
      </w:r>
      <w:r>
        <w:rPr>
          <w:spacing w:val="-9"/>
        </w:rPr>
        <w:t>持有待售的非流动资产、处置组和终止经营》、《企业会计准则第</w:t>
      </w:r>
      <w:r>
        <w:rPr>
          <w:spacing w:val="-42"/>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spacing w:val="-10"/>
        </w:rPr>
        <w:t>号</w:t>
      </w:r>
      <w:r>
        <w:rPr>
          <w:rFonts w:ascii="Times New Roman" w:hAnsi="Times New Roman" w:cs="Times New Roman" w:eastAsia="Times New Roman" w:hint="default"/>
          <w:spacing w:val="-10"/>
        </w:rPr>
        <w:t>——</w:t>
      </w:r>
      <w:r>
        <w:rPr>
          <w:spacing w:val="-10"/>
        </w:rPr>
        <w:t>政府补助》和《财</w:t>
      </w:r>
      <w:r>
        <w:rPr/>
        <w:t> 政部关于修订印发一般企业财务报表格式的通知》</w:t>
      </w:r>
    </w:p>
    <w:p>
      <w:pPr>
        <w:pStyle w:val="BodyText"/>
        <w:spacing w:line="302" w:lineRule="auto" w:before="68"/>
        <w:ind w:left="1134" w:right="1129"/>
        <w:jc w:val="left"/>
      </w:pPr>
      <w:r>
        <w:rPr/>
        <w:t>财政部于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年度发布了《企业会计准则第</w:t>
      </w:r>
      <w:r>
        <w:rPr>
          <w:spacing w:val="-45"/>
        </w:rPr>
        <w:t> </w:t>
      </w:r>
      <w:r>
        <w:rPr>
          <w:rFonts w:ascii="Times New Roman" w:hAnsi="Times New Roman" w:cs="Times New Roman" w:eastAsia="Times New Roman" w:hint="default"/>
        </w:rPr>
        <w:t>42 </w:t>
      </w:r>
      <w:r>
        <w:rPr>
          <w:spacing w:val="-4"/>
        </w:rPr>
        <w:t>号</w:t>
      </w:r>
      <w:r>
        <w:rPr>
          <w:rFonts w:ascii="Times New Roman" w:hAnsi="Times New Roman" w:cs="Times New Roman" w:eastAsia="Times New Roman" w:hint="default"/>
          <w:spacing w:val="-4"/>
        </w:rPr>
        <w:t>——</w:t>
      </w:r>
      <w:r>
        <w:rPr>
          <w:spacing w:val="-4"/>
        </w:rPr>
        <w:t>持有待售的非流动资产、处置组和终止经营》，自</w:t>
      </w:r>
      <w:r>
        <w:rPr>
          <w:spacing w:val="-45"/>
        </w:rPr>
        <w:t> </w:t>
      </w:r>
      <w:r>
        <w:rPr>
          <w:rFonts w:ascii="Times New Roman" w:hAnsi="Times New Roman" w:cs="Times New Roman" w:eastAsia="Times New Roman" w:hint="default"/>
        </w:rPr>
        <w:t>2017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28 </w:t>
      </w:r>
      <w:r>
        <w:rPr/>
        <w:t>日 起施行，对于施行日存在的持有待售的非流动资产、处置组和终止经营，要求采用未来适用法处理。</w:t>
      </w:r>
    </w:p>
    <w:p>
      <w:pPr>
        <w:pStyle w:val="BodyText"/>
        <w:spacing w:line="240" w:lineRule="auto" w:before="68"/>
        <w:ind w:left="1134" w:right="0"/>
        <w:jc w:val="left"/>
        <w:rPr>
          <w:rFonts w:ascii="Times New Roman" w:hAnsi="Times New Roman" w:cs="Times New Roman" w:eastAsia="Times New Roman" w:hint="default"/>
        </w:rPr>
      </w:pPr>
      <w:r>
        <w:rPr/>
        <w:t>财政部于</w:t>
      </w:r>
      <w:r>
        <w:rPr>
          <w:spacing w:val="-46"/>
        </w:rPr>
        <w:t> </w:t>
      </w:r>
      <w:r>
        <w:rPr>
          <w:rFonts w:ascii="Times New Roman" w:hAnsi="Times New Roman" w:cs="Times New Roman" w:eastAsia="Times New Roman" w:hint="default"/>
        </w:rPr>
        <w:t>2017 </w:t>
      </w:r>
      <w:r>
        <w:rPr/>
        <w:t>年度修订了《企业会计准则第</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spacing w:val="1"/>
        </w:rPr>
        <w:t>政</w:t>
      </w:r>
      <w:r>
        <w:rPr/>
        <w:t>府补助</w:t>
      </w:r>
      <w:r>
        <w:rPr>
          <w:spacing w:val="-90"/>
        </w:rPr>
        <w:t>》</w:t>
      </w:r>
      <w:r>
        <w:rPr/>
        <w:t>，修订后的准则自</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1"/>
        </w:rPr>
        <w:t>日</w:t>
      </w:r>
      <w:r>
        <w:rPr/>
        <w:t>起施行，对于</w:t>
      </w:r>
      <w:r>
        <w:rPr>
          <w:spacing w:val="-46"/>
        </w:rPr>
        <w:t> </w:t>
      </w:r>
      <w:r>
        <w:rPr>
          <w:rFonts w:ascii="Times New Roman" w:hAnsi="Times New Roman" w:cs="Times New Roman" w:eastAsia="Times New Roman" w:hint="default"/>
        </w:rPr>
        <w:t>2017</w:t>
      </w:r>
    </w:p>
    <w:p>
      <w:pPr>
        <w:pStyle w:val="BodyText"/>
        <w:spacing w:line="302" w:lineRule="auto" w:before="63"/>
        <w:ind w:left="1134" w:right="1129"/>
        <w:jc w:val="left"/>
      </w:pP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日存在的政府补助，要求采用未来适用法处理；对于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日至施行日新增的政府补助，也要求按照修订 后的准则进行调整。</w:t>
      </w:r>
    </w:p>
    <w:p>
      <w:pPr>
        <w:pStyle w:val="BodyText"/>
        <w:spacing w:line="240" w:lineRule="auto" w:before="69"/>
        <w:ind w:left="1134" w:right="0"/>
        <w:jc w:val="left"/>
      </w:pPr>
      <w:r>
        <w:rPr/>
        <w:t>财政部于</w:t>
      </w:r>
      <w:r>
        <w:rPr>
          <w:spacing w:val="-46"/>
        </w:rPr>
        <w:t> </w:t>
      </w:r>
      <w:r>
        <w:rPr>
          <w:rFonts w:ascii="Times New Roman" w:hAnsi="Times New Roman" w:cs="Times New Roman" w:eastAsia="Times New Roman" w:hint="default"/>
        </w:rPr>
        <w:t>2017 </w:t>
      </w:r>
      <w:r>
        <w:rPr/>
        <w:t>年度发布</w:t>
      </w:r>
      <w:r>
        <w:rPr>
          <w:spacing w:val="-28"/>
        </w:rPr>
        <w:t>了</w:t>
      </w:r>
      <w:r>
        <w:rPr/>
        <w:t>《财政部关于修订印发一般企业财务报表格式的通知</w:t>
      </w:r>
      <w:r>
        <w:rPr>
          <w:spacing w:val="-90"/>
        </w:rPr>
        <w:t>》</w:t>
      </w:r>
      <w:r>
        <w:rPr>
          <w:spacing w:val="-28"/>
        </w:rPr>
        <w:t>，</w:t>
      </w:r>
      <w:r>
        <w:rPr/>
        <w:t>对一般企业财务报表格式进行了修订</w:t>
      </w:r>
      <w:r>
        <w:rPr>
          <w:spacing w:val="-28"/>
        </w:rPr>
        <w:t>，</w:t>
      </w:r>
      <w:r>
        <w:rPr/>
        <w:t>适</w:t>
      </w:r>
    </w:p>
    <w:p>
      <w:pPr>
        <w:pStyle w:val="BodyText"/>
        <w:spacing w:line="338" w:lineRule="auto" w:before="64"/>
        <w:ind w:left="1134" w:right="7332"/>
        <w:jc w:val="left"/>
      </w:pPr>
      <w:r>
        <w:rPr/>
        <w:t>用于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年度及以后期间的财务报表。 本公司执行上述三项规定的主要影响如下：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44"/>
        <w:ind w:left="0" w:right="2176"/>
        <w:jc w:val="right"/>
      </w:pPr>
      <w:r>
        <w:rPr/>
        <w:pict>
          <v:shape style="position:absolute;margin-left:56.34pt;margin-top:-60.448288pt;width:427.3pt;height:112.9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19"/>
                    <w:gridCol w:w="4305"/>
                  </w:tblGrid>
                  <w:tr>
                    <w:trPr>
                      <w:trHeight w:val="435" w:hRule="exact"/>
                    </w:trPr>
                    <w:tc>
                      <w:tcPr>
                        <w:tcW w:w="42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430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744" w:hRule="exact"/>
                    </w:trPr>
                    <w:tc>
                      <w:tcPr>
                        <w:tcW w:w="4219" w:type="dxa"/>
                        <w:tcBorders>
                          <w:top w:val="single" w:sz="12" w:space="0" w:color="000000"/>
                          <w:left w:val="single" w:sz="6" w:space="0" w:color="000000"/>
                          <w:bottom w:val="single" w:sz="12" w:space="0" w:color="000000"/>
                          <w:right w:val="single" w:sz="6" w:space="0" w:color="000000"/>
                        </w:tcBorders>
                      </w:tcPr>
                      <w:p>
                        <w:pPr>
                          <w:pStyle w:val="TableParagraph"/>
                          <w:spacing w:line="302" w:lineRule="auto" w:before="51"/>
                          <w:ind w:left="2" w:right="8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）在利润表中分别列示</w:t>
                        </w:r>
                        <w:r>
                          <w:rPr>
                            <w:rFonts w:ascii="Times New Roman" w:hAnsi="Times New Roman" w:cs="Times New Roman" w:eastAsia="Times New Roman" w:hint="default"/>
                            <w:sz w:val="18"/>
                            <w:szCs w:val="18"/>
                          </w:rPr>
                          <w:t>“</w:t>
                        </w:r>
                        <w:r>
                          <w:rPr>
                            <w:rFonts w:ascii="宋体" w:hAnsi="宋体" w:cs="宋体" w:eastAsia="宋体" w:hint="default"/>
                            <w:sz w:val="18"/>
                            <w:szCs w:val="18"/>
                          </w:rPr>
                          <w:t>持续经营净利润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终止 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。比较数据相应调整。</w:t>
                        </w:r>
                      </w:p>
                    </w:tc>
                    <w:tc>
                      <w:tcPr>
                        <w:tcW w:w="430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列示持续经营净利润本期发生额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255,805,092.47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期发生额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100,548,129.90 </w:t>
                        </w:r>
                        <w:r>
                          <w:rPr>
                            <w:rFonts w:ascii="宋体" w:hAnsi="宋体" w:cs="宋体" w:eastAsia="宋体" w:hint="default"/>
                            <w:sz w:val="18"/>
                            <w:szCs w:val="18"/>
                          </w:rPr>
                          <w:t>元。</w:t>
                        </w:r>
                      </w:p>
                    </w:tc>
                  </w:tr>
                  <w:tr>
                    <w:trPr>
                      <w:trHeight w:val="1056" w:hRule="exact"/>
                    </w:trPr>
                    <w:tc>
                      <w:tcPr>
                        <w:tcW w:w="4219" w:type="dxa"/>
                        <w:tcBorders>
                          <w:top w:val="single" w:sz="12" w:space="0" w:color="000000"/>
                          <w:left w:val="single" w:sz="6" w:space="0" w:color="000000"/>
                          <w:bottom w:val="single" w:sz="12" w:space="0" w:color="000000"/>
                          <w:right w:val="single" w:sz="6" w:space="0" w:color="000000"/>
                        </w:tcBorders>
                      </w:tcPr>
                      <w:p>
                        <w:pPr>
                          <w:pStyle w:val="TableParagraph"/>
                          <w:spacing w:line="302" w:lineRule="auto" w:before="51"/>
                          <w:ind w:left="2" w:right="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）与本公司日常活动相关的政府补助，计入其他收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益，不再计入营业外收入。比较数据不调整。</w:t>
                        </w:r>
                      </w:p>
                    </w:tc>
                    <w:tc>
                      <w:tcPr>
                        <w:tcW w:w="430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列示合并利润表其他收益本期发生额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22,686,851.60 </w:t>
                        </w:r>
                        <w:r>
                          <w:rPr>
                            <w:rFonts w:ascii="宋体" w:hAnsi="宋体" w:cs="宋体" w:eastAsia="宋体" w:hint="default"/>
                            <w:sz w:val="18"/>
                            <w:szCs w:val="18"/>
                          </w:rPr>
                          <w:t>元</w:t>
                        </w:r>
                      </w:p>
                      <w:p>
                        <w:pPr>
                          <w:pStyle w:val="TableParagraph"/>
                          <w:spacing w:line="240" w:lineRule="auto" w:before="63"/>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列示母公司利润表其他收益本期发生额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3,398,216.00</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before="44"/>
        <w:ind w:left="1134" w:right="0"/>
        <w:jc w:val="left"/>
      </w:pPr>
      <w:r>
        <w:rPr/>
        <w:t>本次会计政策变更，对公司财务报表无实质性影响。</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w:t>
      </w:r>
      <w:r>
        <w:rPr>
          <w:rFonts w:ascii="Times New Roman" w:hAnsi="Times New Roman" w:cs="Times New Roman" w:eastAsia="Times New Roman" w:hint="default"/>
        </w:rPr>
        <w:t>2</w:t>
      </w:r>
      <w:r>
        <w:rPr/>
        <w:t>）重要会计估计变更</w:t>
      </w:r>
    </w:p>
    <w:p>
      <w:pPr>
        <w:pStyle w:val="BodyText"/>
        <w:spacing w:line="240" w:lineRule="auto" w:before="102"/>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税项" w:id="191"/>
      <w:bookmarkEnd w:id="191"/>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192"/>
      <w:bookmarkEnd w:id="192"/>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税率</w:t>
            </w:r>
          </w:p>
        </w:tc>
      </w:tr>
      <w:tr>
        <w:trPr>
          <w:trHeight w:val="474"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162"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95"/>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计征</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715"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left="1134"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江苏超纤</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江苏化学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威富通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购购通、智易信息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智付通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跨境通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白龙移动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税收优惠" w:id="193"/>
      <w:bookmarkEnd w:id="193"/>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1130"/>
        <w:jc w:val="both"/>
      </w:pPr>
      <w:r>
        <w:rPr>
          <w:rFonts w:ascii="Times New Roman" w:hAnsi="Times New Roman" w:cs="Times New Roman" w:eastAsia="Times New Roman" w:hint="default"/>
          <w:spacing w:val="-5"/>
        </w:rPr>
        <w:t>1</w:t>
      </w:r>
      <w:r>
        <w:rPr>
          <w:spacing w:val="-5"/>
        </w:rPr>
        <w:t>、根据《高新技术企业认定管理办法》（国科发火</w:t>
      </w:r>
      <w:r>
        <w:rPr>
          <w:rFonts w:ascii="Times New Roman" w:hAnsi="Times New Roman" w:cs="Times New Roman" w:eastAsia="Times New Roman" w:hint="default"/>
          <w:spacing w:val="-5"/>
        </w:rPr>
        <w:t>[2008]172</w:t>
      </w:r>
      <w:r>
        <w:rPr>
          <w:rFonts w:ascii="Times New Roman" w:hAnsi="Times New Roman" w:cs="Times New Roman" w:eastAsia="Times New Roman" w:hint="default"/>
          <w:spacing w:val="29"/>
        </w:rPr>
        <w:t> </w:t>
      </w:r>
      <w:r>
        <w:rPr>
          <w:spacing w:val="-5"/>
        </w:rPr>
        <w:t>号）和《高新技术企业认定管理工作指引》（国科发火</w:t>
      </w:r>
      <w:r>
        <w:rPr>
          <w:rFonts w:ascii="Times New Roman" w:hAnsi="Times New Roman" w:cs="Times New Roman" w:eastAsia="Times New Roman" w:hint="default"/>
          <w:spacing w:val="-5"/>
        </w:rPr>
        <w:t>[2008]362</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spacing w:val="-2"/>
        </w:rPr>
        <w:t>号）有关规定，上海市科学技术委员会、上海市财政局、上海市国家税务局、上海市地方税务局联合颁发《高新技术企业证</w:t>
      </w:r>
      <w:r>
        <w:rPr>
          <w:spacing w:val="-68"/>
        </w:rPr>
        <w:t> </w:t>
      </w:r>
      <w:r>
        <w:rPr>
          <w:spacing w:val="-68"/>
        </w:rPr>
      </w:r>
      <w:r>
        <w:rPr>
          <w:spacing w:val="-5"/>
        </w:rPr>
        <w:t>书》（证书编号：</w:t>
      </w:r>
      <w:r>
        <w:rPr>
          <w:rFonts w:ascii="Times New Roman" w:hAnsi="Times New Roman" w:cs="Times New Roman" w:eastAsia="Times New Roman" w:hint="default"/>
          <w:spacing w:val="-5"/>
        </w:rPr>
        <w:t>GR201731000053</w:t>
      </w:r>
      <w:r>
        <w:rPr>
          <w:spacing w:val="-5"/>
        </w:rPr>
        <w:t>），认定本公司为高新技术企业，认定有效期为</w:t>
      </w:r>
      <w:r>
        <w:rPr>
          <w:spacing w:val="-3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年，本报告期企业所得税税</w:t>
      </w:r>
      <w:r>
        <w:rPr>
          <w:spacing w:val="-85"/>
        </w:rPr>
        <w:t> </w:t>
      </w:r>
      <w:r>
        <w:rPr/>
        <w:t>率按照</w:t>
      </w:r>
      <w:r>
        <w:rPr>
          <w:spacing w:val="-46"/>
        </w:rPr>
        <w:t> </w:t>
      </w:r>
      <w:r>
        <w:rPr>
          <w:rFonts w:ascii="Times New Roman" w:hAnsi="Times New Roman" w:cs="Times New Roman" w:eastAsia="Times New Roman" w:hint="default"/>
        </w:rPr>
        <w:t>15%</w:t>
      </w:r>
      <w:r>
        <w:rPr/>
        <w:t>执行。</w:t>
      </w:r>
    </w:p>
    <w:p>
      <w:pPr>
        <w:pStyle w:val="BodyText"/>
        <w:spacing w:line="302" w:lineRule="auto" w:before="45"/>
        <w:ind w:right="1029"/>
        <w:jc w:val="left"/>
      </w:pPr>
      <w:r>
        <w:rPr>
          <w:rFonts w:ascii="Times New Roman" w:hAnsi="Times New Roman" w:cs="Times New Roman" w:eastAsia="Times New Roman" w:hint="default"/>
          <w:spacing w:val="-5"/>
        </w:rPr>
        <w:t>2</w:t>
      </w:r>
      <w:r>
        <w:rPr>
          <w:spacing w:val="-5"/>
        </w:rPr>
        <w:t>、根据</w:t>
      </w:r>
      <w:r>
        <w:rPr>
          <w:rFonts w:ascii="Times New Roman" w:hAnsi="Times New Roman" w:cs="Times New Roman" w:eastAsia="Times New Roman" w:hint="default"/>
          <w:spacing w:val="-5"/>
        </w:rPr>
        <w:t>“</w:t>
      </w:r>
      <w:r>
        <w:rPr>
          <w:spacing w:val="-5"/>
        </w:rPr>
        <w:t>财税（</w:t>
      </w:r>
      <w:r>
        <w:rPr>
          <w:rFonts w:ascii="Times New Roman" w:hAnsi="Times New Roman" w:cs="Times New Roman" w:eastAsia="Times New Roman" w:hint="default"/>
          <w:spacing w:val="-5"/>
        </w:rPr>
        <w:t>2012</w:t>
      </w:r>
      <w:r>
        <w:rPr>
          <w:spacing w:val="-5"/>
        </w:rPr>
        <w:t>）</w:t>
      </w:r>
      <w:r>
        <w:rPr>
          <w:rFonts w:ascii="Times New Roman" w:hAnsi="Times New Roman" w:cs="Times New Roman" w:eastAsia="Times New Roman" w:hint="default"/>
          <w:spacing w:val="-5"/>
        </w:rPr>
        <w:t>27 </w:t>
      </w:r>
      <w:r>
        <w:rPr>
          <w:spacing w:val="-4"/>
        </w:rPr>
        <w:t>号</w:t>
      </w:r>
      <w:r>
        <w:rPr>
          <w:rFonts w:ascii="Times New Roman" w:hAnsi="Times New Roman" w:cs="Times New Roman" w:eastAsia="Times New Roman" w:hint="default"/>
          <w:spacing w:val="-4"/>
        </w:rPr>
        <w:t>”</w:t>
      </w:r>
      <w:r>
        <w:rPr>
          <w:spacing w:val="-4"/>
        </w:rPr>
        <w:t>和</w:t>
      </w:r>
      <w:r>
        <w:rPr>
          <w:rFonts w:ascii="Times New Roman" w:hAnsi="Times New Roman" w:cs="Times New Roman" w:eastAsia="Times New Roman" w:hint="default"/>
          <w:spacing w:val="-4"/>
        </w:rPr>
        <w:t>“</w:t>
      </w:r>
      <w:r>
        <w:rPr>
          <w:spacing w:val="-4"/>
        </w:rPr>
        <w:t>财税（</w:t>
      </w:r>
      <w:r>
        <w:rPr>
          <w:rFonts w:ascii="Times New Roman" w:hAnsi="Times New Roman" w:cs="Times New Roman" w:eastAsia="Times New Roman" w:hint="default"/>
          <w:spacing w:val="-4"/>
        </w:rPr>
        <w:t>2016</w:t>
      </w:r>
      <w:r>
        <w:rPr>
          <w:spacing w:val="-4"/>
        </w:rPr>
        <w:t>）</w:t>
      </w:r>
      <w:r>
        <w:rPr>
          <w:rFonts w:ascii="Times New Roman" w:hAnsi="Times New Roman" w:cs="Times New Roman" w:eastAsia="Times New Roman" w:hint="default"/>
          <w:spacing w:val="-4"/>
        </w:rPr>
        <w:t>49</w:t>
      </w:r>
      <w:r>
        <w:rPr>
          <w:rFonts w:ascii="Times New Roman" w:hAnsi="Times New Roman" w:cs="Times New Roman" w:eastAsia="Times New Roman" w:hint="default"/>
        </w:rPr>
        <w:t> </w:t>
      </w:r>
      <w:r>
        <w:rPr/>
        <w:t>号</w:t>
      </w:r>
      <w:r>
        <w:rPr>
          <w:rFonts w:ascii="Times New Roman" w:hAnsi="Times New Roman" w:cs="Times New Roman" w:eastAsia="Times New Roman" w:hint="default"/>
        </w:rPr>
        <w:t>”</w:t>
      </w:r>
      <w:r>
        <w:rPr/>
        <w:t>文件的相关规定，国家规划布局内的重点软件企业和集成电路设计企业， 如当年未享受免税优惠的，可减按</w:t>
      </w:r>
      <w:r>
        <w:rPr>
          <w:spacing w:val="-50"/>
        </w:rPr>
        <w:t> </w:t>
      </w:r>
      <w:r>
        <w:rPr>
          <w:rFonts w:ascii="Times New Roman" w:hAnsi="Times New Roman" w:cs="Times New Roman" w:eastAsia="Times New Roman" w:hint="default"/>
        </w:rPr>
        <w:t>10%</w:t>
      </w:r>
      <w:r>
        <w:rPr/>
        <w:t>的税率征收企业所得税。子公司威富通</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年度实际按照</w:t>
      </w:r>
      <w:r>
        <w:rPr>
          <w:spacing w:val="-50"/>
        </w:rPr>
        <w:t> </w:t>
      </w:r>
      <w:r>
        <w:rPr>
          <w:rFonts w:ascii="Times New Roman" w:hAnsi="Times New Roman" w:cs="Times New Roman" w:eastAsia="Times New Roman" w:hint="default"/>
        </w:rPr>
        <w:t>10%</w:t>
      </w:r>
      <w:r>
        <w:rPr/>
        <w:t>的税率计缴企业所得 税。</w:t>
      </w:r>
    </w:p>
    <w:p>
      <w:pPr>
        <w:pStyle w:val="BodyText"/>
        <w:spacing w:line="300" w:lineRule="auto" w:before="69"/>
        <w:ind w:right="1031"/>
        <w:jc w:val="left"/>
      </w:pPr>
      <w:r>
        <w:rPr>
          <w:rFonts w:ascii="Times New Roman" w:hAnsi="Times New Roman" w:cs="Times New Roman" w:eastAsia="Times New Roman" w:hint="default"/>
          <w:spacing w:val="-6"/>
        </w:rPr>
        <w:t>3</w:t>
      </w:r>
      <w:r>
        <w:rPr>
          <w:spacing w:val="-6"/>
        </w:rPr>
        <w:t>、根据《高新技术企业认定管理办法》（国科发火</w:t>
      </w:r>
      <w:r>
        <w:rPr>
          <w:rFonts w:ascii="Times New Roman" w:hAnsi="Times New Roman" w:cs="Times New Roman" w:eastAsia="Times New Roman" w:hint="default"/>
          <w:spacing w:val="-6"/>
        </w:rPr>
        <w:t>[2016]32</w:t>
      </w:r>
      <w:r>
        <w:rPr>
          <w:rFonts w:ascii="Times New Roman" w:hAnsi="Times New Roman" w:cs="Times New Roman" w:eastAsia="Times New Roman" w:hint="default"/>
        </w:rPr>
        <w:t> </w:t>
      </w:r>
      <w:r>
        <w:rPr>
          <w:spacing w:val="-10"/>
        </w:rPr>
        <w:t>号）、《高新技术企业认定管理工作指引》（国科发火</w:t>
      </w:r>
      <w:r>
        <w:rPr>
          <w:rFonts w:ascii="Times New Roman" w:hAnsi="Times New Roman" w:cs="Times New Roman" w:eastAsia="Times New Roman" w:hint="default"/>
          <w:spacing w:val="-10"/>
        </w:rPr>
        <w:t>[2016]195</w:t>
      </w:r>
      <w:r>
        <w:rPr>
          <w:rFonts w:ascii="Times New Roman" w:hAnsi="Times New Roman" w:cs="Times New Roman" w:eastAsia="Times New Roman" w:hint="default"/>
          <w:spacing w:val="8"/>
        </w:rPr>
        <w:t> </w:t>
      </w:r>
      <w:r>
        <w:rPr/>
        <w:t>号） 有关规定，</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日威富通取得由深圳市科技创新委员会、深圳市财政委员会、深圳市国家税务局和深圳市地方 税务局联合颁发的编号为</w:t>
      </w:r>
      <w:r>
        <w:rPr>
          <w:spacing w:val="-50"/>
        </w:rPr>
        <w:t> </w:t>
      </w:r>
      <w:r>
        <w:rPr>
          <w:rFonts w:ascii="Times New Roman" w:hAnsi="Times New Roman" w:cs="Times New Roman" w:eastAsia="Times New Roman" w:hint="default"/>
        </w:rPr>
        <w:t>GR201644201137</w:t>
      </w:r>
      <w:r>
        <w:rPr>
          <w:rFonts w:ascii="Times New Roman" w:hAnsi="Times New Roman" w:cs="Times New Roman" w:eastAsia="Times New Roman" w:hint="default"/>
          <w:spacing w:val="-5"/>
        </w:rPr>
        <w:t> </w:t>
      </w:r>
      <w:r>
        <w:rPr/>
        <w:t>的高新技术企业证书，认定威富通为高新技术企业，有效期为三年。</w:t>
      </w:r>
    </w:p>
    <w:p>
      <w:pPr>
        <w:spacing w:after="0" w:line="30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4</w:t>
      </w:r>
      <w:r>
        <w:rPr/>
        <w:t>、孙公司购购通、智易信息符合小型微利企业认定，其所得减按</w:t>
      </w:r>
      <w:r>
        <w:rPr>
          <w:spacing w:val="-46"/>
        </w:rPr>
        <w:t> </w:t>
      </w:r>
      <w:r>
        <w:rPr>
          <w:rFonts w:ascii="Times New Roman" w:hAnsi="Times New Roman" w:cs="Times New Roman" w:eastAsia="Times New Roman" w:hint="default"/>
        </w:rPr>
        <w:t>50%</w:t>
      </w:r>
      <w:r>
        <w:rPr/>
        <w:t>计入应纳税所得额，按</w:t>
      </w:r>
      <w:r>
        <w:rPr>
          <w:spacing w:val="-46"/>
        </w:rPr>
        <w:t> </w:t>
      </w:r>
      <w:r>
        <w:rPr>
          <w:rFonts w:ascii="Times New Roman" w:hAnsi="Times New Roman" w:cs="Times New Roman" w:eastAsia="Times New Roman" w:hint="default"/>
        </w:rPr>
        <w:t>20%</w:t>
      </w:r>
      <w:r>
        <w:rPr/>
        <w:t>的税率缴纳企业所得税。</w:t>
      </w:r>
    </w:p>
    <w:p>
      <w:pPr>
        <w:pStyle w:val="BodyText"/>
        <w:spacing w:line="302" w:lineRule="auto" w:before="101"/>
        <w:ind w:right="1175"/>
        <w:jc w:val="left"/>
      </w:pPr>
      <w:r>
        <w:rPr>
          <w:rFonts w:ascii="Times New Roman" w:hAnsi="Times New Roman" w:cs="Times New Roman" w:eastAsia="Times New Roman" w:hint="default"/>
        </w:rPr>
        <w:t>5</w:t>
      </w:r>
      <w:r>
        <w:rPr/>
        <w:t>、根据</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122 </w:t>
      </w:r>
      <w:r>
        <w:rPr/>
        <w:t>号</w:t>
      </w:r>
      <w:r>
        <w:rPr>
          <w:rFonts w:ascii="Times New Roman" w:hAnsi="Times New Roman" w:cs="Times New Roman" w:eastAsia="Times New Roman" w:hint="default"/>
        </w:rPr>
        <w:t>”</w:t>
      </w:r>
      <w:r>
        <w:rPr/>
        <w:t>文件的相关规定，符合条件的技术先进型服务企业减按</w:t>
      </w:r>
      <w:r>
        <w:rPr>
          <w:spacing w:val="-47"/>
        </w:rPr>
        <w:t> </w:t>
      </w:r>
      <w:r>
        <w:rPr>
          <w:rFonts w:ascii="Times New Roman" w:hAnsi="Times New Roman" w:cs="Times New Roman" w:eastAsia="Times New Roman" w:hint="default"/>
        </w:rPr>
        <w:t>15%</w:t>
      </w:r>
      <w:r>
        <w:rPr/>
        <w:t>的税率征收企业所得税。孙公司 智付通按照</w:t>
      </w:r>
      <w:r>
        <w:rPr>
          <w:spacing w:val="-46"/>
        </w:rPr>
        <w:t> </w:t>
      </w:r>
      <w:r>
        <w:rPr>
          <w:rFonts w:ascii="Times New Roman" w:hAnsi="Times New Roman" w:cs="Times New Roman" w:eastAsia="Times New Roman" w:hint="default"/>
        </w:rPr>
        <w:t>15%</w:t>
      </w:r>
      <w:r>
        <w:rPr/>
        <w:t>的企业所得税税率计缴。</w:t>
      </w:r>
    </w:p>
    <w:p>
      <w:pPr>
        <w:pStyle w:val="BodyText"/>
        <w:spacing w:line="302" w:lineRule="auto" w:before="50"/>
        <w:ind w:right="0"/>
        <w:jc w:val="left"/>
      </w:pPr>
      <w:r>
        <w:rPr>
          <w:rFonts w:ascii="Times New Roman" w:hAnsi="Times New Roman" w:cs="Times New Roman" w:eastAsia="Times New Roman" w:hint="default"/>
          <w:spacing w:val="-1"/>
          <w:w w:val="100"/>
        </w:rPr>
        <w:t>6</w:t>
      </w:r>
      <w:r>
        <w:rPr>
          <w:spacing w:val="-1"/>
          <w:w w:val="100"/>
        </w:rPr>
        <w:t>、根据</w:t>
      </w:r>
      <w:r>
        <w:rPr>
          <w:rFonts w:ascii="Times New Roman" w:hAnsi="Times New Roman" w:cs="Times New Roman" w:eastAsia="Times New Roman" w:hint="default"/>
          <w:spacing w:val="-1"/>
          <w:w w:val="100"/>
        </w:rPr>
        <w:t>“</w:t>
      </w:r>
      <w:r>
        <w:rPr>
          <w:spacing w:val="-1"/>
          <w:w w:val="100"/>
        </w:rPr>
        <w:t>财税〔</w:t>
      </w:r>
      <w:r>
        <w:rPr>
          <w:rFonts w:ascii="Times New Roman" w:hAnsi="Times New Roman" w:cs="Times New Roman" w:eastAsia="Times New Roman" w:hint="default"/>
          <w:spacing w:val="-1"/>
          <w:w w:val="100"/>
        </w:rPr>
        <w:t>2017</w:t>
      </w:r>
      <w:r>
        <w:rPr>
          <w:spacing w:val="-1"/>
          <w:w w:val="100"/>
        </w:rPr>
        <w:t>〕</w:t>
      </w:r>
      <w:r>
        <w:rPr>
          <w:rFonts w:ascii="Times New Roman" w:hAnsi="Times New Roman" w:cs="Times New Roman" w:eastAsia="Times New Roman" w:hint="default"/>
          <w:spacing w:val="-1"/>
          <w:w w:val="100"/>
        </w:rPr>
        <w:t>34</w:t>
      </w:r>
      <w:r>
        <w:rPr>
          <w:rFonts w:ascii="Times New Roman" w:hAnsi="Times New Roman" w:cs="Times New Roman" w:eastAsia="Times New Roman" w:hint="default"/>
          <w:spacing w:val="1"/>
          <w:w w:val="100"/>
        </w:rPr>
        <w:t> </w:t>
      </w:r>
      <w:r>
        <w:rPr>
          <w:spacing w:val="-6"/>
          <w:w w:val="100"/>
        </w:rPr>
        <w:t>号</w:t>
      </w:r>
      <w:r>
        <w:rPr>
          <w:rFonts w:ascii="Times New Roman" w:hAnsi="Times New Roman" w:cs="Times New Roman" w:eastAsia="Times New Roman" w:hint="default"/>
          <w:spacing w:val="-6"/>
          <w:w w:val="100"/>
        </w:rPr>
        <w:t>”</w:t>
      </w:r>
      <w:r>
        <w:rPr>
          <w:spacing w:val="-6"/>
          <w:w w:val="100"/>
        </w:rPr>
        <w:t>）、</w:t>
      </w:r>
      <w:r>
        <w:rPr>
          <w:rFonts w:ascii="Times New Roman" w:hAnsi="Times New Roman" w:cs="Times New Roman" w:eastAsia="Times New Roman" w:hint="default"/>
          <w:spacing w:val="-6"/>
          <w:w w:val="100"/>
        </w:rPr>
        <w:t>“</w:t>
      </w:r>
      <w:r>
        <w:rPr>
          <w:spacing w:val="-6"/>
          <w:w w:val="100"/>
        </w:rPr>
        <w:t>国科发政〔</w:t>
      </w:r>
      <w:r>
        <w:rPr>
          <w:rFonts w:ascii="Times New Roman" w:hAnsi="Times New Roman" w:cs="Times New Roman" w:eastAsia="Times New Roman" w:hint="default"/>
          <w:spacing w:val="-6"/>
          <w:w w:val="100"/>
        </w:rPr>
        <w:t>2017</w:t>
      </w:r>
      <w:r>
        <w:rPr>
          <w:spacing w:val="-6"/>
          <w:w w:val="100"/>
        </w:rPr>
        <w:t>〕</w:t>
      </w:r>
      <w:r>
        <w:rPr>
          <w:rFonts w:ascii="Times New Roman" w:hAnsi="Times New Roman" w:cs="Times New Roman" w:eastAsia="Times New Roman" w:hint="default"/>
          <w:spacing w:val="-6"/>
          <w:w w:val="100"/>
        </w:rPr>
        <w:t>115</w:t>
      </w:r>
      <w:r>
        <w:rPr>
          <w:rFonts w:ascii="Times New Roman" w:hAnsi="Times New Roman" w:cs="Times New Roman" w:eastAsia="Times New Roman" w:hint="default"/>
          <w:spacing w:val="1"/>
          <w:w w:val="100"/>
        </w:rPr>
        <w:t> </w:t>
      </w:r>
      <w:r>
        <w:rPr>
          <w:w w:val="100"/>
        </w:rPr>
        <w:t>号</w:t>
      </w:r>
      <w:r>
        <w:rPr>
          <w:rFonts w:ascii="Times New Roman" w:hAnsi="Times New Roman" w:cs="Times New Roman" w:eastAsia="Times New Roman" w:hint="default"/>
          <w:w w:val="100"/>
        </w:rPr>
        <w:t>”</w:t>
      </w:r>
      <w:r>
        <w:rPr>
          <w:w w:val="100"/>
        </w:rPr>
        <w:t>和</w:t>
      </w:r>
      <w:r>
        <w:rPr>
          <w:rFonts w:ascii="Times New Roman" w:hAnsi="Times New Roman" w:cs="Times New Roman" w:eastAsia="Times New Roman" w:hint="default"/>
          <w:w w:val="100"/>
        </w:rPr>
        <w:t>“</w:t>
      </w:r>
      <w:r>
        <w:rPr>
          <w:w w:val="100"/>
        </w:rPr>
        <w:t>国家税务总局公告</w:t>
      </w:r>
      <w:r>
        <w:rPr>
          <w:spacing w:val="-44"/>
          <w:w w:val="10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年第</w:t>
      </w:r>
      <w:r>
        <w:rPr>
          <w:spacing w:val="-44"/>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spacing w:val="-1"/>
          <w:w w:val="100"/>
        </w:rPr>
        <w:t>号</w:t>
      </w:r>
      <w:r>
        <w:rPr>
          <w:rFonts w:ascii="Times New Roman" w:hAnsi="Times New Roman" w:cs="Times New Roman" w:eastAsia="Times New Roman" w:hint="default"/>
          <w:spacing w:val="-1"/>
          <w:w w:val="100"/>
        </w:rPr>
        <w:t>”</w:t>
      </w:r>
      <w:r>
        <w:rPr>
          <w:spacing w:val="-1"/>
          <w:w w:val="100"/>
        </w:rPr>
        <w:t>文件的有关规定，孙公司</w:t>
      </w:r>
      <w:r>
        <w:rPr/>
        <w:t> 白龙移动属于科技型中小企业，研究开发费用按照实际发生额的</w:t>
      </w:r>
      <w:r>
        <w:rPr>
          <w:spacing w:val="-45"/>
        </w:rPr>
        <w:t> </w:t>
      </w:r>
      <w:r>
        <w:rPr>
          <w:rFonts w:ascii="Times New Roman" w:hAnsi="Times New Roman" w:cs="Times New Roman" w:eastAsia="Times New Roman" w:hint="default"/>
        </w:rPr>
        <w:t>75%</w:t>
      </w:r>
      <w:r>
        <w:rPr/>
        <w:t>在税前加计扣除。</w:t>
      </w:r>
    </w:p>
    <w:p>
      <w:pPr>
        <w:spacing w:line="240" w:lineRule="auto" w:before="13"/>
        <w:rPr>
          <w:rFonts w:ascii="宋体" w:hAnsi="宋体" w:cs="宋体" w:eastAsia="宋体" w:hint="default"/>
          <w:sz w:val="19"/>
          <w:szCs w:val="19"/>
        </w:rPr>
      </w:pPr>
    </w:p>
    <w:p>
      <w:pPr>
        <w:pStyle w:val="Heading2"/>
        <w:spacing w:line="240" w:lineRule="auto"/>
        <w:ind w:right="0"/>
        <w:jc w:val="left"/>
        <w:rPr>
          <w:b w:val="0"/>
          <w:bCs w:val="0"/>
        </w:rPr>
      </w:pPr>
      <w:bookmarkStart w:name="七、合并财务报表项目注释" w:id="194"/>
      <w:bookmarkEnd w:id="194"/>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195"/>
      <w:bookmarkEnd w:id="195"/>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132,593.54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76,170.36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222,858,600.03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126,122,078.45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80,855,030.00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134,360,802.08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303,846,223.57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260,559,050.89</w:t>
            </w:r>
          </w:p>
        </w:tc>
      </w:tr>
    </w:tbl>
    <w:p>
      <w:pPr>
        <w:pStyle w:val="BodyText"/>
        <w:spacing w:line="360" w:lineRule="auto" w:before="51"/>
        <w:ind w:right="8053"/>
        <w:jc w:val="left"/>
      </w:pPr>
      <w:r>
        <w:rPr/>
        <w:t>其他说明 期末受限制的货币资金明细如下：</w:t>
      </w:r>
    </w:p>
    <w:tbl>
      <w:tblPr>
        <w:tblW w:w="0" w:type="auto"/>
        <w:jc w:val="left"/>
        <w:tblInd w:w="1126" w:type="dxa"/>
        <w:tblLayout w:type="fixed"/>
        <w:tblCellMar>
          <w:top w:w="0" w:type="dxa"/>
          <w:left w:w="0" w:type="dxa"/>
          <w:bottom w:w="0" w:type="dxa"/>
          <w:right w:w="0" w:type="dxa"/>
        </w:tblCellMar>
        <w:tblLook w:val="01E0"/>
      </w:tblPr>
      <w:tblGrid>
        <w:gridCol w:w="2841"/>
        <w:gridCol w:w="2841"/>
        <w:gridCol w:w="2842"/>
      </w:tblGrid>
      <w:tr>
        <w:trPr>
          <w:trHeight w:val="356" w:hRule="exact"/>
        </w:trPr>
        <w:tc>
          <w:tcPr>
            <w:tcW w:w="28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4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2" w:hRule="exact"/>
        </w:trPr>
        <w:tc>
          <w:tcPr>
            <w:tcW w:w="2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841" w:type="dxa"/>
            <w:tcBorders>
              <w:top w:val="single" w:sz="12" w:space="0" w:color="000000"/>
              <w:left w:val="single" w:sz="6" w:space="0" w:color="000000"/>
              <w:bottom w:val="single" w:sz="12" w:space="0" w:color="000000"/>
              <w:right w:val="single" w:sz="6" w:space="0" w:color="000000"/>
            </w:tcBorders>
          </w:tcPr>
          <w:p>
            <w:pPr/>
          </w:p>
        </w:tc>
        <w:tc>
          <w:tcPr>
            <w:tcW w:w="28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2,041,500.00</w:t>
            </w:r>
          </w:p>
        </w:tc>
      </w:tr>
      <w:tr>
        <w:trPr>
          <w:trHeight w:val="352" w:hRule="exact"/>
        </w:trPr>
        <w:tc>
          <w:tcPr>
            <w:tcW w:w="2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17,800,000.00</w:t>
            </w:r>
          </w:p>
        </w:tc>
        <w:tc>
          <w:tcPr>
            <w:tcW w:w="28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14,390,302.08</w:t>
            </w:r>
          </w:p>
        </w:tc>
      </w:tr>
      <w:tr>
        <w:trPr>
          <w:trHeight w:val="353" w:hRule="exact"/>
        </w:trPr>
        <w:tc>
          <w:tcPr>
            <w:tcW w:w="2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利率掉期质押的美元存款</w:t>
            </w:r>
          </w:p>
        </w:tc>
        <w:tc>
          <w:tcPr>
            <w:tcW w:w="2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63,055,030.00</w:t>
            </w:r>
          </w:p>
        </w:tc>
        <w:tc>
          <w:tcPr>
            <w:tcW w:w="28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117,929,000.00</w:t>
            </w:r>
          </w:p>
        </w:tc>
      </w:tr>
      <w:tr>
        <w:trPr>
          <w:trHeight w:val="352" w:hRule="exact"/>
        </w:trPr>
        <w:tc>
          <w:tcPr>
            <w:tcW w:w="2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质押的银行定期存单</w:t>
            </w:r>
          </w:p>
        </w:tc>
        <w:tc>
          <w:tcPr>
            <w:tcW w:w="2841" w:type="dxa"/>
            <w:tcBorders>
              <w:top w:val="single" w:sz="12" w:space="0" w:color="000000"/>
              <w:left w:val="single" w:sz="6" w:space="0" w:color="000000"/>
              <w:bottom w:val="single" w:sz="12" w:space="0" w:color="000000"/>
              <w:right w:val="single" w:sz="6" w:space="0" w:color="000000"/>
            </w:tcBorders>
          </w:tcPr>
          <w:p>
            <w:pPr/>
          </w:p>
        </w:tc>
        <w:tc>
          <w:tcPr>
            <w:tcW w:w="28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24,279,500.00</w:t>
            </w:r>
          </w:p>
        </w:tc>
      </w:tr>
      <w:tr>
        <w:trPr>
          <w:trHeight w:val="352" w:hRule="exact"/>
        </w:trPr>
        <w:tc>
          <w:tcPr>
            <w:tcW w:w="2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80,855,030.00</w:t>
            </w:r>
          </w:p>
        </w:tc>
        <w:tc>
          <w:tcPr>
            <w:tcW w:w="28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158,640,302.08</w:t>
            </w:r>
          </w:p>
        </w:tc>
      </w:tr>
    </w:tbl>
    <w:p>
      <w:pPr>
        <w:spacing w:line="240" w:lineRule="auto" w:before="4"/>
        <w:rPr>
          <w:rFonts w:ascii="宋体" w:hAnsi="宋体" w:cs="宋体" w:eastAsia="宋体" w:hint="default"/>
          <w:sz w:val="20"/>
          <w:szCs w:val="20"/>
        </w:rPr>
      </w:pPr>
    </w:p>
    <w:p>
      <w:pPr>
        <w:pStyle w:val="Heading3"/>
        <w:spacing w:line="240" w:lineRule="auto" w:before="35"/>
        <w:ind w:left="1134" w:right="0"/>
        <w:jc w:val="left"/>
        <w:rPr>
          <w:b w:val="0"/>
          <w:bCs w:val="0"/>
        </w:rPr>
      </w:pPr>
      <w:bookmarkStart w:name="2、以公允价值计量且其变动计入当期损益的金融资产" w:id="196"/>
      <w:bookmarkEnd w:id="196"/>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3"/>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1,884,031.00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1,884,031.00</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应收票据" w:id="197"/>
      <w:bookmarkEnd w:id="197"/>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收票据分类列示" w:id="198"/>
      <w:bookmarkEnd w:id="198"/>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149,980,774.31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118,032,516.51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149,980,774.31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118,032,516.51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期末公司已背书或贴现且在资产负债表日尚未到期的应收票据" w:id="199"/>
      <w:bookmarkEnd w:id="199"/>
      <w:r>
        <w:rPr>
          <w:b w:val="0"/>
          <w:bCs w:val="0"/>
        </w:rPr>
      </w: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507,970,853.47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507,970,853.47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应收账款" w:id="200"/>
      <w:bookmarkEnd w:id="200"/>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收账款分类披露" w:id="201"/>
      <w:bookmarkEnd w:id="20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298,905,</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368.53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17,809,1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89.89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5.96%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281,096,1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78.64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202,969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,648.56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10,751,39</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0.31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5.30%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192,218,25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8.25</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298,905,</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368.53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17,809,1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89.89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5.96%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281,096,1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78.64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202,969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,648.56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10,751,39</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0.31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5.30%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192,218,25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8.25</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75"/>
        <w:gridCol w:w="2398"/>
        <w:gridCol w:w="2392"/>
        <w:gridCol w:w="2392"/>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286,528,626.59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14,326,431.33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9,856,965.31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1,971,393.07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1,440,587.35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432,176.21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1,079,189.28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1,079,189.28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298,905,368.53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17,809,189.89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5.96%</w:t>
            </w:r>
          </w:p>
        </w:tc>
      </w:tr>
    </w:tbl>
    <w:p>
      <w:pPr>
        <w:pStyle w:val="BodyText"/>
        <w:spacing w:line="240" w:lineRule="auto" w:before="51"/>
        <w:ind w:left="1134" w:right="0"/>
        <w:jc w:val="left"/>
      </w:pPr>
      <w:r>
        <w:rPr/>
        <w:t>确定该组合依据的说明：</w:t>
      </w:r>
    </w:p>
    <w:p>
      <w:pPr>
        <w:spacing w:after="0" w:line="240" w:lineRule="auto"/>
        <w:jc w:val="left"/>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组合中，采用余额百分比法计提坏账准备的应收账款：</w:t>
      </w:r>
    </w:p>
    <w:p>
      <w:pPr>
        <w:pStyle w:val="BodyText"/>
        <w:spacing w:line="340"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2）本期计提、收回或转回的坏账准备情况" w:id="202"/>
      <w:bookmarkEnd w:id="20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7,057,799.58</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434" w:space="1395"/>
            <w:col w:w="308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本期实际核销的应收账款情况" w:id="203"/>
      <w:bookmarkEnd w:id="20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128,919.62</w:t>
            </w:r>
          </w:p>
        </w:tc>
      </w:tr>
    </w:tbl>
    <w:p>
      <w:pPr>
        <w:pStyle w:val="BodyText"/>
        <w:spacing w:line="240" w:lineRule="auto" w:before="51"/>
        <w:ind w:left="1134"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0"/>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4）按欠款方归集的期末余额前五名的应收账款情况" w:id="204"/>
      <w:bookmarkEnd w:id="20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spacing w:line="240" w:lineRule="auto" w:before="1"/>
        <w:rPr>
          <w:rFonts w:ascii="宋体" w:hAnsi="宋体" w:cs="宋体" w:eastAsia="宋体" w:hint="default"/>
          <w:sz w:val="25"/>
          <w:szCs w:val="25"/>
        </w:rPr>
      </w:pPr>
    </w:p>
    <w:tbl>
      <w:tblPr>
        <w:tblW w:w="0" w:type="auto"/>
        <w:jc w:val="left"/>
        <w:tblInd w:w="1126" w:type="dxa"/>
        <w:tblLayout w:type="fixed"/>
        <w:tblCellMar>
          <w:top w:w="0" w:type="dxa"/>
          <w:left w:w="0" w:type="dxa"/>
          <w:bottom w:w="0" w:type="dxa"/>
          <w:right w:w="0" w:type="dxa"/>
        </w:tblCellMar>
        <w:tblLook w:val="01E0"/>
      </w:tblPr>
      <w:tblGrid>
        <w:gridCol w:w="2476"/>
        <w:gridCol w:w="2169"/>
        <w:gridCol w:w="2047"/>
        <w:gridCol w:w="1832"/>
      </w:tblGrid>
      <w:tr>
        <w:trPr>
          <w:trHeight w:val="355" w:hRule="exact"/>
        </w:trPr>
        <w:tc>
          <w:tcPr>
            <w:tcW w:w="2476"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048"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5" w:hRule="exact"/>
        </w:trPr>
        <w:tc>
          <w:tcPr>
            <w:tcW w:w="2476" w:type="dxa"/>
            <w:vMerge/>
            <w:tcBorders>
              <w:left w:val="single" w:sz="6" w:space="0" w:color="000000"/>
              <w:bottom w:val="single" w:sz="12" w:space="0" w:color="000000"/>
              <w:right w:val="single" w:sz="6" w:space="0" w:color="000000"/>
            </w:tcBorders>
          </w:tcPr>
          <w:p>
            <w:pPr/>
          </w:p>
        </w:tc>
        <w:tc>
          <w:tcPr>
            <w:tcW w:w="21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4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610" w:right="295" w:hanging="31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 的比例</w:t>
            </w:r>
            <w:r>
              <w:rPr>
                <w:rFonts w:ascii="Times New Roman" w:hAnsi="Times New Roman" w:cs="Times New Roman" w:eastAsia="Times New Roman" w:hint="default"/>
                <w:sz w:val="18"/>
                <w:szCs w:val="18"/>
              </w:rPr>
              <w:t>(%)</w:t>
            </w:r>
          </w:p>
        </w:tc>
        <w:tc>
          <w:tcPr>
            <w:tcW w:w="18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54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2" w:hRule="exact"/>
        </w:trPr>
        <w:tc>
          <w:tcPr>
            <w:tcW w:w="2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1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28,265,811.83</w:t>
            </w:r>
          </w:p>
        </w:tc>
        <w:tc>
          <w:tcPr>
            <w:tcW w:w="20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9.46</w:t>
            </w:r>
          </w:p>
        </w:tc>
        <w:tc>
          <w:tcPr>
            <w:tcW w:w="18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1,413,290.59</w:t>
            </w:r>
          </w:p>
        </w:tc>
      </w:tr>
      <w:tr>
        <w:trPr>
          <w:trHeight w:val="352" w:hRule="exact"/>
        </w:trPr>
        <w:tc>
          <w:tcPr>
            <w:tcW w:w="2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1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20,738,338.61</w:t>
            </w:r>
          </w:p>
        </w:tc>
        <w:tc>
          <w:tcPr>
            <w:tcW w:w="20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6.94</w:t>
            </w:r>
          </w:p>
        </w:tc>
        <w:tc>
          <w:tcPr>
            <w:tcW w:w="18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1,036,916.93</w:t>
            </w:r>
          </w:p>
        </w:tc>
      </w:tr>
      <w:tr>
        <w:trPr>
          <w:trHeight w:val="353" w:hRule="exact"/>
        </w:trPr>
        <w:tc>
          <w:tcPr>
            <w:tcW w:w="2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1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15,163,533.39</w:t>
            </w:r>
          </w:p>
        </w:tc>
        <w:tc>
          <w:tcPr>
            <w:tcW w:w="20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5.07</w:t>
            </w:r>
          </w:p>
        </w:tc>
        <w:tc>
          <w:tcPr>
            <w:tcW w:w="18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1,285,117.61</w:t>
            </w:r>
          </w:p>
        </w:tc>
      </w:tr>
      <w:tr>
        <w:trPr>
          <w:trHeight w:val="352" w:hRule="exact"/>
        </w:trPr>
        <w:tc>
          <w:tcPr>
            <w:tcW w:w="2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1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14,498,782.33</w:t>
            </w:r>
          </w:p>
        </w:tc>
        <w:tc>
          <w:tcPr>
            <w:tcW w:w="20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4.85</w:t>
            </w:r>
          </w:p>
        </w:tc>
        <w:tc>
          <w:tcPr>
            <w:tcW w:w="18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724,939.12</w:t>
            </w:r>
          </w:p>
        </w:tc>
      </w:tr>
      <w:tr>
        <w:trPr>
          <w:trHeight w:val="352" w:hRule="exact"/>
        </w:trPr>
        <w:tc>
          <w:tcPr>
            <w:tcW w:w="2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1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12,363,555.89</w:t>
            </w:r>
          </w:p>
        </w:tc>
        <w:tc>
          <w:tcPr>
            <w:tcW w:w="20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4.14</w:t>
            </w:r>
          </w:p>
        </w:tc>
        <w:tc>
          <w:tcPr>
            <w:tcW w:w="18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618,177.79</w:t>
            </w:r>
          </w:p>
        </w:tc>
      </w:tr>
      <w:tr>
        <w:trPr>
          <w:trHeight w:val="353" w:hRule="exact"/>
        </w:trPr>
        <w:tc>
          <w:tcPr>
            <w:tcW w:w="2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91,030,022.05</w:t>
            </w:r>
          </w:p>
        </w:tc>
        <w:tc>
          <w:tcPr>
            <w:tcW w:w="20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30.45</w:t>
            </w:r>
          </w:p>
        </w:tc>
        <w:tc>
          <w:tcPr>
            <w:tcW w:w="18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5,078,442.04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5、预付款项" w:id="205"/>
      <w:bookmarkEnd w:id="205"/>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06"/>
      <w:bookmarkEnd w:id="206"/>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40,253,639.84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63,494,337.20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99.20%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1,520,012.73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303,921.77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55,863.48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166,638.90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191,361.07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42,116.67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42,020,877.12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64,007,014.54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9"/>
        <w:rPr>
          <w:rFonts w:ascii="宋体" w:hAnsi="宋体" w:cs="宋体" w:eastAsia="宋体" w:hint="default"/>
          <w:sz w:val="25"/>
          <w:szCs w:val="25"/>
        </w:rPr>
      </w:pPr>
    </w:p>
    <w:p>
      <w:pPr>
        <w:pStyle w:val="Heading3"/>
        <w:spacing w:line="240" w:lineRule="auto"/>
        <w:ind w:left="1134" w:right="0"/>
        <w:jc w:val="left"/>
        <w:rPr>
          <w:b w:val="0"/>
          <w:bCs w:val="0"/>
        </w:rPr>
      </w:pPr>
      <w:bookmarkStart w:name="（2）按预付对象归集的期末余额前五名的预付款情况" w:id="207"/>
      <w:bookmarkEnd w:id="20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9"/>
          <w:szCs w:val="29"/>
        </w:rPr>
      </w:pPr>
    </w:p>
    <w:tbl>
      <w:tblPr>
        <w:tblW w:w="0" w:type="auto"/>
        <w:jc w:val="left"/>
        <w:tblInd w:w="1126" w:type="dxa"/>
        <w:tblLayout w:type="fixed"/>
        <w:tblCellMar>
          <w:top w:w="0" w:type="dxa"/>
          <w:left w:w="0" w:type="dxa"/>
          <w:bottom w:w="0" w:type="dxa"/>
          <w:right w:w="0" w:type="dxa"/>
        </w:tblCellMar>
        <w:tblLook w:val="01E0"/>
      </w:tblPr>
      <w:tblGrid>
        <w:gridCol w:w="2841"/>
        <w:gridCol w:w="2841"/>
        <w:gridCol w:w="2842"/>
      </w:tblGrid>
      <w:tr>
        <w:trPr>
          <w:trHeight w:val="667" w:hRule="exact"/>
        </w:trPr>
        <w:tc>
          <w:tcPr>
            <w:tcW w:w="28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8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42"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619" w:right="623" w:firstLine="74"/>
              <w:jc w:val="left"/>
              <w:rPr>
                <w:rFonts w:ascii="宋体" w:hAnsi="宋体" w:cs="宋体" w:eastAsia="宋体" w:hint="default"/>
                <w:sz w:val="18"/>
                <w:szCs w:val="18"/>
              </w:rPr>
            </w:pPr>
            <w:r>
              <w:rPr>
                <w:rFonts w:ascii="宋体" w:hAnsi="宋体" w:cs="宋体" w:eastAsia="宋体" w:hint="default"/>
                <w:sz w:val="18"/>
                <w:szCs w:val="18"/>
              </w:rPr>
              <w:t>占预付款期末余额 合计数的比例（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2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5,781,999.68</w:t>
            </w:r>
          </w:p>
        </w:tc>
        <w:tc>
          <w:tcPr>
            <w:tcW w:w="28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13.76</w:t>
            </w:r>
          </w:p>
        </w:tc>
      </w:tr>
      <w:tr>
        <w:trPr>
          <w:trHeight w:val="352" w:hRule="exact"/>
        </w:trPr>
        <w:tc>
          <w:tcPr>
            <w:tcW w:w="2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3,555,156.92</w:t>
            </w:r>
          </w:p>
        </w:tc>
        <w:tc>
          <w:tcPr>
            <w:tcW w:w="28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8.46</w:t>
            </w:r>
          </w:p>
        </w:tc>
      </w:tr>
      <w:tr>
        <w:trPr>
          <w:trHeight w:val="352" w:hRule="exact"/>
        </w:trPr>
        <w:tc>
          <w:tcPr>
            <w:tcW w:w="2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3,533,658.56</w:t>
            </w:r>
          </w:p>
        </w:tc>
        <w:tc>
          <w:tcPr>
            <w:tcW w:w="28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8.41</w:t>
            </w:r>
          </w:p>
        </w:tc>
      </w:tr>
      <w:tr>
        <w:trPr>
          <w:trHeight w:val="353" w:hRule="exact"/>
        </w:trPr>
        <w:tc>
          <w:tcPr>
            <w:tcW w:w="2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2,716,298.04</w:t>
            </w:r>
          </w:p>
        </w:tc>
        <w:tc>
          <w:tcPr>
            <w:tcW w:w="28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6.46</w:t>
            </w:r>
          </w:p>
        </w:tc>
      </w:tr>
      <w:tr>
        <w:trPr>
          <w:trHeight w:val="352" w:hRule="exact"/>
        </w:trPr>
        <w:tc>
          <w:tcPr>
            <w:tcW w:w="2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2,193,250.00</w:t>
            </w:r>
          </w:p>
        </w:tc>
        <w:tc>
          <w:tcPr>
            <w:tcW w:w="28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5.22</w:t>
            </w:r>
          </w:p>
        </w:tc>
      </w:tr>
      <w:tr>
        <w:trPr>
          <w:trHeight w:val="352" w:hRule="exact"/>
        </w:trPr>
        <w:tc>
          <w:tcPr>
            <w:tcW w:w="2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17,780,363.20</w:t>
            </w:r>
          </w:p>
        </w:tc>
        <w:tc>
          <w:tcPr>
            <w:tcW w:w="28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42.31</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其他应收款" w:id="208"/>
      <w:bookmarkEnd w:id="208"/>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09"/>
      <w:bookmarkEnd w:id="209"/>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83,074,7</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87.01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93.44%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5,345,36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6.43%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83,557,35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0.15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15,025,</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509.29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34.05%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1,304,805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42,826,410.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5,827,92</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4.55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6.56%</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29,105,</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707.16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65.95%</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88,902,7</w:t>
            </w:r>
          </w:p>
          <w:p>
            <w:pPr>
              <w:pStyle w:val="TableParagraph"/>
              <w:spacing w:line="240" w:lineRule="auto" w:before="106"/>
              <w:ind w:left="331" w:right="0"/>
              <w:jc w:val="left"/>
              <w:rPr>
                <w:rFonts w:ascii="Times New Roman" w:hAnsi="Times New Roman" w:cs="Times New Roman" w:eastAsia="Times New Roman" w:hint="default"/>
                <w:sz w:val="18"/>
                <w:szCs w:val="18"/>
              </w:rPr>
            </w:pPr>
            <w:r>
              <w:rPr>
                <w:rFonts w:ascii="Times New Roman"/>
                <w:sz w:val="18"/>
              </w:rPr>
              <w:t>11.56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5,345,36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1.41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6.01%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83,557,35</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0.15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44,131,</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216.45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1,304,805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2.96%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42,826,410.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77,501,709.96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3,875,085.50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2,664,406.23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532,881.25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2,816,108.81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844,832.65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92,562.01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92,562.01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83,074,787.01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5,345,361.41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6.43%</w:t>
            </w:r>
          </w:p>
        </w:tc>
      </w:tr>
    </w:tbl>
    <w:p>
      <w:pPr>
        <w:pStyle w:val="BodyText"/>
        <w:spacing w:line="357" w:lineRule="auto" w:before="51"/>
        <w:ind w:left="1134" w:right="6252"/>
        <w:jc w:val="left"/>
      </w:pPr>
      <w:r>
        <w:rPr/>
        <w:t>确定该组合依据的说明： 组合中，采用余额百分比法计提坏账准备的其他应收款：</w:t>
      </w:r>
    </w:p>
    <w:p>
      <w:pPr>
        <w:pStyle w:val="BodyText"/>
        <w:spacing w:line="338" w:lineRule="auto" w:before="29"/>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210"/>
      <w:bookmarkEnd w:id="21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pStyle w:val="BodyText"/>
        <w:spacing w:line="340" w:lineRule="auto" w:before="44"/>
        <w:ind w:right="-12"/>
        <w:jc w:val="left"/>
      </w:pPr>
      <w:r>
        <w:rPr/>
        <w:t>本期计提坏账准备金额</w:t>
      </w:r>
      <w:r>
        <w:rPr>
          <w:spacing w:val="-47"/>
        </w:rPr>
        <w:t> </w:t>
      </w:r>
      <w:r>
        <w:rPr>
          <w:rFonts w:ascii="Times New Roman" w:hAnsi="Times New Roman" w:cs="Times New Roman" w:eastAsia="Times New Roman" w:hint="default"/>
        </w:rPr>
        <w:t>4,040,555.76</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434" w:space="1395"/>
            <w:col w:w="308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其他应收款按款项性质分类情况" w:id="211"/>
      <w:bookmarkEnd w:id="211"/>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预付进口关税及增值税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8,994,764.74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1,890,420.88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73,722,344.69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39,324,691.24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1,523,690.94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1,653,156.66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4,661,911.19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1,262,947.67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88,902,711.56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44,131,216.45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按欠款方归集的期末余额前五名的其他应收款情况" w:id="212"/>
      <w:bookmarkEnd w:id="212"/>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22,583,000.00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1,129,150.00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5,827,924.55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200,500.00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9"/>
              <w:jc w:val="left"/>
              <w:rPr>
                <w:rFonts w:ascii="宋体" w:hAnsi="宋体" w:cs="宋体" w:eastAsia="宋体" w:hint="default"/>
                <w:sz w:val="18"/>
                <w:szCs w:val="18"/>
              </w:rPr>
            </w:pPr>
            <w:r>
              <w:rPr>
                <w:rFonts w:ascii="宋体" w:hAnsi="宋体" w:cs="宋体" w:eastAsia="宋体" w:hint="default"/>
                <w:sz w:val="18"/>
                <w:szCs w:val="18"/>
              </w:rPr>
              <w:t>预付进口关税及增 值税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3,158,900.24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157,945.01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666,137.46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33,306.87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36,245,962.25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1,520,901.88</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存货" w:id="213"/>
      <w:bookmarkEnd w:id="213"/>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512"/>
        <w:jc w:val="left"/>
      </w:pPr>
      <w:r>
        <w:rPr/>
        <w:t>公司是否需要遵守房地产行业的披露要求 否</w:t>
      </w:r>
    </w:p>
    <w:p>
      <w:pPr>
        <w:spacing w:line="240" w:lineRule="auto" w:before="1"/>
        <w:rPr>
          <w:rFonts w:ascii="宋体" w:hAnsi="宋体" w:cs="宋体" w:eastAsia="宋体" w:hint="default"/>
          <w:sz w:val="20"/>
          <w:szCs w:val="20"/>
        </w:rPr>
      </w:pPr>
    </w:p>
    <w:p>
      <w:pPr>
        <w:pStyle w:val="Heading3"/>
        <w:spacing w:line="240" w:lineRule="auto"/>
        <w:ind w:left="1134" w:right="0"/>
        <w:jc w:val="left"/>
        <w:rPr>
          <w:b w:val="0"/>
          <w:bCs w:val="0"/>
        </w:rPr>
      </w:pPr>
      <w:bookmarkStart w:name="（1）存货分类" w:id="214"/>
      <w:bookmarkEnd w:id="214"/>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142,404,937.59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142,404,937.59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116,140,031.51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116,140,031.51</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116,046,089.27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116,046,089.27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68,208,822.60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68,208,822.60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181,082,041.90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6,816,786.84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174,265,255.06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122,461,473.90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7,103,875.46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115,357,598.44</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19,936,950.56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19,936,950.56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13,465,903.26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13,465,903.26</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11,504,304.71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11,504,304.71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8,070,441.07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8,070,441.07</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470,974,324.03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6,816,786.84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464,157,537.19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328,346,672.34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7,103,875.46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321,242,796.88</w:t>
            </w:r>
          </w:p>
        </w:tc>
      </w:tr>
    </w:tbl>
    <w:p>
      <w:pPr>
        <w:pStyle w:val="BodyText"/>
        <w:spacing w:line="340" w:lineRule="auto" w:before="51"/>
        <w:ind w:left="1134"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0"/>
        <w:ind w:right="1575"/>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0"/>
        <w:ind w:right="175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after="0" w:line="338"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存货跌价准备" w:id="215"/>
      <w:bookmarkEnd w:id="215"/>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7,103,875.46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5,226,149.08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5,513,237.70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6,816,786.84</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7,103,875.46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5,226,149.08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5,513,237.70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6,816,786.84</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存货期末余额含有借款费用资本化金额的说明" w:id="216"/>
      <w:bookmarkEnd w:id="216"/>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left="1134" w:right="0"/>
        <w:jc w:val="left"/>
        <w:rPr>
          <w:b w:val="0"/>
          <w:bCs w:val="0"/>
        </w:rPr>
      </w:pPr>
      <w:bookmarkStart w:name="（4）期末建造合同形成的已完工未结算资产情况" w:id="217"/>
      <w:bookmarkEnd w:id="217"/>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8、其他流动资产" w:id="218"/>
      <w:bookmarkEnd w:id="218"/>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未交增值税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126,985,394.65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108,701,329.32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待抵扣的增值税进项税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6,595,478.76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3,514,385.40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待认证的增值税进项税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548,597.45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预交企业所得税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2,424,153.52</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416,553,624.38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112,215,714.72</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9、可供出售金融资产" w:id="219"/>
      <w:bookmarkEnd w:id="219"/>
      <w:r>
        <w:rPr>
          <w:b w:val="0"/>
          <w:bCs w:val="0"/>
        </w:rPr>
      </w:r>
      <w:r>
        <w:rPr>
          <w:rFonts w:ascii="Times New Roman" w:hAnsi="Times New Roman" w:cs="Times New Roman" w:eastAsia="Times New Roman" w:hint="default"/>
        </w:rPr>
        <w:t>9</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20"/>
      <w:bookmarkEnd w:id="220"/>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10,752,070.41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10,752,070.41</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10,752,070.41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10,752,070.41</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2003"/>
        <w:gridCol w:w="1196"/>
        <w:gridCol w:w="1196"/>
        <w:gridCol w:w="1196"/>
        <w:gridCol w:w="1248"/>
        <w:gridCol w:w="1367"/>
        <w:gridCol w:w="1367"/>
      </w:tblGrid>
      <w:tr>
        <w:trPr>
          <w:trHeight w:val="402"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10,752,070.41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10,752,070.41</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期末按成本计量的可供出售金融资产" w:id="221"/>
      <w:bookmarkEnd w:id="221"/>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株式会社</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pacing w:val="-3"/>
                <w:sz w:val="18"/>
              </w:rPr>
              <w:t>ETSTARS</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3,939,564.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3,939,564.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5.71%</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EUROPAS</w:t>
            </w:r>
          </w:p>
          <w:p>
            <w:pPr>
              <w:pStyle w:val="TableParagraph"/>
              <w:spacing w:line="302" w:lineRule="auto" w:before="64"/>
              <w:ind w:left="22"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欧洲通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3,062,506.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3,062,506.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一树山</w:t>
            </w:r>
          </w:p>
          <w:p>
            <w:pPr>
              <w:pStyle w:val="TableParagraph"/>
              <w:spacing w:line="319" w:lineRule="auto" w:before="75"/>
              <w:ind w:left="22" w:right="108"/>
              <w:jc w:val="both"/>
              <w:rPr>
                <w:rFonts w:ascii="宋体" w:hAnsi="宋体" w:cs="宋体" w:eastAsia="宋体" w:hint="default"/>
                <w:sz w:val="18"/>
                <w:szCs w:val="18"/>
              </w:rPr>
            </w:pPr>
            <w:r>
              <w:rPr>
                <w:rFonts w:ascii="宋体" w:hAnsi="宋体" w:cs="宋体" w:eastAsia="宋体" w:hint="default"/>
                <w:sz w:val="18"/>
                <w:szCs w:val="18"/>
              </w:rPr>
              <w:t>（天津） 科技有限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深圳皇婷 健康科技 控股有限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深圳汇商 通盈科技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11,752,070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10,752,070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0、长期股权投资" w:id="222"/>
      <w:bookmarkEnd w:id="222"/>
      <w:r>
        <w:rPr>
          <w:b w:val="0"/>
          <w:bCs w:val="0"/>
        </w:rPr>
      </w:r>
      <w:r>
        <w:rPr>
          <w:rFonts w:ascii="Times New Roman" w:hAnsi="Times New Roman" w:cs="Times New Roman" w:eastAsia="Times New Roman" w:hint="default"/>
        </w:rPr>
        <w:t>10</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深圳飞猪 网络科技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-517,874.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1,988,602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1,470,727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.95</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上海合码 商务咨询 有限公司</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-3,675,93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1,324,069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福州十方 网络科技 有限公司</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693,333.0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437,877.4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1,131,210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深圳市世 明科技有 限公司</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-879,739.</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2,120,260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深圳市汇 商盈实业 中心（有 限合伙）</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1,125,000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1,125,000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9,818,333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-4,635,66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7,171,268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9,818,333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-4,635,66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1,988,602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7,171,268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.81</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both"/>
      </w:pPr>
      <w:r>
        <w:rPr/>
        <w:t>其他说明</w:t>
      </w:r>
    </w:p>
    <w:p>
      <w:pPr>
        <w:pStyle w:val="BodyText"/>
        <w:spacing w:line="240" w:lineRule="auto" w:before="116"/>
        <w:ind w:right="0"/>
        <w:jc w:val="both"/>
        <w:rPr>
          <w:rFonts w:ascii="Times New Roman" w:hAnsi="Times New Roman" w:cs="Times New Roman" w:eastAsia="Times New Roman" w:hint="default"/>
        </w:rPr>
      </w:pPr>
      <w:r>
        <w:rPr/>
        <w:t>注</w:t>
      </w:r>
      <w:r>
        <w:rPr>
          <w:spacing w:val="-46"/>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月，威富通与深圳飞猪网络科技有限公司（以下简称</w:t>
      </w:r>
      <w:r>
        <w:rPr>
          <w:rFonts w:ascii="Times New Roman" w:hAnsi="Times New Roman" w:cs="Times New Roman" w:eastAsia="Times New Roman" w:hint="default"/>
        </w:rPr>
        <w:t>“</w:t>
      </w:r>
      <w:r>
        <w:rPr/>
        <w:t>飞猪科技</w:t>
      </w:r>
      <w:r>
        <w:rPr>
          <w:rFonts w:ascii="Times New Roman" w:hAnsi="Times New Roman" w:cs="Times New Roman" w:eastAsia="Times New Roman" w:hint="default"/>
        </w:rPr>
        <w:t>”</w:t>
      </w:r>
      <w:r>
        <w:rPr/>
        <w:t>）签署增资扩股协议，拟投资人民币</w:t>
      </w:r>
      <w:r>
        <w:rPr>
          <w:spacing w:val="-46"/>
        </w:rPr>
        <w:t> </w:t>
      </w:r>
      <w:r>
        <w:rPr>
          <w:rFonts w:ascii="Times New Roman" w:hAnsi="Times New Roman" w:cs="Times New Roman" w:eastAsia="Times New Roman" w:hint="default"/>
        </w:rPr>
        <w:t>200</w:t>
      </w:r>
    </w:p>
    <w:p>
      <w:pPr>
        <w:pStyle w:val="BodyText"/>
        <w:spacing w:line="240" w:lineRule="auto" w:before="63"/>
        <w:ind w:left="1134" w:right="0"/>
        <w:jc w:val="both"/>
        <w:rPr>
          <w:rFonts w:ascii="Times New Roman" w:hAnsi="Times New Roman" w:cs="Times New Roman" w:eastAsia="Times New Roman" w:hint="default"/>
        </w:rPr>
      </w:pPr>
      <w:r>
        <w:rPr/>
        <w:t>万元认缴飞猪科技</w:t>
      </w:r>
      <w:r>
        <w:rPr>
          <w:spacing w:val="-46"/>
        </w:rPr>
        <w:t> </w:t>
      </w:r>
      <w:r>
        <w:rPr>
          <w:rFonts w:ascii="Times New Roman" w:hAnsi="Times New Roman" w:cs="Times New Roman" w:eastAsia="Times New Roman" w:hint="default"/>
          <w:spacing w:val="-5"/>
        </w:rPr>
        <w:t>28%</w:t>
      </w:r>
      <w:r>
        <w:rPr>
          <w:spacing w:val="-5"/>
        </w:rPr>
        <w:t>的股权。根据该协议约定，威富通于</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月向飞猪科技支付增资款</w:t>
      </w:r>
      <w:r>
        <w:rPr>
          <w:spacing w:val="-46"/>
        </w:rPr>
        <w:t> </w:t>
      </w:r>
      <w:r>
        <w:rPr>
          <w:rFonts w:ascii="Times New Roman" w:hAnsi="Times New Roman" w:cs="Times New Roman" w:eastAsia="Times New Roman" w:hint="default"/>
        </w:rPr>
        <w:t>200</w:t>
      </w:r>
      <w:r>
        <w:rPr>
          <w:rFonts w:ascii="Times New Roman" w:hAnsi="Times New Roman" w:cs="Times New Roman" w:eastAsia="Times New Roman" w:hint="default"/>
          <w:spacing w:val="-1"/>
        </w:rPr>
        <w:t> </w:t>
      </w:r>
      <w:r>
        <w:rPr>
          <w:spacing w:val="-6"/>
        </w:rPr>
        <w:t>万元，飞猪科技于</w:t>
      </w:r>
      <w:r>
        <w:rPr>
          <w:spacing w:val="-46"/>
        </w:rPr>
        <w:t> </w:t>
      </w:r>
      <w:r>
        <w:rPr>
          <w:rFonts w:ascii="Times New Roman" w:hAnsi="Times New Roman" w:cs="Times New Roman" w:eastAsia="Times New Roman" w:hint="default"/>
        </w:rPr>
        <w:t>2016</w:t>
      </w:r>
    </w:p>
    <w:p>
      <w:pPr>
        <w:pStyle w:val="BodyText"/>
        <w:spacing w:line="302" w:lineRule="auto" w:before="63"/>
        <w:ind w:left="1134" w:right="1136"/>
        <w:jc w:val="left"/>
      </w:pP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月就本次增资事项完成工商变更。本公司于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日完成对威富通的收购，故飞猪网络已成为本公司联营企 业。</w:t>
      </w:r>
    </w:p>
    <w:p>
      <w:pPr>
        <w:pStyle w:val="BodyText"/>
        <w:spacing w:line="300" w:lineRule="auto" w:before="68"/>
        <w:ind w:left="1134" w:right="1132"/>
        <w:jc w:val="both"/>
      </w:pPr>
      <w:r>
        <w:rPr/>
        <w:t>注</w:t>
      </w:r>
      <w:r>
        <w:rPr>
          <w:spacing w:val="-38"/>
        </w:rPr>
        <w:t> </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10"/>
        </w:rPr>
        <w:t> </w:t>
      </w:r>
      <w:r>
        <w:rPr/>
        <w:t>年</w:t>
      </w:r>
      <w:r>
        <w:rPr>
          <w:spacing w:val="-38"/>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7"/>
        </w:rPr>
        <w:t> </w:t>
      </w:r>
      <w:r>
        <w:rPr>
          <w:spacing w:val="-4"/>
        </w:rPr>
        <w:t>月，威富通与上海喔噻投资中心（有限合伙）、上海喔噻互联网科技有限公司共同签署发起协议，成立上海</w:t>
      </w:r>
      <w:r>
        <w:rPr>
          <w:spacing w:val="-88"/>
        </w:rPr>
        <w:t> </w:t>
      </w:r>
      <w:r>
        <w:rPr>
          <w:spacing w:val="-88"/>
        </w:rPr>
      </w:r>
      <w:r>
        <w:rPr>
          <w:spacing w:val="-4"/>
          <w:w w:val="100"/>
        </w:rPr>
        <w:t>合码商务咨询有限公司（以下简称</w:t>
      </w:r>
      <w:r>
        <w:rPr>
          <w:rFonts w:ascii="Times New Roman" w:hAnsi="Times New Roman" w:cs="Times New Roman" w:eastAsia="Times New Roman" w:hint="default"/>
          <w:spacing w:val="-4"/>
          <w:w w:val="100"/>
        </w:rPr>
        <w:t>“</w:t>
      </w:r>
      <w:r>
        <w:rPr>
          <w:spacing w:val="-4"/>
          <w:w w:val="100"/>
        </w:rPr>
        <w:t>合码商务</w:t>
      </w:r>
      <w:r>
        <w:rPr>
          <w:rFonts w:ascii="Times New Roman" w:hAnsi="Times New Roman" w:cs="Times New Roman" w:eastAsia="Times New Roman" w:hint="default"/>
          <w:spacing w:val="-4"/>
          <w:w w:val="100"/>
        </w:rPr>
        <w:t>”</w:t>
      </w:r>
      <w:r>
        <w:rPr>
          <w:spacing w:val="-4"/>
          <w:w w:val="100"/>
        </w:rPr>
        <w:t>），威富通认缴</w:t>
      </w:r>
      <w:r>
        <w:rPr>
          <w:spacing w:val="-40"/>
          <w:w w:val="100"/>
        </w:rPr>
        <w:t> </w:t>
      </w:r>
      <w:r>
        <w:rPr>
          <w:rFonts w:ascii="Times New Roman" w:hAnsi="Times New Roman" w:cs="Times New Roman" w:eastAsia="Times New Roman" w:hint="default"/>
        </w:rPr>
        <w:t>500</w:t>
      </w:r>
      <w:r>
        <w:rPr>
          <w:rFonts w:ascii="Times New Roman" w:hAnsi="Times New Roman" w:cs="Times New Roman" w:eastAsia="Times New Roman" w:hint="default"/>
          <w:spacing w:val="5"/>
        </w:rPr>
        <w:t> </w:t>
      </w:r>
      <w:r>
        <w:rPr/>
        <w:t>万元，持有合码商务</w:t>
      </w:r>
      <w:r>
        <w:rPr>
          <w:spacing w:val="-40"/>
        </w:rPr>
        <w:t> </w:t>
      </w:r>
      <w:r>
        <w:rPr>
          <w:rFonts w:ascii="Times New Roman" w:hAnsi="Times New Roman" w:cs="Times New Roman" w:eastAsia="Times New Roman" w:hint="default"/>
        </w:rPr>
        <w:t>45%</w:t>
      </w:r>
      <w:r>
        <w:rPr/>
        <w:t>的股权。根据该协议约定，威富</w:t>
      </w:r>
      <w:r>
        <w:rPr>
          <w:spacing w:val="-87"/>
        </w:rPr>
        <w:t> </w:t>
      </w:r>
      <w:r>
        <w:rPr/>
        <w:t>通于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 </w:t>
      </w:r>
      <w:r>
        <w:rPr/>
        <w:t>月和</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2 </w:t>
      </w:r>
      <w:r>
        <w:rPr/>
        <w:t>月分两次共计向合码商务支付投资款</w:t>
      </w:r>
      <w:r>
        <w:rPr>
          <w:spacing w:val="-46"/>
        </w:rPr>
        <w:t> </w:t>
      </w:r>
      <w:r>
        <w:rPr>
          <w:rFonts w:ascii="Times New Roman" w:hAnsi="Times New Roman" w:cs="Times New Roman" w:eastAsia="Times New Roman" w:hint="default"/>
        </w:rPr>
        <w:t>500 </w:t>
      </w:r>
      <w:r>
        <w:rPr/>
        <w:t>万元。</w:t>
      </w:r>
    </w:p>
    <w:p>
      <w:pPr>
        <w:pStyle w:val="BodyText"/>
        <w:spacing w:line="300" w:lineRule="auto" w:before="51"/>
        <w:ind w:left="1134" w:right="1139"/>
        <w:jc w:val="left"/>
        <w:rPr>
          <w:rFonts w:ascii="Times New Roman" w:hAnsi="Times New Roman" w:cs="Times New Roman" w:eastAsia="Times New Roman" w:hint="default"/>
        </w:rPr>
      </w:pPr>
      <w:r>
        <w:rPr/>
        <w:t>注</w:t>
      </w:r>
      <w:r>
        <w:rPr>
          <w:spacing w:val="-47"/>
        </w:rPr>
        <w:t>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月，威富通与林世镛、陈楠及吕海峰共同签署发起协议，成立福州十方网络科技有限公司（以下简称</w:t>
      </w:r>
      <w:r>
        <w:rPr>
          <w:rFonts w:ascii="Times New Roman" w:hAnsi="Times New Roman" w:cs="Times New Roman" w:eastAsia="Times New Roman" w:hint="default"/>
        </w:rPr>
        <w:t>“</w:t>
      </w:r>
      <w:r>
        <w:rPr/>
        <w:t>十方 </w:t>
      </w:r>
      <w:r>
        <w:rPr>
          <w:spacing w:val="-13"/>
          <w:w w:val="100"/>
        </w:rPr>
        <w:t>网络</w:t>
      </w:r>
      <w:r>
        <w:rPr>
          <w:rFonts w:ascii="Times New Roman" w:hAnsi="Times New Roman" w:cs="Times New Roman" w:eastAsia="Times New Roman" w:hint="default"/>
          <w:spacing w:val="-13"/>
          <w:w w:val="100"/>
        </w:rPr>
        <w:t>”</w:t>
      </w:r>
      <w:r>
        <w:rPr>
          <w:spacing w:val="-13"/>
          <w:w w:val="100"/>
        </w:rPr>
        <w:t>），拟以</w:t>
      </w:r>
      <w:r>
        <w:rPr>
          <w:spacing w:val="-46"/>
          <w:w w:val="100"/>
        </w:rPr>
        <w:t> </w:t>
      </w:r>
      <w:r>
        <w:rPr>
          <w:rFonts w:ascii="Times New Roman" w:hAnsi="Times New Roman" w:cs="Times New Roman" w:eastAsia="Times New Roman" w:hint="default"/>
        </w:rPr>
        <w:t>693,333.00</w:t>
      </w:r>
      <w:r>
        <w:rPr>
          <w:rFonts w:ascii="Times New Roman" w:hAnsi="Times New Roman" w:cs="Times New Roman" w:eastAsia="Times New Roman" w:hint="default"/>
          <w:spacing w:val="-1"/>
        </w:rPr>
        <w:t> </w:t>
      </w:r>
      <w:r>
        <w:rPr>
          <w:spacing w:val="-1"/>
        </w:rPr>
        <w:t>元认缴公司</w:t>
      </w:r>
      <w:r>
        <w:rPr>
          <w:spacing w:val="-46"/>
        </w:rPr>
        <w:t> </w:t>
      </w:r>
      <w:r>
        <w:rPr>
          <w:rFonts w:ascii="Times New Roman" w:hAnsi="Times New Roman" w:cs="Times New Roman" w:eastAsia="Times New Roman" w:hint="default"/>
        </w:rPr>
        <w:t>20%</w:t>
      </w:r>
      <w:r>
        <w:rPr/>
        <w:t>的股权。根据上述协议，威富通于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2 </w:t>
      </w:r>
      <w:r>
        <w:rPr/>
        <w:t>月向十方网络支付投资款</w:t>
      </w:r>
      <w:r>
        <w:rPr>
          <w:spacing w:val="-46"/>
        </w:rPr>
        <w:t> </w:t>
      </w:r>
      <w:r>
        <w:rPr>
          <w:rFonts w:ascii="Times New Roman" w:hAnsi="Times New Roman" w:cs="Times New Roman" w:eastAsia="Times New Roman" w:hint="default"/>
        </w:rPr>
        <w:t>693,333.00</w:t>
      </w:r>
    </w:p>
    <w:p>
      <w:pPr>
        <w:pStyle w:val="BodyText"/>
        <w:spacing w:line="240" w:lineRule="auto" w:before="14"/>
        <w:ind w:right="0"/>
        <w:jc w:val="both"/>
      </w:pPr>
      <w:r>
        <w:rPr/>
        <w:t>元，十方网络于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月完成工商登记。</w:t>
      </w:r>
    </w:p>
    <w:p>
      <w:pPr>
        <w:pStyle w:val="BodyText"/>
        <w:spacing w:line="240" w:lineRule="auto" w:before="102"/>
        <w:ind w:right="0"/>
        <w:jc w:val="both"/>
      </w:pPr>
      <w:r>
        <w:rPr/>
        <w:t>注</w:t>
      </w:r>
      <w:r>
        <w:rPr>
          <w:spacing w:val="-46"/>
        </w:rPr>
        <w:t>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月，威富通与朱本强、李林及深圳市噼啪科技有限公司共同签署发起协议，成立深圳市世明科技有限公司</w:t>
      </w:r>
    </w:p>
    <w:p>
      <w:pPr>
        <w:pStyle w:val="BodyText"/>
        <w:spacing w:line="300" w:lineRule="auto" w:before="63"/>
        <w:ind w:right="1123"/>
        <w:jc w:val="left"/>
        <w:rPr>
          <w:rFonts w:ascii="Times New Roman" w:hAnsi="Times New Roman" w:cs="Times New Roman" w:eastAsia="Times New Roman" w:hint="default"/>
        </w:rPr>
      </w:pPr>
      <w:r>
        <w:rPr>
          <w:spacing w:val="-6"/>
          <w:w w:val="100"/>
        </w:rPr>
        <w:t>（以下简称</w:t>
      </w:r>
      <w:r>
        <w:rPr>
          <w:rFonts w:ascii="Times New Roman" w:hAnsi="Times New Roman" w:cs="Times New Roman" w:eastAsia="Times New Roman" w:hint="default"/>
          <w:spacing w:val="-6"/>
          <w:w w:val="100"/>
        </w:rPr>
        <w:t>“</w:t>
      </w:r>
      <w:r>
        <w:rPr>
          <w:spacing w:val="-6"/>
          <w:w w:val="100"/>
        </w:rPr>
        <w:t>世明科技</w:t>
      </w:r>
      <w:r>
        <w:rPr>
          <w:rFonts w:ascii="Times New Roman" w:hAnsi="Times New Roman" w:cs="Times New Roman" w:eastAsia="Times New Roman" w:hint="default"/>
          <w:spacing w:val="-6"/>
          <w:w w:val="100"/>
        </w:rPr>
        <w:t>”</w:t>
      </w:r>
      <w:r>
        <w:rPr>
          <w:spacing w:val="-6"/>
          <w:w w:val="100"/>
        </w:rPr>
        <w:t>），威富通认缴</w:t>
      </w:r>
      <w:r>
        <w:rPr>
          <w:spacing w:val="-43"/>
          <w:w w:val="100"/>
        </w:rPr>
        <w:t> </w:t>
      </w:r>
      <w:r>
        <w:rPr>
          <w:rFonts w:ascii="Times New Roman" w:hAnsi="Times New Roman" w:cs="Times New Roman" w:eastAsia="Times New Roman" w:hint="default"/>
        </w:rPr>
        <w:t>250</w:t>
      </w:r>
      <w:r>
        <w:rPr>
          <w:rFonts w:ascii="Times New Roman" w:hAnsi="Times New Roman" w:cs="Times New Roman" w:eastAsia="Times New Roman" w:hint="default"/>
          <w:spacing w:val="3"/>
        </w:rPr>
        <w:t> </w:t>
      </w:r>
      <w:r>
        <w:rPr>
          <w:spacing w:val="-1"/>
        </w:rPr>
        <w:t>万元，持有世明科技</w:t>
      </w:r>
      <w:r>
        <w:rPr>
          <w:spacing w:val="-43"/>
        </w:rPr>
        <w:t> </w:t>
      </w:r>
      <w:r>
        <w:rPr>
          <w:rFonts w:ascii="Times New Roman" w:hAnsi="Times New Roman" w:cs="Times New Roman" w:eastAsia="Times New Roman" w:hint="default"/>
          <w:spacing w:val="-1"/>
        </w:rPr>
        <w:t>25%</w:t>
      </w:r>
      <w:r>
        <w:rPr>
          <w:spacing w:val="-1"/>
        </w:rPr>
        <w:t>的股权。</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2"/>
        </w:rPr>
        <w:t> </w:t>
      </w:r>
      <w:r>
        <w:rPr/>
        <w:t>年</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1"/>
        </w:rPr>
        <w:t>月，威富通与世明科技、朱本强及李</w:t>
      </w:r>
      <w:r>
        <w:rPr/>
        <w:t> 林签署投资协议，对世明科技增资</w:t>
      </w:r>
      <w:r>
        <w:rPr>
          <w:spacing w:val="-46"/>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万元作为投资溢价计入世明科技资本公积。根据上述协议约定，威富通于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w:t>
      </w:r>
    </w:p>
    <w:p>
      <w:pPr>
        <w:pStyle w:val="BodyText"/>
        <w:spacing w:line="240" w:lineRule="auto" w:before="14"/>
        <w:ind w:left="1134" w:right="0"/>
        <w:jc w:val="both"/>
      </w:pPr>
      <w:r>
        <w:rPr/>
        <w:t>月向世明科技支付投资款</w:t>
      </w:r>
      <w:r>
        <w:rPr>
          <w:spacing w:val="-46"/>
        </w:rPr>
        <w:t> </w:t>
      </w:r>
      <w:r>
        <w:rPr>
          <w:rFonts w:ascii="Times New Roman" w:hAnsi="Times New Roman" w:cs="Times New Roman" w:eastAsia="Times New Roman" w:hint="default"/>
        </w:rPr>
        <w:t>300</w:t>
      </w:r>
      <w:r>
        <w:rPr>
          <w:rFonts w:ascii="Times New Roman" w:hAnsi="Times New Roman" w:cs="Times New Roman" w:eastAsia="Times New Roman" w:hint="default"/>
          <w:spacing w:val="-1"/>
        </w:rPr>
        <w:t> </w:t>
      </w:r>
      <w:r>
        <w:rPr/>
        <w:t>万元，世明科技于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 </w:t>
      </w:r>
      <w:r>
        <w:rPr/>
        <w:t>月就上述事项完成工商变更。</w:t>
      </w:r>
    </w:p>
    <w:p>
      <w:pPr>
        <w:pStyle w:val="BodyText"/>
        <w:spacing w:line="300" w:lineRule="auto" w:before="101"/>
        <w:ind w:left="1134" w:right="1126"/>
        <w:jc w:val="left"/>
        <w:rPr>
          <w:rFonts w:ascii="Times New Roman" w:hAnsi="Times New Roman" w:cs="Times New Roman" w:eastAsia="Times New Roman" w:hint="default"/>
        </w:rPr>
      </w:pPr>
      <w:r>
        <w:rPr/>
        <w:t>注</w:t>
      </w:r>
      <w:r>
        <w:rPr>
          <w:spacing w:val="-46"/>
        </w:rPr>
        <w:t> </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月，威富通与鲜丹、王彤、罗耀良、田阳文及袁银强共同签订发起协议，成立深圳市汇商盈实业中心（有 </w:t>
      </w:r>
      <w:r>
        <w:rPr>
          <w:spacing w:val="-9"/>
          <w:w w:val="100"/>
        </w:rPr>
        <w:t>限合伙）（以下简称</w:t>
      </w:r>
      <w:r>
        <w:rPr>
          <w:rFonts w:ascii="Times New Roman" w:hAnsi="Times New Roman" w:cs="Times New Roman" w:eastAsia="Times New Roman" w:hint="default"/>
          <w:spacing w:val="-9"/>
          <w:w w:val="100"/>
        </w:rPr>
        <w:t>“</w:t>
      </w:r>
      <w:r>
        <w:rPr>
          <w:spacing w:val="-9"/>
          <w:w w:val="100"/>
        </w:rPr>
        <w:t>汇商盈</w:t>
      </w:r>
      <w:r>
        <w:rPr>
          <w:rFonts w:ascii="Times New Roman" w:hAnsi="Times New Roman" w:cs="Times New Roman" w:eastAsia="Times New Roman" w:hint="default"/>
          <w:spacing w:val="-9"/>
          <w:w w:val="100"/>
        </w:rPr>
        <w:t>”</w:t>
      </w:r>
      <w:r>
        <w:rPr>
          <w:spacing w:val="-9"/>
          <w:w w:val="100"/>
        </w:rPr>
        <w:t>），威富通认缴</w:t>
      </w:r>
      <w:r>
        <w:rPr>
          <w:spacing w:val="-45"/>
          <w:w w:val="100"/>
        </w:rPr>
        <w:t> </w:t>
      </w:r>
      <w:r>
        <w:rPr>
          <w:rFonts w:ascii="Times New Roman" w:hAnsi="Times New Roman" w:cs="Times New Roman" w:eastAsia="Times New Roman" w:hint="default"/>
          <w:spacing w:val="-1"/>
        </w:rPr>
        <w:t>112.50</w:t>
      </w:r>
      <w:r>
        <w:rPr>
          <w:rFonts w:ascii="Times New Roman" w:hAnsi="Times New Roman" w:cs="Times New Roman" w:eastAsia="Times New Roman" w:hint="default"/>
        </w:rPr>
        <w:t> </w:t>
      </w:r>
      <w:r>
        <w:rPr/>
        <w:t>万元，持有汇商盈</w:t>
      </w:r>
      <w:r>
        <w:rPr>
          <w:spacing w:val="-45"/>
        </w:rPr>
        <w:t> </w:t>
      </w:r>
      <w:r>
        <w:rPr>
          <w:rFonts w:ascii="Times New Roman" w:hAnsi="Times New Roman" w:cs="Times New Roman" w:eastAsia="Times New Roman" w:hint="default"/>
        </w:rPr>
        <w:t>25%</w:t>
      </w:r>
      <w:r>
        <w:rPr/>
        <w:t>的股权。根据该协议约定，威富通于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p>
    <w:p>
      <w:pPr>
        <w:pStyle w:val="BodyText"/>
        <w:spacing w:line="240" w:lineRule="auto" w:before="14"/>
        <w:ind w:left="1134" w:right="0"/>
        <w:jc w:val="both"/>
      </w:pPr>
      <w:r>
        <w:rPr/>
        <w:t>月向汇商盈支付投资款</w:t>
      </w:r>
      <w:r>
        <w:rPr>
          <w:spacing w:val="-48"/>
        </w:rPr>
        <w:t> </w:t>
      </w:r>
      <w:r>
        <w:rPr>
          <w:rFonts w:ascii="Times New Roman" w:hAnsi="Times New Roman" w:cs="Times New Roman" w:eastAsia="Times New Roman" w:hint="default"/>
        </w:rPr>
        <w:t>112.50</w:t>
      </w:r>
      <w:r>
        <w:rPr>
          <w:rFonts w:ascii="Times New Roman" w:hAnsi="Times New Roman" w:cs="Times New Roman" w:eastAsia="Times New Roman" w:hint="default"/>
          <w:spacing w:val="-3"/>
        </w:rPr>
        <w:t> </w:t>
      </w:r>
      <w:r>
        <w:rPr/>
        <w:t>万元，汇商盈于</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月完成工商登记。</w:t>
      </w:r>
    </w:p>
    <w:p>
      <w:pPr>
        <w:spacing w:after="0" w:line="240"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1、固定资产" w:id="223"/>
      <w:bookmarkEnd w:id="223"/>
      <w:r>
        <w:rPr>
          <w:b w:val="0"/>
          <w:bCs w:val="0"/>
        </w:rPr>
      </w:r>
      <w:r>
        <w:rPr>
          <w:rFonts w:ascii="Times New Roman" w:hAnsi="Times New Roman" w:cs="Times New Roman" w:eastAsia="Times New Roman" w:hint="default"/>
        </w:rPr>
        <w:t>11</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固定资产情况" w:id="224"/>
      <w:bookmarkEnd w:id="224"/>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1"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2"/>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897,330,883.57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1,522,623,167.30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17,052,716.82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31,674,095.46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2,468,680,863.15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14,784,235.99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456,630,190.99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7,764,385.02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11,747,150.65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490,925,962.65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9,562,940.45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5,126,375.83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7,479,035.70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22,168,351.98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10,579,832.99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447,067,250.54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457,647,083.53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4,204,403.00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2,638,009.19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4,268,114.95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11,110,527.14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6,416,141.21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1,595,784.86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162,393.16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8,174,319.23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6,416,141.21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1,595,784.86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162,393.16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8,174,319.23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912,115,119.56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1,972,837,217.08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23,221,316.98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43,258,852.95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2,951,432,506.57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120,739,101.52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316,396,079.26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8,694,084.80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14,863,984.55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460,693,250.13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42,360,117.25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151,404,827.94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2,731,021.84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5,812,062.26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202,308,029.29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42,301,872.98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151,404,827.94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2,594,958.79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4,803,278.80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201,104,938.51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58,244.27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136,063.05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1,008,783.46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1,203,090.78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2,308,711.50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1,515,995.61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116,744.81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3,941,451.92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2,308,711.50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1,515,995.61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116,744.81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3,941,451.92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163,099,218.77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465,492,195.70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9,909,111.03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20,559,302.00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659,059,827.50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749,015,900.79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1,507,345,021.38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13,312,205.95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22,699,550.95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2,292,372,679.07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776,591,782.05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1,206,227,088.04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8,358,632.02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16,810,110.91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2,007,987,613.02</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未办妥产权证书的固定资产情况" w:id="225"/>
      <w:bookmarkEnd w:id="225"/>
      <w:r>
        <w:rPr>
          <w:b w:val="0"/>
          <w:bCs w:val="0"/>
        </w:rPr>
      </w: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江苏超纤厂房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427,707,657.75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新建房屋，目前正在办理中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江苏化学宿舍楼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94,715,313.65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新建房屋，目前正在办理中</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2、在建工程" w:id="226"/>
      <w:bookmarkEnd w:id="226"/>
      <w:r>
        <w:rPr>
          <w:b w:val="0"/>
          <w:bCs w:val="0"/>
        </w:rPr>
      </w:r>
      <w:r>
        <w:rPr>
          <w:rFonts w:ascii="Times New Roman" w:hAnsi="Times New Roman" w:cs="Times New Roman" w:eastAsia="Times New Roman" w:hint="default"/>
        </w:rPr>
        <w:t>12</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在建工程情况" w:id="227"/>
      <w:bookmarkEnd w:id="227"/>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安装工程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120,265,497.79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120,265,497.79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191,320,263.79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191,320,263.79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建筑工程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137,830,798.75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137,830,798.75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66,610,379.02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66,610,379.02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258,096,296.54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258,096,296.54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257,930,642.81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257,930,642.81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重要在建工程项目本期变动情况" w:id="228"/>
      <w:bookmarkEnd w:id="228"/>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安装工 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191,320,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263.79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393,577,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785.50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447,067,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250.54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137,830,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798.75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建筑工 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66,610,3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79.02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64,234,9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51.76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10,579,8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32.99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120,265,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497.79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17,017,2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48.85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13,184,0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77.53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257,930,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457,812,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457,647,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258,096,</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17,017,2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13,184,0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01"/>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6"/>
        <w:gridCol w:w="737"/>
        <w:gridCol w:w="736"/>
        <w:gridCol w:w="737"/>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 w:right="0"/>
              <w:jc w:val="left"/>
              <w:rPr>
                <w:rFonts w:ascii="Times New Roman" w:hAnsi="Times New Roman" w:cs="Times New Roman" w:eastAsia="Times New Roman" w:hint="default"/>
                <w:sz w:val="18"/>
                <w:szCs w:val="18"/>
              </w:rPr>
            </w:pPr>
            <w:r>
              <w:rPr>
                <w:rFonts w:ascii="Times New Roman"/>
                <w:sz w:val="18"/>
              </w:rPr>
              <w:t>642.81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8" w:right="0"/>
              <w:jc w:val="left"/>
              <w:rPr>
                <w:rFonts w:ascii="Times New Roman" w:hAnsi="Times New Roman" w:cs="Times New Roman" w:eastAsia="Times New Roman" w:hint="default"/>
                <w:sz w:val="18"/>
                <w:szCs w:val="18"/>
              </w:rPr>
            </w:pPr>
            <w:r>
              <w:rPr>
                <w:rFonts w:ascii="Times New Roman"/>
                <w:sz w:val="18"/>
              </w:rPr>
              <w:t>737.26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8" w:right="0"/>
              <w:jc w:val="left"/>
              <w:rPr>
                <w:rFonts w:ascii="Times New Roman" w:hAnsi="Times New Roman" w:cs="Times New Roman" w:eastAsia="Times New Roman" w:hint="default"/>
                <w:sz w:val="18"/>
                <w:szCs w:val="18"/>
              </w:rPr>
            </w:pPr>
            <w:r>
              <w:rPr>
                <w:rFonts w:ascii="Times New Roman"/>
                <w:sz w:val="18"/>
              </w:rPr>
              <w:t>083.53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8" w:right="0"/>
              <w:jc w:val="left"/>
              <w:rPr>
                <w:rFonts w:ascii="Times New Roman" w:hAnsi="Times New Roman" w:cs="Times New Roman" w:eastAsia="Times New Roman" w:hint="default"/>
                <w:sz w:val="18"/>
                <w:szCs w:val="18"/>
              </w:rPr>
            </w:pPr>
            <w:r>
              <w:rPr>
                <w:rFonts w:ascii="Times New Roman"/>
                <w:sz w:val="18"/>
              </w:rPr>
              <w:t>296.54</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9" w:right="0"/>
              <w:jc w:val="left"/>
              <w:rPr>
                <w:rFonts w:ascii="Times New Roman" w:hAnsi="Times New Roman" w:cs="Times New Roman" w:eastAsia="Times New Roman" w:hint="default"/>
                <w:sz w:val="18"/>
                <w:szCs w:val="18"/>
              </w:rPr>
            </w:pPr>
            <w:r>
              <w:rPr>
                <w:rFonts w:ascii="Times New Roman"/>
                <w:sz w:val="18"/>
              </w:rPr>
              <w:t>48.85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Times New Roman" w:hAnsi="Times New Roman" w:cs="Times New Roman" w:eastAsia="Times New Roman" w:hint="default"/>
                <w:sz w:val="18"/>
                <w:szCs w:val="18"/>
              </w:rPr>
            </w:pPr>
            <w:r>
              <w:rPr>
                <w:rFonts w:ascii="Times New Roman"/>
                <w:sz w:val="18"/>
              </w:rPr>
              <w:t>77.53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3、工程物资" w:id="229"/>
      <w:bookmarkEnd w:id="229"/>
      <w:r>
        <w:rPr>
          <w:b w:val="0"/>
          <w:bCs w:val="0"/>
        </w:rPr>
      </w:r>
      <w:r>
        <w:rPr>
          <w:rFonts w:ascii="Times New Roman" w:hAnsi="Times New Roman" w:cs="Times New Roman" w:eastAsia="Times New Roman" w:hint="default"/>
        </w:rPr>
        <w:t>13</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专用材料</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33,872,141.00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19,424,919.28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33,872,141.00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19,424,919.28</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4、无形资产" w:id="230"/>
      <w:bookmarkEnd w:id="230"/>
      <w:r>
        <w:rPr>
          <w:b w:val="0"/>
          <w:bCs w:val="0"/>
        </w:rPr>
      </w:r>
      <w:r>
        <w:rPr>
          <w:rFonts w:ascii="Times New Roman" w:hAnsi="Times New Roman" w:cs="Times New Roman" w:eastAsia="Times New Roman" w:hint="default"/>
        </w:rPr>
        <w:t>14</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无形资产情况" w:id="231"/>
      <w:bookmarkEnd w:id="231"/>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52"/>
              <w:ind w:left="310"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08"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335,499,167.66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621,791.49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24,546.00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128,223.45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338,003,728.60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2,730,830.00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315,418.93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3,046,248.93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2,730,830.00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315,418.93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3,046,248.93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338,229,997.66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621,791.49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24,546.00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443,642.38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341,049,977.53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21,758,731.03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225,354.81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154,749.93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19,246.00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94,901.47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22,252,983.24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7,246,794.58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50,284.51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93,916.74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12,107.92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7,404,203.75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7,246,794.58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50,284.51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93,916.74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12,107.92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7,404,203.75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29,005,525.61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275,639.32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248,666.67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20,346.00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107,009.39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29,657,186.99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309,224,472.05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346,152.17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1,481,333.33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336,632.99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311,392,790.54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313,740,436.63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396,436.68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1,575,250.07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33,321.98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315,750,745.36</w:t>
            </w:r>
          </w:p>
        </w:tc>
      </w:tr>
    </w:tbl>
    <w:p>
      <w:pPr>
        <w:pStyle w:val="BodyText"/>
        <w:spacing w:line="240" w:lineRule="auto" w:before="51"/>
        <w:ind w:left="1134"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未办妥产权证书的土地使用权情况" w:id="232"/>
      <w:bookmarkEnd w:id="232"/>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121,176,438.53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尚在办理中</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5、商誉" w:id="233"/>
      <w:bookmarkEnd w:id="233"/>
      <w:r>
        <w:rPr>
          <w:b w:val="0"/>
          <w:bCs w:val="0"/>
        </w:rPr>
      </w:r>
      <w:r>
        <w:rPr>
          <w:rFonts w:ascii="Times New Roman" w:hAnsi="Times New Roman" w:cs="Times New Roman" w:eastAsia="Times New Roman" w:hint="default"/>
        </w:rPr>
        <w:t>15</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商誉账面原值" w:id="234"/>
      <w:bookmarkEnd w:id="234"/>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67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left"/>
              <w:rPr>
                <w:rFonts w:ascii="宋体" w:hAnsi="宋体" w:cs="宋体" w:eastAsia="宋体" w:hint="default"/>
                <w:sz w:val="18"/>
                <w:szCs w:val="18"/>
              </w:rPr>
            </w:pPr>
            <w:r>
              <w:rPr>
                <w:rFonts w:ascii="宋体" w:hAnsi="宋体" w:cs="宋体" w:eastAsia="宋体" w:hint="default"/>
                <w:sz w:val="18"/>
                <w:szCs w:val="18"/>
              </w:rPr>
              <w:t>被投资单位名称 或形成商誉的事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威富通</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1,733,150,150.68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1,733,150,150.68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1,733,150,150.68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1,733,150,150.68</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商誉减值准备" w:id="235"/>
      <w:bookmarkEnd w:id="235"/>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134" w:right="0"/>
        <w:jc w:val="both"/>
      </w:pPr>
      <w:r>
        <w:rPr/>
        <w:t>说明商誉减值测试过程、参数及商誉减值损失的确认方法：</w:t>
      </w:r>
    </w:p>
    <w:p>
      <w:pPr>
        <w:pStyle w:val="BodyText"/>
        <w:spacing w:line="240" w:lineRule="auto" w:before="115"/>
        <w:ind w:left="1134" w:right="0"/>
        <w:jc w:val="both"/>
      </w:pPr>
      <w:r>
        <w:rPr/>
        <w:t>公司商誉为收购威富通形成，收购对价为</w:t>
      </w:r>
      <w:r>
        <w:rPr>
          <w:spacing w:val="-47"/>
        </w:rPr>
        <w:t> </w:t>
      </w:r>
      <w:r>
        <w:rPr>
          <w:rFonts w:ascii="Times New Roman" w:hAnsi="Times New Roman" w:cs="Times New Roman" w:eastAsia="Times New Roman" w:hint="default"/>
        </w:rPr>
        <w:t>2,050,000,000.00</w:t>
      </w:r>
      <w:r>
        <w:rPr>
          <w:rFonts w:ascii="Times New Roman" w:hAnsi="Times New Roman" w:cs="Times New Roman" w:eastAsia="Times New Roman" w:hint="default"/>
          <w:spacing w:val="-2"/>
        </w:rPr>
        <w:t> </w:t>
      </w:r>
      <w:r>
        <w:rPr/>
        <w:t>元，购买日取得的威富通可辨认净资产的公允价值份额为</w:t>
      </w:r>
    </w:p>
    <w:p>
      <w:pPr>
        <w:pStyle w:val="BodyText"/>
        <w:spacing w:line="240" w:lineRule="auto" w:before="64"/>
        <w:ind w:left="1134" w:right="0"/>
        <w:jc w:val="both"/>
      </w:pPr>
      <w:r>
        <w:rPr>
          <w:rFonts w:ascii="Times New Roman" w:hAnsi="Times New Roman" w:cs="Times New Roman" w:eastAsia="Times New Roman" w:hint="default"/>
        </w:rPr>
        <w:t>316,849,849.32</w:t>
      </w:r>
      <w:r>
        <w:rPr>
          <w:rFonts w:ascii="Times New Roman" w:hAnsi="Times New Roman" w:cs="Times New Roman" w:eastAsia="Times New Roman" w:hint="default"/>
          <w:spacing w:val="-1"/>
        </w:rPr>
        <w:t> </w:t>
      </w:r>
      <w:r>
        <w:rPr/>
        <w:t>元，据此确认商誉</w:t>
      </w:r>
      <w:r>
        <w:rPr>
          <w:spacing w:val="-47"/>
        </w:rPr>
        <w:t> </w:t>
      </w:r>
      <w:r>
        <w:rPr>
          <w:rFonts w:ascii="Times New Roman" w:hAnsi="Times New Roman" w:cs="Times New Roman" w:eastAsia="Times New Roman" w:hint="default"/>
        </w:rPr>
        <w:t>1,733,150,150.68</w:t>
      </w:r>
      <w:r>
        <w:rPr>
          <w:rFonts w:ascii="Times New Roman" w:hAnsi="Times New Roman" w:cs="Times New Roman" w:eastAsia="Times New Roman" w:hint="default"/>
          <w:spacing w:val="-1"/>
        </w:rPr>
        <w:t> </w:t>
      </w:r>
      <w:r>
        <w:rPr/>
        <w:t>元。</w:t>
      </w:r>
    </w:p>
    <w:p>
      <w:pPr>
        <w:pStyle w:val="BodyText"/>
        <w:spacing w:line="309" w:lineRule="auto" w:before="102"/>
        <w:ind w:left="1134" w:right="1132"/>
        <w:jc w:val="both"/>
      </w:pPr>
      <w:r>
        <w:rPr>
          <w:spacing w:val="-2"/>
        </w:rPr>
        <w:t>期末对商誉进行减值测试，自购买日起将收购所形成的商誉按资产组的公允价值分摊到资产组；根据管理层批准的五年期的</w:t>
      </w:r>
      <w:r>
        <w:rPr>
          <w:spacing w:val="-64"/>
        </w:rPr>
        <w:t> </w:t>
      </w:r>
      <w:r>
        <w:rPr>
          <w:spacing w:val="-64"/>
        </w:rPr>
      </w:r>
      <w:r>
        <w:rPr/>
        <w:t>财务预算及</w:t>
      </w:r>
      <w:r>
        <w:rPr>
          <w:spacing w:val="-46"/>
        </w:rPr>
        <w:t> </w:t>
      </w:r>
      <w:r>
        <w:rPr>
          <w:rFonts w:ascii="Times New Roman" w:hAnsi="Times New Roman" w:cs="Times New Roman" w:eastAsia="Times New Roman" w:hint="default"/>
        </w:rPr>
        <w:t>13.42%</w:t>
      </w:r>
      <w:r>
        <w:rPr/>
        <w:t>的折现率为基础计算的现金流量来确定资产组的可收回金额，经测试，商誉本期没有发生减值的情形， 故未计提减值准备。</w:t>
      </w:r>
    </w:p>
    <w:p>
      <w:pPr>
        <w:pStyle w:val="BodyText"/>
        <w:spacing w:line="240" w:lineRule="auto" w:before="64"/>
        <w:ind w:left="1134" w:right="0"/>
        <w:jc w:val="both"/>
      </w:pPr>
      <w:r>
        <w:rPr/>
        <w:t>其他说明</w:t>
      </w:r>
    </w:p>
    <w:p>
      <w:pPr>
        <w:spacing w:line="240" w:lineRule="auto" w:before="10"/>
        <w:rPr>
          <w:rFonts w:ascii="宋体" w:hAnsi="宋体" w:cs="宋体" w:eastAsia="宋体" w:hint="default"/>
          <w:sz w:val="26"/>
          <w:szCs w:val="26"/>
        </w:rPr>
      </w:pPr>
    </w:p>
    <w:p>
      <w:pPr>
        <w:pStyle w:val="Heading3"/>
        <w:spacing w:line="240" w:lineRule="auto"/>
        <w:ind w:left="1134" w:right="0"/>
        <w:jc w:val="both"/>
        <w:rPr>
          <w:b w:val="0"/>
          <w:bCs w:val="0"/>
        </w:rPr>
      </w:pPr>
      <w:bookmarkStart w:name="16、长期待摊费用" w:id="236"/>
      <w:bookmarkEnd w:id="236"/>
      <w:r>
        <w:rPr>
          <w:b w:val="0"/>
          <w:bCs w:val="0"/>
        </w:rPr>
      </w:r>
      <w:r>
        <w:rPr>
          <w:rFonts w:ascii="Times New Roman" w:hAnsi="Times New Roman" w:cs="Times New Roman" w:eastAsia="Times New Roman" w:hint="default"/>
        </w:rPr>
        <w:t>16</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信息披露费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6,289.27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6,289.27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绿化费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3,069,200.17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153,460.00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2,915,740.17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威富通装修费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1,698,643.53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462,008.46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1,236,635.07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6,289.27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4,767,843.70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621,757.73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4,152,375.24</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7、递延所得税资产/递延所得税负债" w:id="237"/>
      <w:bookmarkEnd w:id="237"/>
      <w:r>
        <w:rPr>
          <w:b w:val="0"/>
          <w:bCs w:val="0"/>
        </w:rPr>
      </w: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38"/>
      <w:bookmarkEnd w:id="238"/>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29,971,338.14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5,886,666.09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19,160,071.42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3,523,525.40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12,183,141.91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3,045,785.48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46,777,633.15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11,694,408.29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190,687,158.60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47,671,789.65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199,336,594.20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49,834,148.55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3,518,534.90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527,780.24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广告费等以后期间的抵 扣</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158,912.67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39,728.17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236,519,086.22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57,171,749.63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265,274,298.77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65,052,082.24</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未经抵销的递延所得税负债" w:id="239"/>
      <w:bookmarkEnd w:id="239"/>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交易性金融资产公允价 值变动</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1,884,031.00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282,604.65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1,884,031.00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282,604.65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以抵销后净额列示的递延所得税资产或负债" w:id="240"/>
      <w:bookmarkEnd w:id="240"/>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6" w:right="0"/>
              <w:jc w:val="left"/>
              <w:rPr>
                <w:rFonts w:ascii="Times New Roman" w:hAnsi="Times New Roman" w:cs="Times New Roman" w:eastAsia="Times New Roman" w:hint="default"/>
                <w:sz w:val="18"/>
                <w:szCs w:val="18"/>
              </w:rPr>
            </w:pPr>
            <w:r>
              <w:rPr>
                <w:rFonts w:ascii="Times New Roman"/>
                <w:sz w:val="18"/>
              </w:rPr>
              <w:t>57,171,749.63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65,052,082.24</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282,604.65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8、其他非流动资产" w:id="241"/>
      <w:bookmarkEnd w:id="241"/>
      <w:r>
        <w:rPr>
          <w:b w:val="0"/>
          <w:bCs w:val="0"/>
        </w:rPr>
      </w:r>
      <w:r>
        <w:rPr>
          <w:rFonts w:ascii="Times New Roman" w:hAnsi="Times New Roman" w:cs="Times New Roman" w:eastAsia="Times New Roman" w:hint="default"/>
        </w:rPr>
        <w:t>18</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预付工程设备款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171,717,771.24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63,764,832.33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171,717,771.24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63,764,832.33</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9、短期借款" w:id="242"/>
      <w:bookmarkEnd w:id="242"/>
      <w:r>
        <w:rPr>
          <w:b w:val="0"/>
          <w:bCs w:val="0"/>
        </w:rPr>
      </w:r>
      <w:r>
        <w:rPr>
          <w:rFonts w:ascii="Times New Roman" w:hAnsi="Times New Roman" w:cs="Times New Roman" w:eastAsia="Times New Roman" w:hint="default"/>
        </w:rPr>
        <w:t>19</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短期借款分类" w:id="243"/>
      <w:bookmarkEnd w:id="243"/>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62,086,000.00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135,020,500.00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602,086,000.00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296,020,500.00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短期借款分类的说明：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0、以公允价值计量且其变动计入当期损益的金融负债" w:id="244"/>
      <w:bookmarkEnd w:id="244"/>
      <w:r>
        <w:rPr>
          <w:b w:val="0"/>
          <w:bCs w:val="0"/>
        </w:rPr>
      </w:r>
      <w:r>
        <w:rPr>
          <w:rFonts w:ascii="Times New Roman" w:hAnsi="Times New Roman" w:cs="Times New Roman" w:eastAsia="Times New Roman" w:hint="default"/>
        </w:rPr>
        <w:t>20</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1"/>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 期损益的金融负债</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3,518,534.90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3,518,534.90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1、应付票据" w:id="245"/>
      <w:bookmarkEnd w:id="245"/>
      <w:r>
        <w:rPr>
          <w:b w:val="0"/>
          <w:bCs w:val="0"/>
        </w:rPr>
      </w:r>
      <w:r>
        <w:rPr>
          <w:rFonts w:ascii="Times New Roman" w:hAnsi="Times New Roman" w:cs="Times New Roman" w:eastAsia="Times New Roman" w:hint="default"/>
        </w:rPr>
        <w:t>21</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51,820,157.28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31,571,647.07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51,820,157.28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31,571,647.07</w:t>
            </w:r>
          </w:p>
        </w:tc>
      </w:tr>
    </w:tbl>
    <w:p>
      <w:pPr>
        <w:pStyle w:val="BodyText"/>
        <w:spacing w:line="240" w:lineRule="auto" w:before="51"/>
        <w:ind w:left="1134"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134" w:right="0"/>
        <w:jc w:val="left"/>
        <w:rPr>
          <w:b w:val="0"/>
          <w:bCs w:val="0"/>
        </w:rPr>
      </w:pPr>
      <w:bookmarkStart w:name="22、应付账款" w:id="246"/>
      <w:bookmarkEnd w:id="246"/>
      <w:r>
        <w:rPr>
          <w:b w:val="0"/>
          <w:bCs w:val="0"/>
        </w:rPr>
      </w:r>
      <w:r>
        <w:rPr>
          <w:rFonts w:ascii="Times New Roman" w:hAnsi="Times New Roman" w:cs="Times New Roman" w:eastAsia="Times New Roman" w:hint="default"/>
        </w:rPr>
        <w:t>22</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付账款列示" w:id="247"/>
      <w:bookmarkEnd w:id="247"/>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381,072,693.47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414,526,136.67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15,039,522.50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7,099,181.78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844,904.61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1,005,340.24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976,553.25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342,362.51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397,933,673.83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422,973,021.20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3、预收款项" w:id="248"/>
      <w:bookmarkEnd w:id="248"/>
      <w:r>
        <w:rPr>
          <w:b w:val="0"/>
          <w:bCs w:val="0"/>
        </w:rPr>
      </w:r>
      <w:r>
        <w:rPr>
          <w:rFonts w:ascii="Times New Roman" w:hAnsi="Times New Roman" w:cs="Times New Roman" w:eastAsia="Times New Roman" w:hint="default"/>
        </w:rPr>
        <w:t>23</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预收款项列示" w:id="249"/>
      <w:bookmarkEnd w:id="249"/>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42,673,578.32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29,471,347.84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1,536,631.63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540,310.07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452,703.72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75,824.49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61,275.58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7,078.50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44,724,189.25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30,094,560.90</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4、应付职工薪酬" w:id="250"/>
      <w:bookmarkEnd w:id="250"/>
      <w:r>
        <w:rPr>
          <w:b w:val="0"/>
          <w:bCs w:val="0"/>
        </w:rPr>
      </w:r>
      <w:r>
        <w:rPr>
          <w:rFonts w:ascii="Times New Roman" w:hAnsi="Times New Roman" w:cs="Times New Roman" w:eastAsia="Times New Roman" w:hint="default"/>
        </w:rPr>
        <w:t>24</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付职工薪酬列示" w:id="251"/>
      <w:bookmarkEnd w:id="251"/>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32,222,223.47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277,406,706.28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247,613,482.35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62,015,447.40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530.87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18,746,355.21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18,722,083.94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24,802.14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32,222,754.34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296,153,061.49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266,335,566.29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62,040,249.54</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短期薪酬列示" w:id="252"/>
      <w:bookmarkEnd w:id="252"/>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32,221,974.03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246,003,064.56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216,260,481.15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61,964,557.44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11,787,376.69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11,758,776.69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28,600.00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10,306,680.08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10,296,067.56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10,861.96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7,298,074.37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7,286,646.37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11,428.00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2,011,510.58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2,011,510.58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32,222,223.47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277,406,706.28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247,613,482.35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62,015,447.40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设定提存计划列示" w:id="253"/>
      <w:bookmarkEnd w:id="253"/>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503.97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18,252,461.20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18,229,018.37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23,946.80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493,894.01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493,065.57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855.34</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530.87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18,746,355.21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18,722,083.94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24,802.14</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5、应交税费" w:id="254"/>
      <w:bookmarkEnd w:id="254"/>
      <w:r>
        <w:rPr>
          <w:b w:val="0"/>
          <w:bCs w:val="0"/>
        </w:rPr>
      </w:r>
      <w:r>
        <w:rPr>
          <w:rFonts w:ascii="Times New Roman" w:hAnsi="Times New Roman" w:cs="Times New Roman" w:eastAsia="Times New Roman" w:hint="default"/>
        </w:rPr>
        <w:t>25</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2,965,130.04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5,389,535.06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5,465,225.53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8,892,840.20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1,139,089.72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706,909.10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134,395.94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53,319.89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201,623.23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266,599.45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959,844.99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887,256.98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1,027,958.42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1,310,655.18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30,248.61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53,319.89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264,079.10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12,187,595.58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17,560,435.75</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6、应付利息" w:id="255"/>
      <w:bookmarkEnd w:id="255"/>
      <w:r>
        <w:rPr>
          <w:b w:val="0"/>
          <w:bCs w:val="0"/>
        </w:rPr>
      </w:r>
      <w:r>
        <w:rPr>
          <w:rFonts w:ascii="Times New Roman" w:hAnsi="Times New Roman" w:cs="Times New Roman" w:eastAsia="Times New Roman" w:hint="default"/>
        </w:rPr>
        <w:t>26</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1,579,109.07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563,282.85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关联方借款利息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1,448,791.67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3,027,900.74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563,282.85</w:t>
            </w:r>
          </w:p>
        </w:tc>
      </w:tr>
    </w:tbl>
    <w:p>
      <w:pPr>
        <w:pStyle w:val="BodyText"/>
        <w:spacing w:line="240" w:lineRule="auto" w:before="51"/>
        <w:ind w:left="1134" w:right="0"/>
        <w:jc w:val="left"/>
      </w:pPr>
      <w:r>
        <w:rPr/>
        <w:t>重要的已逾期未支付的利息情况：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7、其他应付款" w:id="256"/>
      <w:bookmarkEnd w:id="256"/>
      <w:r>
        <w:rPr>
          <w:b w:val="0"/>
          <w:bCs w:val="0"/>
        </w:rPr>
      </w:r>
      <w:r>
        <w:rPr>
          <w:rFonts w:ascii="Times New Roman" w:hAnsi="Times New Roman" w:cs="Times New Roman" w:eastAsia="Times New Roman" w:hint="default"/>
        </w:rPr>
        <w:t>27</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按款项性质列示其他应付款" w:id="257"/>
      <w:bookmarkEnd w:id="257"/>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93,344.17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15,762,386.34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16,262,212.73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待退分润款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8,198,286.81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3,224,755.41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1,045,126.23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97,278,772.73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17,307,338.96</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8、长期借款" w:id="258"/>
      <w:bookmarkEnd w:id="258"/>
      <w:r>
        <w:rPr>
          <w:b w:val="0"/>
          <w:bCs w:val="0"/>
        </w:rPr>
      </w:r>
      <w:r>
        <w:rPr>
          <w:rFonts w:ascii="Times New Roman" w:hAnsi="Times New Roman" w:cs="Times New Roman" w:eastAsia="Times New Roman" w:hint="default"/>
        </w:rPr>
        <w:t>28</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长期借款分类" w:id="259"/>
      <w:bookmarkEnd w:id="259"/>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268,325,000.00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142,625,000.00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268,325,000.00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142,625,000.00</w:t>
            </w:r>
          </w:p>
        </w:tc>
      </w:tr>
    </w:tbl>
    <w:p>
      <w:pPr>
        <w:pStyle w:val="BodyText"/>
        <w:spacing w:line="360" w:lineRule="auto" w:before="51"/>
        <w:ind w:left="1134" w:right="8592"/>
        <w:jc w:val="left"/>
      </w:pPr>
      <w:r>
        <w:rPr/>
        <w:t>长期借款分类的说明： 其他说明，包括利率区间：</w:t>
      </w:r>
    </w:p>
    <w:p>
      <w:pPr>
        <w:spacing w:line="240" w:lineRule="auto" w:before="11"/>
        <w:rPr>
          <w:rFonts w:ascii="宋体" w:hAnsi="宋体" w:cs="宋体" w:eastAsia="宋体" w:hint="default"/>
          <w:sz w:val="19"/>
          <w:szCs w:val="19"/>
        </w:rPr>
      </w:pPr>
    </w:p>
    <w:p>
      <w:pPr>
        <w:pStyle w:val="Heading3"/>
        <w:spacing w:line="240" w:lineRule="auto"/>
        <w:ind w:left="1134" w:right="0"/>
        <w:jc w:val="left"/>
        <w:rPr>
          <w:b w:val="0"/>
          <w:bCs w:val="0"/>
        </w:rPr>
      </w:pPr>
      <w:bookmarkStart w:name="29、专项应付款" w:id="260"/>
      <w:bookmarkEnd w:id="260"/>
      <w:r>
        <w:rPr>
          <w:b w:val="0"/>
          <w:bCs w:val="0"/>
        </w:rPr>
      </w:r>
      <w:r>
        <w:rPr>
          <w:rFonts w:ascii="Times New Roman" w:hAnsi="Times New Roman" w:cs="Times New Roman" w:eastAsia="Times New Roman" w:hint="default"/>
        </w:rPr>
        <w:t>29</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员工住房补贴</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pStyle w:val="BodyText"/>
        <w:spacing w:line="240" w:lineRule="auto" w:before="115"/>
        <w:ind w:right="0"/>
        <w:jc w:val="left"/>
      </w:pPr>
      <w:r>
        <w:rPr/>
        <w:t>根据南山区人才和保障房分配管理领导小组办公室</w:t>
      </w:r>
      <w:r>
        <w:rPr>
          <w:spacing w:val="-41"/>
        </w:rPr>
        <w:t>的</w:t>
      </w:r>
      <w:r>
        <w:rPr/>
        <w:t>《关于南山区</w:t>
      </w:r>
      <w:r>
        <w:rPr>
          <w:spacing w:val="-45"/>
        </w:rPr>
        <w:t> </w:t>
      </w:r>
      <w:r>
        <w:rPr>
          <w:rFonts w:ascii="Times New Roman" w:hAnsi="Times New Roman" w:cs="Times New Roman" w:eastAsia="Times New Roman" w:hint="default"/>
        </w:rPr>
        <w:t>2017 </w:t>
      </w:r>
      <w:r>
        <w:rPr/>
        <w:t>年度人才安居住房补租的补充通告</w:t>
      </w:r>
      <w:r>
        <w:rPr>
          <w:spacing w:val="-90"/>
        </w:rPr>
        <w:t>》</w:t>
      </w:r>
      <w:r>
        <w:rPr>
          <w:spacing w:val="-41"/>
        </w:rPr>
        <w:t>，</w:t>
      </w:r>
      <w:r>
        <w:rPr/>
        <w:t>给予公司员工</w:t>
      </w:r>
    </w:p>
    <w:p>
      <w:pPr>
        <w:pStyle w:val="BodyText"/>
        <w:spacing w:line="240" w:lineRule="auto" w:before="64"/>
        <w:ind w:left="1134" w:right="0"/>
        <w:jc w:val="left"/>
      </w:pPr>
      <w:r>
        <w:rPr/>
        <w:t>人才安居住房补贴</w:t>
      </w:r>
      <w:r>
        <w:rPr>
          <w:spacing w:val="-47"/>
        </w:rPr>
        <w:t> </w:t>
      </w:r>
      <w:r>
        <w:rPr>
          <w:rFonts w:ascii="Times New Roman" w:hAnsi="Times New Roman" w:cs="Times New Roman" w:eastAsia="Times New Roman" w:hint="default"/>
        </w:rPr>
        <w:t>400,000.00</w:t>
      </w:r>
      <w:r>
        <w:rPr>
          <w:rFonts w:ascii="Times New Roman" w:hAnsi="Times New Roman" w:cs="Times New Roman" w:eastAsia="Times New Roman" w:hint="default"/>
          <w:spacing w:val="-2"/>
        </w:rPr>
        <w:t> </w:t>
      </w:r>
      <w:r>
        <w:rPr/>
        <w:t>元，公司计划</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日前发放完成，截至</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日余额为</w:t>
      </w:r>
      <w:r>
        <w:rPr>
          <w:spacing w:val="-47"/>
        </w:rPr>
        <w:t> </w:t>
      </w:r>
      <w:r>
        <w:rPr>
          <w:rFonts w:ascii="Times New Roman" w:hAnsi="Times New Roman" w:cs="Times New Roman" w:eastAsia="Times New Roman" w:hint="default"/>
        </w:rPr>
        <w:t>400,000.00</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25"/>
          <w:szCs w:val="25"/>
        </w:rPr>
      </w:pPr>
    </w:p>
    <w:p>
      <w:pPr>
        <w:pStyle w:val="Heading3"/>
        <w:spacing w:line="240" w:lineRule="auto"/>
        <w:ind w:left="1134" w:right="0"/>
        <w:jc w:val="left"/>
        <w:rPr>
          <w:b w:val="0"/>
          <w:bCs w:val="0"/>
        </w:rPr>
      </w:pPr>
      <w:bookmarkStart w:name="30、递延收益" w:id="261"/>
      <w:bookmarkEnd w:id="261"/>
      <w:r>
        <w:rPr>
          <w:b w:val="0"/>
          <w:bCs w:val="0"/>
        </w:rPr>
      </w:r>
      <w:r>
        <w:rPr>
          <w:rFonts w:ascii="Times New Roman" w:hAnsi="Times New Roman" w:cs="Times New Roman" w:eastAsia="Times New Roman" w:hint="default"/>
        </w:rPr>
        <w:t>30</w:t>
      </w:r>
      <w:r>
        <w:rPr/>
        <w:t>、递延收益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44" w:right="0"/>
              <w:jc w:val="left"/>
              <w:rPr>
                <w:rFonts w:ascii="Times New Roman" w:hAnsi="Times New Roman" w:cs="Times New Roman" w:eastAsia="Times New Roman" w:hint="default"/>
                <w:sz w:val="18"/>
                <w:szCs w:val="18"/>
              </w:rPr>
            </w:pPr>
            <w:r>
              <w:rPr>
                <w:rFonts w:ascii="Times New Roman"/>
                <w:sz w:val="18"/>
              </w:rPr>
              <w:t>219,501,594.20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13,599,435.60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207,582,158.60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44" w:right="0"/>
              <w:jc w:val="left"/>
              <w:rPr>
                <w:rFonts w:ascii="Times New Roman" w:hAnsi="Times New Roman" w:cs="Times New Roman" w:eastAsia="Times New Roman" w:hint="default"/>
                <w:sz w:val="18"/>
                <w:szCs w:val="18"/>
              </w:rPr>
            </w:pPr>
            <w:r>
              <w:rPr>
                <w:rFonts w:ascii="Times New Roman"/>
                <w:sz w:val="18"/>
              </w:rPr>
              <w:t>219,501,594.20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13,599,435.60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207,582,158.60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涉及政府补助的项目：</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6"/>
              <w:jc w:val="righ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市级重点技 改</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20,165,000.0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3,270,000.00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16,895,000.0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9"/>
              <w:jc w:val="right"/>
              <w:rPr>
                <w:rFonts w:ascii="宋体" w:hAnsi="宋体" w:cs="宋体" w:eastAsia="宋体" w:hint="default"/>
                <w:sz w:val="18"/>
                <w:szCs w:val="18"/>
              </w:rPr>
            </w:pPr>
            <w:r>
              <w:rPr>
                <w:rFonts w:ascii="宋体" w:hAnsi="宋体" w:cs="宋体" w:eastAsia="宋体" w:hint="default"/>
                <w:sz w:val="18"/>
                <w:szCs w:val="18"/>
              </w:rPr>
              <w:t>江苏超纤专</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4" w:right="0"/>
              <w:jc w:val="center"/>
              <w:rPr>
                <w:rFonts w:ascii="Times New Roman" w:hAnsi="Times New Roman" w:cs="Times New Roman" w:eastAsia="Times New Roman" w:hint="default"/>
                <w:sz w:val="18"/>
                <w:szCs w:val="18"/>
              </w:rPr>
            </w:pPr>
            <w:r>
              <w:rPr>
                <w:rFonts w:ascii="Times New Roman"/>
                <w:sz w:val="18"/>
              </w:rPr>
              <w:t>197,353,564.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pacing w:val="-1"/>
                <w:sz w:val="18"/>
              </w:rPr>
              <w:t>10,120,695.6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2" w:right="0"/>
              <w:jc w:val="center"/>
              <w:rPr>
                <w:rFonts w:ascii="Times New Roman" w:hAnsi="Times New Roman" w:cs="Times New Roman" w:eastAsia="Times New Roman" w:hint="default"/>
                <w:sz w:val="18"/>
                <w:szCs w:val="18"/>
              </w:rPr>
            </w:pPr>
            <w:r>
              <w:rPr>
                <w:rFonts w:ascii="Times New Roman"/>
                <w:sz w:val="18"/>
              </w:rPr>
              <w:t>187,232,868.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项资金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60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江苏化学专 项资金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1,983,030.00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208,740.00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3,454,290.00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219,501,594.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13,599,435.6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207,582,158.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pStyle w:val="BodyText"/>
        <w:spacing w:line="240" w:lineRule="auto" w:before="116"/>
        <w:ind w:right="0"/>
        <w:jc w:val="left"/>
      </w:pPr>
      <w:r>
        <w:rPr>
          <w:rFonts w:ascii="Times New Roman" w:hAnsi="Times New Roman" w:cs="Times New Roman" w:eastAsia="Times New Roman" w:hint="default"/>
        </w:rPr>
        <w:t>1</w:t>
      </w:r>
      <w:r>
        <w:rPr/>
        <w:t>、根据上海市金山区经济委员会《金山区经委关于上海华峰超纤材料股份有限公司年产</w:t>
      </w:r>
      <w:r>
        <w:rPr>
          <w:spacing w:val="-45"/>
        </w:rPr>
        <w:t> </w:t>
      </w:r>
      <w:r>
        <w:rPr>
          <w:rFonts w:ascii="Times New Roman" w:hAnsi="Times New Roman" w:cs="Times New Roman" w:eastAsia="Times New Roman" w:hint="default"/>
        </w:rPr>
        <w:t>600</w:t>
      </w:r>
      <w:r>
        <w:rPr>
          <w:rFonts w:ascii="Times New Roman" w:hAnsi="Times New Roman" w:cs="Times New Roman" w:eastAsia="Times New Roman" w:hint="default"/>
          <w:spacing w:val="-1"/>
        </w:rPr>
        <w:t> </w:t>
      </w:r>
      <w:r>
        <w:rPr/>
        <w:t>万平米定岛超细纤维聚氨酯合</w:t>
      </w:r>
    </w:p>
    <w:p>
      <w:pPr>
        <w:pStyle w:val="BodyText"/>
        <w:spacing w:line="240" w:lineRule="auto" w:before="63"/>
        <w:ind w:right="0"/>
        <w:jc w:val="left"/>
      </w:pPr>
      <w:r>
        <w:rPr/>
        <w:t>成革生产投资建设项目上海市重点技术改造专项资金申请报告的批复</w:t>
      </w:r>
      <w:r>
        <w:rPr>
          <w:rFonts w:ascii="Times New Roman" w:hAnsi="Times New Roman" w:cs="Times New Roman" w:eastAsia="Times New Roman" w:hint="default"/>
        </w:rPr>
        <w:t>{</w:t>
      </w:r>
      <w:r>
        <w:rPr/>
        <w:t>金经委</w:t>
      </w:r>
      <w:r>
        <w:rPr>
          <w:rFonts w:ascii="Times New Roman" w:hAnsi="Times New Roman" w:cs="Times New Roman" w:eastAsia="Times New Roman" w:hint="default"/>
        </w:rPr>
        <w:t>[2012</w:t>
      </w:r>
      <w:r>
        <w:rPr>
          <w:rFonts w:ascii="Times New Roman" w:hAnsi="Times New Roman" w:cs="Times New Roman" w:eastAsia="Times New Roman" w:hint="default"/>
          <w:spacing w:val="-2"/>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spacing w:val="-90"/>
        </w:rPr>
        <w:t>》</w:t>
      </w:r>
      <w:r>
        <w:rPr>
          <w:spacing w:val="-60"/>
        </w:rPr>
        <w:t>，</w:t>
      </w:r>
      <w:r>
        <w:rPr/>
        <w:t>公司于</w:t>
      </w:r>
      <w:r>
        <w:rPr>
          <w:spacing w:val="-4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14 </w:t>
      </w:r>
      <w:r>
        <w:rPr/>
        <w:t>日收到</w:t>
      </w:r>
    </w:p>
    <w:p>
      <w:pPr>
        <w:pStyle w:val="BodyText"/>
        <w:spacing w:line="240" w:lineRule="auto" w:before="63"/>
        <w:ind w:right="0"/>
        <w:jc w:val="left"/>
      </w:pPr>
      <w:r>
        <w:rPr/>
        <w:t>上海市金山区财政局拨付的第一批补助资金</w:t>
      </w:r>
      <w:r>
        <w:rPr>
          <w:spacing w:val="-46"/>
        </w:rPr>
        <w:t> </w:t>
      </w:r>
      <w:r>
        <w:rPr>
          <w:rFonts w:ascii="Times New Roman" w:hAnsi="Times New Roman" w:cs="Times New Roman" w:eastAsia="Times New Roman" w:hint="default"/>
        </w:rPr>
        <w:t>20,100,000.00 </w:t>
      </w:r>
      <w:r>
        <w:rPr>
          <w:spacing w:val="-8"/>
        </w:rPr>
        <w:t>元；公司于</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日收到上海市金山区财政局拨付的第二</w:t>
      </w:r>
    </w:p>
    <w:p>
      <w:pPr>
        <w:pStyle w:val="BodyText"/>
        <w:spacing w:line="240" w:lineRule="auto" w:before="63"/>
        <w:ind w:left="1134" w:right="0"/>
        <w:jc w:val="left"/>
      </w:pPr>
      <w:r>
        <w:rPr/>
        <w:t>批补助资金</w:t>
      </w:r>
      <w:r>
        <w:rPr>
          <w:spacing w:val="-50"/>
        </w:rPr>
        <w:t> </w:t>
      </w:r>
      <w:r>
        <w:rPr>
          <w:rFonts w:ascii="Times New Roman" w:hAnsi="Times New Roman" w:cs="Times New Roman" w:eastAsia="Times New Roman" w:hint="default"/>
        </w:rPr>
        <w:t>8,610,000.00</w:t>
      </w:r>
      <w:r>
        <w:rPr>
          <w:rFonts w:ascii="Times New Roman" w:hAnsi="Times New Roman" w:cs="Times New Roman" w:eastAsia="Times New Roman" w:hint="default"/>
          <w:spacing w:val="-4"/>
        </w:rPr>
        <w:t> </w:t>
      </w:r>
      <w:r>
        <w:rPr/>
        <w:t>元。该专项资金从</w:t>
      </w:r>
      <w:r>
        <w:rPr>
          <w:spacing w:val="-5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月份起按照</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年进行摊销，本期确认收益</w:t>
      </w:r>
      <w:r>
        <w:rPr>
          <w:spacing w:val="-50"/>
        </w:rPr>
        <w:t> </w:t>
      </w:r>
      <w:r>
        <w:rPr>
          <w:rFonts w:ascii="Times New Roman" w:hAnsi="Times New Roman" w:cs="Times New Roman" w:eastAsia="Times New Roman" w:hint="default"/>
        </w:rPr>
        <w:t>3,270,000.00</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年末</w:t>
      </w:r>
    </w:p>
    <w:p>
      <w:pPr>
        <w:pStyle w:val="BodyText"/>
        <w:spacing w:line="240" w:lineRule="auto" w:before="64"/>
        <w:ind w:left="1134" w:right="0"/>
        <w:jc w:val="left"/>
      </w:pPr>
      <w:r>
        <w:rPr/>
        <w:t>余额</w:t>
      </w:r>
      <w:r>
        <w:rPr>
          <w:spacing w:val="-47"/>
        </w:rPr>
        <w:t> </w:t>
      </w:r>
      <w:r>
        <w:rPr>
          <w:rFonts w:ascii="Times New Roman" w:hAnsi="Times New Roman" w:cs="Times New Roman" w:eastAsia="Times New Roman" w:hint="default"/>
        </w:rPr>
        <w:t>16,895,000.00</w:t>
      </w:r>
      <w:r>
        <w:rPr>
          <w:rFonts w:ascii="Times New Roman" w:hAnsi="Times New Roman" w:cs="Times New Roman" w:eastAsia="Times New Roman" w:hint="default"/>
          <w:spacing w:val="-1"/>
        </w:rPr>
        <w:t> </w:t>
      </w:r>
      <w:r>
        <w:rPr/>
        <w:t>元。</w:t>
      </w:r>
    </w:p>
    <w:p>
      <w:pPr>
        <w:pStyle w:val="BodyText"/>
        <w:spacing w:line="240" w:lineRule="auto" w:before="101"/>
        <w:ind w:left="1134"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spacing w:val="-5"/>
        </w:rPr>
        <w:t>、</w:t>
      </w:r>
      <w:r>
        <w:rPr/>
        <w:t>根据启东市财政</w:t>
      </w:r>
      <w:r>
        <w:rPr>
          <w:spacing w:val="-5"/>
        </w:rPr>
        <w:t>局</w:t>
      </w:r>
      <w:r>
        <w:rPr/>
        <w:t>《关于安排江苏华峰超纤材料有限公司有关补助及奖励金的函</w:t>
      </w:r>
      <w:r>
        <w:rPr>
          <w:rFonts w:ascii="Times New Roman" w:hAnsi="Times New Roman" w:cs="Times New Roman" w:eastAsia="Times New Roman" w:hint="default"/>
        </w:rPr>
        <w:t>{</w:t>
      </w:r>
      <w:r>
        <w:rPr/>
        <w:t>启财函</w:t>
      </w:r>
      <w:r>
        <w:rPr>
          <w:rFonts w:ascii="Times New Roman" w:hAnsi="Times New Roman" w:cs="Times New Roman" w:eastAsia="Times New Roman" w:hint="default"/>
        </w:rPr>
        <w:t>[2014</w:t>
      </w:r>
      <w:r>
        <w:rPr>
          <w:rFonts w:ascii="Times New Roman" w:hAnsi="Times New Roman" w:cs="Times New Roman" w:eastAsia="Times New Roman" w:hint="default"/>
          <w:spacing w:val="-2"/>
        </w:rPr>
        <w:t>]</w:t>
      </w:r>
      <w:r>
        <w:rPr>
          <w:rFonts w:ascii="Times New Roman" w:hAnsi="Times New Roman" w:cs="Times New Roman" w:eastAsia="Times New Roman" w:hint="default"/>
        </w:rPr>
        <w:t>2 </w:t>
      </w:r>
      <w:r>
        <w:rPr/>
        <w:t>号</w:t>
      </w:r>
      <w:r>
        <w:rPr>
          <w:rFonts w:ascii="Times New Roman" w:hAnsi="Times New Roman" w:cs="Times New Roman" w:eastAsia="Times New Roman" w:hint="default"/>
        </w:rPr>
        <w:t>}</w:t>
      </w:r>
      <w:r>
        <w:rPr>
          <w:spacing w:val="-90"/>
        </w:rPr>
        <w:t>》</w:t>
      </w:r>
      <w:r>
        <w:rPr>
          <w:spacing w:val="-5"/>
        </w:rPr>
        <w:t>，</w:t>
      </w:r>
      <w:r>
        <w:rPr/>
        <w:t>江苏超纤于</w:t>
      </w:r>
      <w:r>
        <w:rPr>
          <w:spacing w:val="-46"/>
        </w:rPr>
        <w:t> </w:t>
      </w:r>
      <w:r>
        <w:rPr>
          <w:rFonts w:ascii="Times New Roman" w:hAnsi="Times New Roman" w:cs="Times New Roman" w:eastAsia="Times New Roman" w:hint="default"/>
        </w:rPr>
        <w:t>2014</w:t>
      </w:r>
    </w:p>
    <w:p>
      <w:pPr>
        <w:pStyle w:val="BodyText"/>
        <w:spacing w:line="240" w:lineRule="auto" w:before="63"/>
        <w:ind w:right="0"/>
        <w:jc w:val="left"/>
      </w:pP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日收到江苏启东吕四港经济开发区管委会拨付的地基处理补偿费、引进高新技术企业奖励费等有关费用</w:t>
      </w:r>
    </w:p>
    <w:p>
      <w:pPr>
        <w:pStyle w:val="BodyText"/>
        <w:spacing w:line="240" w:lineRule="auto" w:before="63"/>
        <w:ind w:right="0"/>
        <w:jc w:val="left"/>
      </w:pPr>
      <w:r>
        <w:rPr>
          <w:rFonts w:ascii="Times New Roman" w:hAnsi="Times New Roman" w:cs="Times New Roman" w:eastAsia="Times New Roman" w:hint="default"/>
        </w:rPr>
        <w:t>187,413,91</w:t>
      </w:r>
      <w:r>
        <w:rPr>
          <w:rFonts w:ascii="Times New Roman" w:hAnsi="Times New Roman" w:cs="Times New Roman" w:eastAsia="Times New Roman" w:hint="default"/>
          <w:spacing w:val="-2"/>
        </w:rPr>
        <w:t>2</w:t>
      </w:r>
      <w:r>
        <w:rPr>
          <w:rFonts w:ascii="Times New Roman" w:hAnsi="Times New Roman" w:cs="Times New Roman" w:eastAsia="Times New Roman" w:hint="default"/>
        </w:rPr>
        <w:t>.00 </w:t>
      </w:r>
      <w:r>
        <w:rPr/>
        <w:t>元</w:t>
      </w:r>
      <w:r>
        <w:rPr>
          <w:spacing w:val="-31"/>
        </w:rPr>
        <w:t>。</w:t>
      </w:r>
      <w:r>
        <w:rPr/>
        <w:t>根据江苏省启东市财政</w:t>
      </w:r>
      <w:r>
        <w:rPr>
          <w:spacing w:val="-31"/>
        </w:rPr>
        <w:t>局</w:t>
      </w:r>
      <w:r>
        <w:rPr/>
        <w:t>《关于安排江苏华峰超纤材料有限公司有关补助资金的函</w:t>
      </w:r>
      <w:r>
        <w:rPr>
          <w:rFonts w:ascii="Times New Roman" w:hAnsi="Times New Roman" w:cs="Times New Roman" w:eastAsia="Times New Roman" w:hint="default"/>
        </w:rPr>
        <w:t>{</w:t>
      </w:r>
      <w:r>
        <w:rPr/>
        <w:t>启财函</w:t>
      </w:r>
      <w:r>
        <w:rPr>
          <w:rFonts w:ascii="Times New Roman" w:hAnsi="Times New Roman" w:cs="Times New Roman" w:eastAsia="Times New Roman" w:hint="default"/>
        </w:rPr>
        <w:t>[2015</w:t>
      </w:r>
      <w:r>
        <w:rPr>
          <w:rFonts w:ascii="Times New Roman" w:hAnsi="Times New Roman" w:cs="Times New Roman" w:eastAsia="Times New Roman" w:hint="default"/>
          <w:spacing w:val="-2"/>
        </w:rPr>
        <w:t>]</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spacing w:val="-90"/>
        </w:rPr>
        <w:t>》，</w:t>
      </w:r>
      <w:r>
        <w:rPr/>
      </w:r>
    </w:p>
    <w:p>
      <w:pPr>
        <w:pStyle w:val="BodyText"/>
        <w:spacing w:line="240" w:lineRule="auto" w:before="63"/>
        <w:ind w:right="0"/>
        <w:jc w:val="left"/>
      </w:pPr>
      <w:r>
        <w:rPr/>
        <w:t>江苏超纤于</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日收到启东市财政局拨付的地基处理补偿费和引进高新技术企业奖励费合计</w:t>
      </w:r>
      <w:r>
        <w:rPr>
          <w:spacing w:val="-46"/>
        </w:rPr>
        <w:t> </w:t>
      </w:r>
      <w:r>
        <w:rPr>
          <w:rFonts w:ascii="Times New Roman" w:hAnsi="Times New Roman" w:cs="Times New Roman" w:eastAsia="Times New Roman" w:hint="default"/>
        </w:rPr>
        <w:t>15,000,000.00</w:t>
      </w:r>
      <w:r>
        <w:rPr>
          <w:rFonts w:ascii="Times New Roman" w:hAnsi="Times New Roman" w:cs="Times New Roman" w:eastAsia="Times New Roman" w:hint="default"/>
          <w:spacing w:val="-1"/>
        </w:rPr>
        <w:t> </w:t>
      </w:r>
      <w:r>
        <w:rPr/>
        <w:t>元。</w:t>
      </w:r>
    </w:p>
    <w:p>
      <w:pPr>
        <w:pStyle w:val="BodyText"/>
        <w:spacing w:line="240" w:lineRule="auto" w:before="64"/>
        <w:ind w:right="0"/>
        <w:jc w:val="left"/>
      </w:pPr>
      <w:r>
        <w:rPr/>
        <w:t>该专项资金从项目建成后按照</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年进行摊销，本期确认收益</w:t>
      </w:r>
      <w:r>
        <w:rPr>
          <w:spacing w:val="-47"/>
        </w:rPr>
        <w:t> </w:t>
      </w:r>
      <w:r>
        <w:rPr>
          <w:rFonts w:ascii="Times New Roman" w:hAnsi="Times New Roman" w:cs="Times New Roman" w:eastAsia="Times New Roman" w:hint="default"/>
        </w:rPr>
        <w:t>10,120,695.60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年末余额</w:t>
      </w:r>
      <w:r>
        <w:rPr>
          <w:spacing w:val="-47"/>
        </w:rPr>
        <w:t> </w:t>
      </w:r>
      <w:r>
        <w:rPr>
          <w:rFonts w:ascii="Times New Roman" w:hAnsi="Times New Roman" w:cs="Times New Roman" w:eastAsia="Times New Roman" w:hint="default"/>
        </w:rPr>
        <w:t>187,232,868.60</w:t>
      </w:r>
      <w:r>
        <w:rPr>
          <w:rFonts w:ascii="Times New Roman" w:hAnsi="Times New Roman" w:cs="Times New Roman" w:eastAsia="Times New Roman" w:hint="default"/>
          <w:spacing w:val="-2"/>
        </w:rPr>
        <w:t> </w:t>
      </w:r>
      <w:r>
        <w:rPr/>
        <w:t>元。</w:t>
      </w:r>
    </w:p>
    <w:p>
      <w:pPr>
        <w:pStyle w:val="BodyText"/>
        <w:spacing w:line="240" w:lineRule="auto" w:before="101"/>
        <w:ind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spacing w:val="-15"/>
        </w:rPr>
        <w:t>、</w:t>
      </w:r>
      <w:r>
        <w:rPr/>
        <w:t>根据江苏</w:t>
      </w:r>
      <w:r>
        <w:rPr>
          <w:spacing w:val="-2"/>
        </w:rPr>
        <w:t>省</w:t>
      </w:r>
      <w:r>
        <w:rPr/>
        <w:t>启东市财政</w:t>
      </w:r>
      <w:r>
        <w:rPr>
          <w:spacing w:val="-15"/>
        </w:rPr>
        <w:t>局</w:t>
      </w:r>
      <w:r>
        <w:rPr/>
        <w:t>《关于安排</w:t>
      </w:r>
      <w:r>
        <w:rPr>
          <w:spacing w:val="-2"/>
        </w:rPr>
        <w:t>江</w:t>
      </w:r>
      <w:r>
        <w:rPr/>
        <w:t>苏华峰化学有限公司有关补助及奖励金的函</w:t>
      </w:r>
      <w:r>
        <w:rPr>
          <w:rFonts w:ascii="Times New Roman" w:hAnsi="Times New Roman" w:cs="Times New Roman" w:eastAsia="Times New Roman" w:hint="default"/>
        </w:rPr>
        <w:t>{</w:t>
      </w:r>
      <w:r>
        <w:rPr/>
        <w:t>启财</w:t>
      </w:r>
      <w:r>
        <w:rPr>
          <w:spacing w:val="-15"/>
        </w:rPr>
        <w:t>函</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2"/>
        </w:rPr>
        <w:t>0</w:t>
      </w:r>
      <w:r>
        <w:rPr>
          <w:rFonts w:ascii="Times New Roman" w:hAnsi="Times New Roman" w:cs="Times New Roman" w:eastAsia="Times New Roman" w:hint="default"/>
        </w:rPr>
        <w:t>14</w:t>
      </w:r>
      <w:r>
        <w:rPr>
          <w:spacing w:val="-15"/>
        </w:rPr>
        <w:t>）</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spacing w:val="-90"/>
        </w:rPr>
        <w:t>》</w:t>
      </w:r>
      <w:r>
        <w:rPr>
          <w:spacing w:val="-15"/>
        </w:rPr>
        <w:t>，</w:t>
      </w:r>
      <w:r>
        <w:rPr/>
        <w:t>公司于</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4</w:t>
      </w:r>
    </w:p>
    <w:p>
      <w:pPr>
        <w:pStyle w:val="BodyText"/>
        <w:spacing w:line="240" w:lineRule="auto" w:before="63"/>
        <w:ind w:right="0"/>
        <w:jc w:val="left"/>
      </w:pPr>
      <w:r>
        <w:rPr/>
        <w:t>年</w:t>
      </w:r>
      <w:r>
        <w:rPr>
          <w:spacing w:val="-45"/>
        </w:rPr>
        <w:t> </w:t>
      </w:r>
      <w:r>
        <w:rPr>
          <w:rFonts w:ascii="Times New Roman" w:hAnsi="Times New Roman" w:cs="Times New Roman" w:eastAsia="Times New Roman" w:hint="default"/>
        </w:rPr>
        <w:t>9 </w:t>
      </w:r>
      <w:r>
        <w:rPr/>
        <w:t>月</w:t>
      </w:r>
      <w:r>
        <w:rPr>
          <w:spacing w:val="-43"/>
        </w:rPr>
        <w:t> </w:t>
      </w:r>
      <w:r>
        <w:rPr>
          <w:rFonts w:ascii="Times New Roman" w:hAnsi="Times New Roman" w:cs="Times New Roman" w:eastAsia="Times New Roman" w:hint="default"/>
        </w:rPr>
        <w:t>2 </w:t>
      </w:r>
      <w:r>
        <w:rPr/>
        <w:t>日收到启东市财政局拨付的地基处理补偿费和引进高新技术企业奖励费合计</w:t>
      </w:r>
      <w:r>
        <w:rPr>
          <w:spacing w:val="-45"/>
        </w:rPr>
        <w:t> </w:t>
      </w:r>
      <w:r>
        <w:rPr>
          <w:rFonts w:ascii="Times New Roman" w:hAnsi="Times New Roman" w:cs="Times New Roman" w:eastAsia="Times New Roman" w:hint="default"/>
        </w:rPr>
        <w:t>2,087,400.00 </w:t>
      </w:r>
      <w:r>
        <w:rPr>
          <w:spacing w:val="-4"/>
        </w:rPr>
        <w:t>元。该专项资金从项目建</w:t>
      </w:r>
    </w:p>
    <w:p>
      <w:pPr>
        <w:pStyle w:val="BodyText"/>
        <w:spacing w:line="240" w:lineRule="auto" w:before="64"/>
        <w:ind w:right="0"/>
        <w:jc w:val="left"/>
      </w:pPr>
      <w:r>
        <w:rPr/>
        <w:t>成后按照</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年进行摊销，本期新增补助金额</w:t>
      </w:r>
      <w:r>
        <w:rPr>
          <w:spacing w:val="-51"/>
        </w:rPr>
        <w:t> </w:t>
      </w:r>
      <w:r>
        <w:rPr>
          <w:rFonts w:ascii="Times New Roman" w:hAnsi="Times New Roman" w:cs="Times New Roman" w:eastAsia="Times New Roman" w:hint="default"/>
        </w:rPr>
        <w:t>1,680,000.00</w:t>
      </w:r>
      <w:r>
        <w:rPr>
          <w:rFonts w:ascii="Times New Roman" w:hAnsi="Times New Roman" w:cs="Times New Roman" w:eastAsia="Times New Roman" w:hint="default"/>
          <w:spacing w:val="-6"/>
        </w:rPr>
        <w:t> </w:t>
      </w:r>
      <w:r>
        <w:rPr/>
        <w:t>元，本期确认收益</w:t>
      </w:r>
      <w:r>
        <w:rPr>
          <w:spacing w:val="-51"/>
        </w:rPr>
        <w:t> </w:t>
      </w:r>
      <w:r>
        <w:rPr>
          <w:rFonts w:ascii="Times New Roman" w:hAnsi="Times New Roman" w:cs="Times New Roman" w:eastAsia="Times New Roman" w:hint="default"/>
        </w:rPr>
        <w:t>208,740.00</w:t>
      </w:r>
      <w:r>
        <w:rPr>
          <w:rFonts w:ascii="Times New Roman" w:hAnsi="Times New Roman" w:cs="Times New Roman" w:eastAsia="Times New Roman" w:hint="default"/>
          <w:spacing w:val="-6"/>
        </w:rPr>
        <w:t> </w:t>
      </w:r>
      <w:r>
        <w:rPr/>
        <w:t>元，</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年末余额</w:t>
      </w:r>
      <w:r>
        <w:rPr>
          <w:spacing w:val="-51"/>
        </w:rPr>
        <w:t> </w:t>
      </w:r>
      <w:r>
        <w:rPr>
          <w:rFonts w:ascii="Times New Roman" w:hAnsi="Times New Roman" w:cs="Times New Roman" w:eastAsia="Times New Roman" w:hint="default"/>
        </w:rPr>
        <w:t>3,454,290.00</w:t>
      </w:r>
      <w:r>
        <w:rPr>
          <w:rFonts w:ascii="Times New Roman" w:hAnsi="Times New Roman" w:cs="Times New Roman" w:eastAsia="Times New Roman" w:hint="default"/>
          <w:spacing w:val="-5"/>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1、股本" w:id="262"/>
      <w:bookmarkEnd w:id="262"/>
      <w:r>
        <w:rPr>
          <w:b w:val="0"/>
          <w:bCs w:val="0"/>
        </w:rPr>
      </w:r>
      <w:r>
        <w:rPr>
          <w:rFonts w:ascii="Times New Roman" w:hAnsi="Times New Roman" w:cs="Times New Roman" w:eastAsia="Times New Roman" w:hint="default"/>
        </w:rPr>
        <w:t>31</w:t>
      </w:r>
      <w:r>
        <w:rPr/>
        <w:t>、股本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475,000,000.00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156,019,839.00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156,019,839.00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631,019,839.00</w:t>
            </w:r>
          </w:p>
        </w:tc>
      </w:tr>
    </w:tbl>
    <w:p>
      <w:pPr>
        <w:pStyle w:val="BodyText"/>
        <w:spacing w:line="240" w:lineRule="auto" w:before="51"/>
        <w:ind w:left="1134" w:right="0"/>
        <w:jc w:val="left"/>
      </w:pPr>
      <w:r>
        <w:rPr/>
        <w:t>其他说明：</w:t>
      </w:r>
    </w:p>
    <w:p>
      <w:pPr>
        <w:pStyle w:val="BodyText"/>
        <w:spacing w:line="240" w:lineRule="auto" w:before="116"/>
        <w:ind w:right="0"/>
        <w:jc w:val="left"/>
      </w:pPr>
      <w:r>
        <w:rPr/>
        <w:t>根据本公司</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年第二次临时股东大会决议、第三届董事会第十九次会议决议，并经中国证券监督管理委员会</w:t>
      </w:r>
      <w:r>
        <w:rPr>
          <w:rFonts w:ascii="Times New Roman" w:hAnsi="Times New Roman" w:cs="Times New Roman" w:eastAsia="Times New Roman" w:hint="default"/>
        </w:rPr>
        <w:t>“</w:t>
      </w:r>
      <w:r>
        <w:rPr/>
        <w:t>证监许可</w:t>
      </w:r>
    </w:p>
    <w:p>
      <w:pPr>
        <w:pStyle w:val="BodyText"/>
        <w:spacing w:line="240" w:lineRule="auto" w:before="63"/>
        <w:ind w:left="1134" w:right="0"/>
        <w:jc w:val="left"/>
      </w:pPr>
      <w:r>
        <w:rPr>
          <w:rFonts w:ascii="Times New Roman" w:hAnsi="Times New Roman" w:cs="Times New Roman" w:eastAsia="Times New Roman" w:hint="default"/>
        </w:rPr>
        <w:t>[2017]855</w:t>
      </w:r>
      <w:r>
        <w:rPr>
          <w:rFonts w:ascii="Times New Roman" w:hAnsi="Times New Roman" w:cs="Times New Roman" w:eastAsia="Times New Roman" w:hint="default"/>
          <w:spacing w:val="-14"/>
        </w:rPr>
        <w:t> </w:t>
      </w:r>
      <w:r>
        <w:rPr/>
        <w:t>号</w:t>
      </w:r>
      <w:r>
        <w:rPr>
          <w:rFonts w:ascii="Times New Roman" w:hAnsi="Times New Roman" w:cs="Times New Roman" w:eastAsia="Times New Roman" w:hint="default"/>
        </w:rPr>
        <w:t>”</w:t>
      </w:r>
      <w:r>
        <w:rPr/>
        <w:t>核准，公司拟向拟向鲜丹发行</w:t>
      </w:r>
      <w:r>
        <w:rPr>
          <w:spacing w:val="-59"/>
        </w:rPr>
        <w:t> </w:t>
      </w:r>
      <w:r>
        <w:rPr>
          <w:rFonts w:ascii="Times New Roman" w:hAnsi="Times New Roman" w:cs="Times New Roman" w:eastAsia="Times New Roman" w:hint="default"/>
        </w:rPr>
        <w:t>45,923,991</w:t>
      </w:r>
      <w:r>
        <w:rPr>
          <w:rFonts w:ascii="Times New Roman" w:hAnsi="Times New Roman" w:cs="Times New Roman" w:eastAsia="Times New Roman" w:hint="default"/>
          <w:spacing w:val="-13"/>
        </w:rPr>
        <w:t> </w:t>
      </w:r>
      <w:r>
        <w:rPr/>
        <w:t>股股份，向蔡友弟发行</w:t>
      </w:r>
      <w:r>
        <w:rPr>
          <w:spacing w:val="-59"/>
        </w:rPr>
        <w:t> </w:t>
      </w:r>
      <w:r>
        <w:rPr>
          <w:rFonts w:ascii="Times New Roman" w:hAnsi="Times New Roman" w:cs="Times New Roman" w:eastAsia="Times New Roman" w:hint="default"/>
        </w:rPr>
        <w:t>29,178,369</w:t>
      </w:r>
      <w:r>
        <w:rPr>
          <w:rFonts w:ascii="Times New Roman" w:hAnsi="Times New Roman" w:cs="Times New Roman" w:eastAsia="Times New Roman" w:hint="default"/>
          <w:spacing w:val="-14"/>
        </w:rPr>
        <w:t> </w:t>
      </w:r>
      <w:r>
        <w:rPr/>
        <w:t>股股份，向北京奕铭投资管理中心</w:t>
      </w:r>
    </w:p>
    <w:p>
      <w:pPr>
        <w:pStyle w:val="BodyText"/>
        <w:spacing w:line="240" w:lineRule="auto" w:before="63"/>
        <w:ind w:right="0"/>
        <w:jc w:val="left"/>
        <w:rPr>
          <w:rFonts w:ascii="Times New Roman" w:hAnsi="Times New Roman" w:cs="Times New Roman" w:eastAsia="Times New Roman" w:hint="default"/>
        </w:rPr>
      </w:pPr>
      <w:r>
        <w:rPr/>
        <w:t>（有限合伙</w:t>
      </w:r>
      <w:r>
        <w:rPr>
          <w:spacing w:val="-90"/>
        </w:rPr>
        <w:t>）</w:t>
      </w:r>
      <w:r>
        <w:rPr/>
        <w:t>发行</w:t>
      </w:r>
      <w:r>
        <w:rPr>
          <w:spacing w:val="-50"/>
        </w:rPr>
        <w:t> </w:t>
      </w:r>
      <w:r>
        <w:rPr>
          <w:rFonts w:ascii="Times New Roman" w:hAnsi="Times New Roman" w:cs="Times New Roman" w:eastAsia="Times New Roman" w:hint="default"/>
        </w:rPr>
        <w:t>20,875,797</w:t>
      </w:r>
      <w:r>
        <w:rPr>
          <w:rFonts w:ascii="Times New Roman" w:hAnsi="Times New Roman" w:cs="Times New Roman" w:eastAsia="Times New Roman" w:hint="default"/>
          <w:spacing w:val="-7"/>
        </w:rPr>
        <w:t> </w:t>
      </w:r>
      <w:r>
        <w:rPr/>
        <w:t>股股份</w:t>
      </w:r>
      <w:r>
        <w:rPr>
          <w:spacing w:val="-90"/>
        </w:rPr>
        <w:t>，</w:t>
      </w:r>
      <w:r>
        <w:rPr/>
        <w:t>向王彤发行</w:t>
      </w:r>
      <w:r>
        <w:rPr>
          <w:spacing w:val="-50"/>
        </w:rPr>
        <w:t> </w:t>
      </w:r>
      <w:r>
        <w:rPr>
          <w:rFonts w:ascii="Times New Roman" w:hAnsi="Times New Roman" w:cs="Times New Roman" w:eastAsia="Times New Roman" w:hint="default"/>
        </w:rPr>
        <w:t>13,456,0</w:t>
      </w:r>
      <w:r>
        <w:rPr>
          <w:rFonts w:ascii="Times New Roman" w:hAnsi="Times New Roman" w:cs="Times New Roman" w:eastAsia="Times New Roman" w:hint="default"/>
          <w:spacing w:val="-2"/>
        </w:rPr>
        <w:t>8</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股股份</w:t>
      </w:r>
      <w:r>
        <w:rPr>
          <w:spacing w:val="-90"/>
        </w:rPr>
        <w:t>，</w:t>
      </w:r>
      <w:r>
        <w:rPr/>
        <w:t>向尤光兴发行</w:t>
      </w:r>
      <w:r>
        <w:rPr>
          <w:spacing w:val="-51"/>
        </w:rPr>
        <w:t> </w:t>
      </w:r>
      <w:r>
        <w:rPr>
          <w:rFonts w:ascii="Times New Roman" w:hAnsi="Times New Roman" w:cs="Times New Roman" w:eastAsia="Times New Roman" w:hint="default"/>
        </w:rPr>
        <w:t>8,052</w:t>
      </w:r>
      <w:r>
        <w:rPr>
          <w:rFonts w:ascii="Times New Roman" w:hAnsi="Times New Roman" w:cs="Times New Roman" w:eastAsia="Times New Roman" w:hint="default"/>
          <w:spacing w:val="-1"/>
        </w:rPr>
        <w:t>,</w:t>
      </w:r>
      <w:r>
        <w:rPr>
          <w:rFonts w:ascii="Times New Roman" w:hAnsi="Times New Roman" w:cs="Times New Roman" w:eastAsia="Times New Roman" w:hint="default"/>
        </w:rPr>
        <w:t>307</w:t>
      </w:r>
      <w:r>
        <w:rPr>
          <w:rFonts w:ascii="Times New Roman" w:hAnsi="Times New Roman" w:cs="Times New Roman" w:eastAsia="Times New Roman" w:hint="default"/>
          <w:spacing w:val="-5"/>
        </w:rPr>
        <w:t> </w:t>
      </w:r>
      <w:r>
        <w:rPr/>
        <w:t>股股份</w:t>
      </w:r>
      <w:r>
        <w:rPr>
          <w:spacing w:val="-90"/>
        </w:rPr>
        <w:t>，</w:t>
      </w:r>
      <w:r>
        <w:rPr/>
        <w:t>向邓振国发行</w:t>
      </w:r>
      <w:r>
        <w:rPr>
          <w:spacing w:val="-51"/>
        </w:rPr>
        <w:t> </w:t>
      </w:r>
      <w:r>
        <w:rPr>
          <w:rFonts w:ascii="Times New Roman" w:hAnsi="Times New Roman" w:cs="Times New Roman" w:eastAsia="Times New Roman" w:hint="default"/>
        </w:rPr>
        <w:t>5,636,154</w:t>
      </w:r>
    </w:p>
    <w:p>
      <w:pPr>
        <w:pStyle w:val="BodyText"/>
        <w:spacing w:line="240" w:lineRule="auto" w:before="63"/>
        <w:ind w:right="0"/>
        <w:jc w:val="left"/>
      </w:pPr>
      <w:r>
        <w:rPr/>
        <w:t>股股份，向蔡小如发行</w:t>
      </w:r>
      <w:r>
        <w:rPr>
          <w:spacing w:val="-62"/>
        </w:rPr>
        <w:t> </w:t>
      </w:r>
      <w:r>
        <w:rPr>
          <w:rFonts w:ascii="Times New Roman" w:hAnsi="Times New Roman" w:cs="Times New Roman" w:eastAsia="Times New Roman" w:hint="default"/>
        </w:rPr>
        <w:t>4,026,154</w:t>
      </w:r>
      <w:r>
        <w:rPr>
          <w:rFonts w:ascii="Times New Roman" w:hAnsi="Times New Roman" w:cs="Times New Roman" w:eastAsia="Times New Roman" w:hint="default"/>
          <w:spacing w:val="-17"/>
        </w:rPr>
        <w:t> </w:t>
      </w:r>
      <w:r>
        <w:rPr/>
        <w:t>股股份，向中山市微远创新投资基金管理中心（有限合伙）发行</w:t>
      </w:r>
      <w:r>
        <w:rPr>
          <w:spacing w:val="-61"/>
        </w:rPr>
        <w:t> </w:t>
      </w:r>
      <w:r>
        <w:rPr>
          <w:rFonts w:ascii="Times New Roman" w:hAnsi="Times New Roman" w:cs="Times New Roman" w:eastAsia="Times New Roman" w:hint="default"/>
        </w:rPr>
        <w:t>2,790,609</w:t>
      </w:r>
      <w:r>
        <w:rPr>
          <w:rFonts w:ascii="Times New Roman" w:hAnsi="Times New Roman" w:cs="Times New Roman" w:eastAsia="Times New Roman" w:hint="default"/>
          <w:spacing w:val="-17"/>
        </w:rPr>
        <w:t> </w:t>
      </w:r>
      <w:r>
        <w:rPr>
          <w:spacing w:val="-3"/>
        </w:rPr>
        <w:t>股股份，向于净</w:t>
      </w:r>
    </w:p>
    <w:p>
      <w:pPr>
        <w:pStyle w:val="BodyText"/>
        <w:spacing w:line="240" w:lineRule="auto" w:before="63"/>
        <w:ind w:right="0"/>
        <w:jc w:val="left"/>
      </w:pPr>
      <w:r>
        <w:rPr/>
        <w:t>发行</w:t>
      </w:r>
      <w:r>
        <w:rPr>
          <w:spacing w:val="-47"/>
        </w:rPr>
        <w:t> </w:t>
      </w:r>
      <w:r>
        <w:rPr>
          <w:rFonts w:ascii="Times New Roman" w:hAnsi="Times New Roman" w:cs="Times New Roman" w:eastAsia="Times New Roman" w:hint="default"/>
        </w:rPr>
        <w:t>3,221,154</w:t>
      </w:r>
      <w:r>
        <w:rPr>
          <w:rFonts w:ascii="Times New Roman" w:hAnsi="Times New Roman" w:cs="Times New Roman" w:eastAsia="Times New Roman" w:hint="default"/>
          <w:spacing w:val="-1"/>
        </w:rPr>
        <w:t> </w:t>
      </w:r>
      <w:r>
        <w:rPr/>
        <w:t>股股份，向林松柏发行</w:t>
      </w:r>
      <w:r>
        <w:rPr>
          <w:spacing w:val="-47"/>
        </w:rPr>
        <w:t> </w:t>
      </w:r>
      <w:r>
        <w:rPr>
          <w:rFonts w:ascii="Times New Roman" w:hAnsi="Times New Roman" w:cs="Times New Roman" w:eastAsia="Times New Roman" w:hint="default"/>
        </w:rPr>
        <w:t>3,221,153</w:t>
      </w:r>
      <w:r>
        <w:rPr>
          <w:rFonts w:ascii="Times New Roman" w:hAnsi="Times New Roman" w:cs="Times New Roman" w:eastAsia="Times New Roman" w:hint="default"/>
          <w:spacing w:val="-2"/>
        </w:rPr>
        <w:t> </w:t>
      </w:r>
      <w:r>
        <w:rPr/>
        <w:t>股股份，向叶成春发行</w:t>
      </w:r>
      <w:r>
        <w:rPr>
          <w:spacing w:val="-47"/>
        </w:rPr>
        <w:t> </w:t>
      </w:r>
      <w:r>
        <w:rPr>
          <w:rFonts w:ascii="Times New Roman" w:hAnsi="Times New Roman" w:cs="Times New Roman" w:eastAsia="Times New Roman" w:hint="default"/>
        </w:rPr>
        <w:t>1,783,951</w:t>
      </w:r>
      <w:r>
        <w:rPr>
          <w:rFonts w:ascii="Times New Roman" w:hAnsi="Times New Roman" w:cs="Times New Roman" w:eastAsia="Times New Roman" w:hint="default"/>
          <w:spacing w:val="-2"/>
        </w:rPr>
        <w:t> </w:t>
      </w:r>
      <w:r>
        <w:rPr/>
        <w:t>股股份购买相关资产；此外，贵公司拟非</w:t>
      </w:r>
    </w:p>
    <w:p>
      <w:pPr>
        <w:pStyle w:val="BodyText"/>
        <w:spacing w:line="240" w:lineRule="auto" w:before="63"/>
        <w:ind w:right="0"/>
        <w:jc w:val="left"/>
        <w:rPr>
          <w:rFonts w:ascii="Times New Roman" w:hAnsi="Times New Roman" w:cs="Times New Roman" w:eastAsia="Times New Roman" w:hint="default"/>
        </w:rPr>
      </w:pPr>
      <w:r>
        <w:rPr/>
        <w:t>公开发行</w:t>
      </w:r>
      <w:r>
        <w:rPr>
          <w:spacing w:val="-46"/>
        </w:rPr>
        <w:t> </w:t>
      </w:r>
      <w:r>
        <w:rPr>
          <w:rFonts w:ascii="Times New Roman" w:hAnsi="Times New Roman" w:cs="Times New Roman" w:eastAsia="Times New Roman" w:hint="default"/>
        </w:rPr>
        <w:t>17,854,</w:t>
      </w:r>
      <w:r>
        <w:rPr>
          <w:rFonts w:ascii="Times New Roman" w:hAnsi="Times New Roman" w:cs="Times New Roman" w:eastAsia="Times New Roman" w:hint="default"/>
          <w:spacing w:val="-8"/>
        </w:rPr>
        <w:t>1</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spacing w:val="-76"/>
        </w:rPr>
        <w:t>股</w:t>
      </w:r>
      <w:r>
        <w:rPr/>
        <w:t>（每</w:t>
      </w:r>
      <w:r>
        <w:rPr>
          <w:spacing w:val="1"/>
        </w:rPr>
        <w:t>股</w:t>
      </w:r>
      <w:r>
        <w:rPr/>
        <w:t>面值</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w:t>
      </w:r>
      <w:r>
        <w:rPr>
          <w:spacing w:val="-76"/>
        </w:rPr>
        <w:t>）</w:t>
      </w:r>
      <w:r>
        <w:rPr/>
        <w:t>人</w:t>
      </w:r>
      <w:r>
        <w:rPr>
          <w:spacing w:val="1"/>
        </w:rPr>
        <w:t>民</w:t>
      </w:r>
      <w:r>
        <w:rPr/>
        <w:t>币普通股</w:t>
      </w:r>
      <w:r>
        <w:rPr>
          <w:spacing w:val="-76"/>
        </w:rPr>
        <w:t>。</w:t>
      </w:r>
      <w:r>
        <w:rPr/>
        <w:t>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w:t>
      </w:r>
      <w:r>
        <w:rPr>
          <w:spacing w:val="-76"/>
        </w:rPr>
        <w:t>，</w:t>
      </w:r>
      <w:r>
        <w:rPr/>
        <w:t>本公</w:t>
      </w:r>
      <w:r>
        <w:rPr>
          <w:spacing w:val="1"/>
        </w:rPr>
        <w:t>司</w:t>
      </w:r>
      <w:r>
        <w:rPr/>
        <w:t>实际已发行人民币普通股</w:t>
      </w:r>
      <w:r>
        <w:rPr>
          <w:spacing w:val="-46"/>
        </w:rPr>
        <w:t> </w:t>
      </w:r>
      <w:r>
        <w:rPr>
          <w:rFonts w:ascii="Times New Roman" w:hAnsi="Times New Roman" w:cs="Times New Roman" w:eastAsia="Times New Roman" w:hint="default"/>
        </w:rPr>
        <w:t>156,019,8</w:t>
      </w:r>
      <w:r>
        <w:rPr>
          <w:rFonts w:ascii="Times New Roman" w:hAnsi="Times New Roman" w:cs="Times New Roman" w:eastAsia="Times New Roman" w:hint="default"/>
          <w:spacing w:val="1"/>
        </w:rPr>
        <w:t>3</w:t>
      </w:r>
      <w:r>
        <w:rPr>
          <w:rFonts w:ascii="Times New Roman" w:hAnsi="Times New Roman" w:cs="Times New Roman" w:eastAsia="Times New Roman" w:hint="default"/>
        </w:rPr>
        <w:t>9</w:t>
      </w:r>
    </w:p>
    <w:p>
      <w:pPr>
        <w:pStyle w:val="BodyText"/>
        <w:spacing w:line="240" w:lineRule="auto" w:before="63"/>
        <w:ind w:right="0"/>
        <w:jc w:val="left"/>
      </w:pPr>
      <w:r>
        <w:rPr/>
        <w:t>股，每股面值</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元，变更后的注册资本（股本）为人民币</w:t>
      </w:r>
      <w:r>
        <w:rPr>
          <w:spacing w:val="-57"/>
        </w:rPr>
        <w:t> </w:t>
      </w:r>
      <w:r>
        <w:rPr>
          <w:rFonts w:ascii="Times New Roman" w:hAnsi="Times New Roman" w:cs="Times New Roman" w:eastAsia="Times New Roman" w:hint="default"/>
        </w:rPr>
        <w:t>631,019,839.00</w:t>
      </w:r>
      <w:r>
        <w:rPr>
          <w:rFonts w:ascii="Times New Roman" w:hAnsi="Times New Roman" w:cs="Times New Roman" w:eastAsia="Times New Roman" w:hint="default"/>
          <w:spacing w:val="-11"/>
        </w:rPr>
        <w:t> </w:t>
      </w:r>
      <w:r>
        <w:rPr/>
        <w:t>元。上述增发股本实收情况业经立信会计师事务所</w:t>
      </w:r>
    </w:p>
    <w:p>
      <w:pPr>
        <w:pStyle w:val="BodyText"/>
        <w:spacing w:line="240" w:lineRule="auto" w:before="64"/>
        <w:ind w:right="0"/>
        <w:jc w:val="left"/>
      </w:pPr>
      <w:r>
        <w:rPr/>
        <w:t>（特殊普通合伙）验证，并于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日出具了信会师报字</w:t>
      </w:r>
      <w:r>
        <w:rPr>
          <w:rFonts w:ascii="Times New Roman" w:hAnsi="Times New Roman" w:cs="Times New Roman" w:eastAsia="Times New Roman" w:hint="default"/>
        </w:rPr>
        <w:t>[2017]</w:t>
      </w:r>
      <w:r>
        <w:rPr/>
        <w:t>第</w:t>
      </w:r>
      <w:r>
        <w:rPr>
          <w:spacing w:val="-46"/>
        </w:rPr>
        <w:t> </w:t>
      </w:r>
      <w:r>
        <w:rPr>
          <w:rFonts w:ascii="Times New Roman" w:hAnsi="Times New Roman" w:cs="Times New Roman" w:eastAsia="Times New Roman" w:hint="default"/>
        </w:rPr>
        <w:t>ZF10659</w:t>
      </w:r>
      <w:r>
        <w:rPr>
          <w:rFonts w:ascii="Times New Roman" w:hAnsi="Times New Roman" w:cs="Times New Roman" w:eastAsia="Times New Roman" w:hint="default"/>
          <w:spacing w:val="-1"/>
        </w:rPr>
        <w:t> </w:t>
      </w:r>
      <w:r>
        <w:rPr/>
        <w:t>号的验资报告。</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2、资本公积" w:id="263"/>
      <w:bookmarkEnd w:id="263"/>
      <w:r>
        <w:rPr>
          <w:b w:val="0"/>
          <w:bCs w:val="0"/>
        </w:rPr>
      </w:r>
      <w:r>
        <w:rPr>
          <w:rFonts w:ascii="Times New Roman" w:hAnsi="Times New Roman" w:cs="Times New Roman" w:eastAsia="Times New Roman" w:hint="default"/>
        </w:rPr>
        <w:t>32</w:t>
      </w:r>
      <w:r>
        <w:rPr/>
        <w:t>、资本公积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
              <w:jc w:val="center"/>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1,482,537,441.94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1,841,934,877.98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3,324,472,319.92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1,482,537,441.94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1,841,934,877.98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3,324,472,319.92</w:t>
            </w:r>
          </w:p>
        </w:tc>
      </w:tr>
    </w:tbl>
    <w:p>
      <w:pPr>
        <w:pStyle w:val="BodyText"/>
        <w:spacing w:line="240" w:lineRule="auto" w:before="51"/>
        <w:ind w:left="1134" w:right="0"/>
        <w:jc w:val="left"/>
      </w:pPr>
      <w:r>
        <w:rPr/>
        <w:t>其他说明，包括本期增减变动情况、变动原因说明：</w:t>
      </w:r>
    </w:p>
    <w:p>
      <w:pPr>
        <w:pStyle w:val="BodyText"/>
        <w:spacing w:line="240" w:lineRule="auto" w:before="116"/>
        <w:ind w:left="1134" w:right="0"/>
        <w:jc w:val="left"/>
      </w:pPr>
      <w:r>
        <w:rPr/>
        <w:t>根据本公司</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年第二次临时股东大会决议、第三届董事会第十九次会议决议，并经中国证券监督管理委员会</w:t>
      </w:r>
      <w:r>
        <w:rPr>
          <w:rFonts w:ascii="Times New Roman" w:hAnsi="Times New Roman" w:cs="Times New Roman" w:eastAsia="Times New Roman" w:hint="default"/>
        </w:rPr>
        <w:t>“</w:t>
      </w:r>
      <w:r>
        <w:rPr/>
        <w:t>证监许可</w:t>
      </w:r>
    </w:p>
    <w:p>
      <w:pPr>
        <w:pStyle w:val="BodyText"/>
        <w:spacing w:line="240" w:lineRule="auto" w:before="63"/>
        <w:ind w:left="1134" w:right="0"/>
        <w:jc w:val="left"/>
      </w:pPr>
      <w:r>
        <w:rPr>
          <w:rFonts w:ascii="Times New Roman" w:hAnsi="Times New Roman" w:cs="Times New Roman" w:eastAsia="Times New Roman" w:hint="default"/>
        </w:rPr>
        <w:t>[2017]855</w:t>
      </w:r>
      <w:r>
        <w:rPr>
          <w:rFonts w:ascii="Times New Roman" w:hAnsi="Times New Roman" w:cs="Times New Roman" w:eastAsia="Times New Roman" w:hint="default"/>
          <w:spacing w:val="-14"/>
        </w:rPr>
        <w:t> </w:t>
      </w:r>
      <w:r>
        <w:rPr/>
        <w:t>号</w:t>
      </w:r>
      <w:r>
        <w:rPr>
          <w:rFonts w:ascii="Times New Roman" w:hAnsi="Times New Roman" w:cs="Times New Roman" w:eastAsia="Times New Roman" w:hint="default"/>
        </w:rPr>
        <w:t>”</w:t>
      </w:r>
      <w:r>
        <w:rPr/>
        <w:t>核准，公司拟向拟向鲜丹发行</w:t>
      </w:r>
      <w:r>
        <w:rPr>
          <w:spacing w:val="-59"/>
        </w:rPr>
        <w:t> </w:t>
      </w:r>
      <w:r>
        <w:rPr>
          <w:rFonts w:ascii="Times New Roman" w:hAnsi="Times New Roman" w:cs="Times New Roman" w:eastAsia="Times New Roman" w:hint="default"/>
        </w:rPr>
        <w:t>45,923,991</w:t>
      </w:r>
      <w:r>
        <w:rPr>
          <w:rFonts w:ascii="Times New Roman" w:hAnsi="Times New Roman" w:cs="Times New Roman" w:eastAsia="Times New Roman" w:hint="default"/>
          <w:spacing w:val="-13"/>
        </w:rPr>
        <w:t> </w:t>
      </w:r>
      <w:r>
        <w:rPr/>
        <w:t>股股份，向蔡友弟发行</w:t>
      </w:r>
      <w:r>
        <w:rPr>
          <w:spacing w:val="-59"/>
        </w:rPr>
        <w:t> </w:t>
      </w:r>
      <w:r>
        <w:rPr>
          <w:rFonts w:ascii="Times New Roman" w:hAnsi="Times New Roman" w:cs="Times New Roman" w:eastAsia="Times New Roman" w:hint="default"/>
        </w:rPr>
        <w:t>29,178,369</w:t>
      </w:r>
      <w:r>
        <w:rPr>
          <w:rFonts w:ascii="Times New Roman" w:hAnsi="Times New Roman" w:cs="Times New Roman" w:eastAsia="Times New Roman" w:hint="default"/>
          <w:spacing w:val="-14"/>
        </w:rPr>
        <w:t> </w:t>
      </w:r>
      <w:r>
        <w:rPr/>
        <w:t>股股份，向北京奕铭投资管理中心</w:t>
      </w:r>
    </w:p>
    <w:p>
      <w:pPr>
        <w:pStyle w:val="BodyText"/>
        <w:spacing w:line="240" w:lineRule="auto" w:before="63"/>
        <w:ind w:right="0"/>
        <w:jc w:val="left"/>
        <w:rPr>
          <w:rFonts w:ascii="Times New Roman" w:hAnsi="Times New Roman" w:cs="Times New Roman" w:eastAsia="Times New Roman" w:hint="default"/>
        </w:rPr>
      </w:pPr>
      <w:r>
        <w:rPr/>
        <w:t>（有限合伙</w:t>
      </w:r>
      <w:r>
        <w:rPr>
          <w:spacing w:val="-90"/>
        </w:rPr>
        <w:t>）</w:t>
      </w:r>
      <w:r>
        <w:rPr/>
        <w:t>发行</w:t>
      </w:r>
      <w:r>
        <w:rPr>
          <w:spacing w:val="-50"/>
        </w:rPr>
        <w:t> </w:t>
      </w:r>
      <w:r>
        <w:rPr>
          <w:rFonts w:ascii="Times New Roman" w:hAnsi="Times New Roman" w:cs="Times New Roman" w:eastAsia="Times New Roman" w:hint="default"/>
        </w:rPr>
        <w:t>20,875,797</w:t>
      </w:r>
      <w:r>
        <w:rPr>
          <w:rFonts w:ascii="Times New Roman" w:hAnsi="Times New Roman" w:cs="Times New Roman" w:eastAsia="Times New Roman" w:hint="default"/>
          <w:spacing w:val="-7"/>
        </w:rPr>
        <w:t> </w:t>
      </w:r>
      <w:r>
        <w:rPr/>
        <w:t>股股份</w:t>
      </w:r>
      <w:r>
        <w:rPr>
          <w:spacing w:val="-90"/>
        </w:rPr>
        <w:t>，</w:t>
      </w:r>
      <w:r>
        <w:rPr/>
        <w:t>向王彤发行</w:t>
      </w:r>
      <w:r>
        <w:rPr>
          <w:spacing w:val="-50"/>
        </w:rPr>
        <w:t> </w:t>
      </w:r>
      <w:r>
        <w:rPr>
          <w:rFonts w:ascii="Times New Roman" w:hAnsi="Times New Roman" w:cs="Times New Roman" w:eastAsia="Times New Roman" w:hint="default"/>
        </w:rPr>
        <w:t>13,456,0</w:t>
      </w:r>
      <w:r>
        <w:rPr>
          <w:rFonts w:ascii="Times New Roman" w:hAnsi="Times New Roman" w:cs="Times New Roman" w:eastAsia="Times New Roman" w:hint="default"/>
          <w:spacing w:val="-2"/>
        </w:rPr>
        <w:t>8</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股股份</w:t>
      </w:r>
      <w:r>
        <w:rPr>
          <w:spacing w:val="-90"/>
        </w:rPr>
        <w:t>，</w:t>
      </w:r>
      <w:r>
        <w:rPr/>
        <w:t>向尤光兴发行</w:t>
      </w:r>
      <w:r>
        <w:rPr>
          <w:spacing w:val="-51"/>
        </w:rPr>
        <w:t> </w:t>
      </w:r>
      <w:r>
        <w:rPr>
          <w:rFonts w:ascii="Times New Roman" w:hAnsi="Times New Roman" w:cs="Times New Roman" w:eastAsia="Times New Roman" w:hint="default"/>
        </w:rPr>
        <w:t>8,052</w:t>
      </w:r>
      <w:r>
        <w:rPr>
          <w:rFonts w:ascii="Times New Roman" w:hAnsi="Times New Roman" w:cs="Times New Roman" w:eastAsia="Times New Roman" w:hint="default"/>
          <w:spacing w:val="-1"/>
        </w:rPr>
        <w:t>,</w:t>
      </w:r>
      <w:r>
        <w:rPr>
          <w:rFonts w:ascii="Times New Roman" w:hAnsi="Times New Roman" w:cs="Times New Roman" w:eastAsia="Times New Roman" w:hint="default"/>
        </w:rPr>
        <w:t>307</w:t>
      </w:r>
      <w:r>
        <w:rPr>
          <w:rFonts w:ascii="Times New Roman" w:hAnsi="Times New Roman" w:cs="Times New Roman" w:eastAsia="Times New Roman" w:hint="default"/>
          <w:spacing w:val="-5"/>
        </w:rPr>
        <w:t> </w:t>
      </w:r>
      <w:r>
        <w:rPr/>
        <w:t>股股份</w:t>
      </w:r>
      <w:r>
        <w:rPr>
          <w:spacing w:val="-90"/>
        </w:rPr>
        <w:t>，</w:t>
      </w:r>
      <w:r>
        <w:rPr/>
        <w:t>向邓振国发行</w:t>
      </w:r>
      <w:r>
        <w:rPr>
          <w:spacing w:val="-51"/>
        </w:rPr>
        <w:t> </w:t>
      </w:r>
      <w:r>
        <w:rPr>
          <w:rFonts w:ascii="Times New Roman" w:hAnsi="Times New Roman" w:cs="Times New Roman" w:eastAsia="Times New Roman" w:hint="default"/>
        </w:rPr>
        <w:t>5,636,154</w:t>
      </w:r>
    </w:p>
    <w:p>
      <w:pPr>
        <w:pStyle w:val="BodyText"/>
        <w:spacing w:line="240" w:lineRule="auto" w:before="63"/>
        <w:ind w:right="0"/>
        <w:jc w:val="left"/>
      </w:pPr>
      <w:r>
        <w:rPr/>
        <w:t>股股份，向蔡小如发行</w:t>
      </w:r>
      <w:r>
        <w:rPr>
          <w:spacing w:val="-62"/>
        </w:rPr>
        <w:t> </w:t>
      </w:r>
      <w:r>
        <w:rPr>
          <w:rFonts w:ascii="Times New Roman" w:hAnsi="Times New Roman" w:cs="Times New Roman" w:eastAsia="Times New Roman" w:hint="default"/>
        </w:rPr>
        <w:t>4,026,154</w:t>
      </w:r>
      <w:r>
        <w:rPr>
          <w:rFonts w:ascii="Times New Roman" w:hAnsi="Times New Roman" w:cs="Times New Roman" w:eastAsia="Times New Roman" w:hint="default"/>
          <w:spacing w:val="-17"/>
        </w:rPr>
        <w:t> </w:t>
      </w:r>
      <w:r>
        <w:rPr/>
        <w:t>股股份，向中山市微远创新投资基金管理中心（有限合伙）发行</w:t>
      </w:r>
      <w:r>
        <w:rPr>
          <w:spacing w:val="-61"/>
        </w:rPr>
        <w:t> </w:t>
      </w:r>
      <w:r>
        <w:rPr>
          <w:rFonts w:ascii="Times New Roman" w:hAnsi="Times New Roman" w:cs="Times New Roman" w:eastAsia="Times New Roman" w:hint="default"/>
        </w:rPr>
        <w:t>2,790,609</w:t>
      </w:r>
      <w:r>
        <w:rPr>
          <w:rFonts w:ascii="Times New Roman" w:hAnsi="Times New Roman" w:cs="Times New Roman" w:eastAsia="Times New Roman" w:hint="default"/>
          <w:spacing w:val="-17"/>
        </w:rPr>
        <w:t> </w:t>
      </w:r>
      <w:r>
        <w:rPr>
          <w:spacing w:val="-3"/>
        </w:rPr>
        <w:t>股股份，向于净</w:t>
      </w:r>
    </w:p>
    <w:p>
      <w:pPr>
        <w:pStyle w:val="BodyText"/>
        <w:spacing w:line="240" w:lineRule="auto" w:before="63"/>
        <w:ind w:right="0"/>
        <w:jc w:val="left"/>
      </w:pPr>
      <w:r>
        <w:rPr/>
        <w:t>发行</w:t>
      </w:r>
      <w:r>
        <w:rPr>
          <w:spacing w:val="-47"/>
        </w:rPr>
        <w:t> </w:t>
      </w:r>
      <w:r>
        <w:rPr>
          <w:rFonts w:ascii="Times New Roman" w:hAnsi="Times New Roman" w:cs="Times New Roman" w:eastAsia="Times New Roman" w:hint="default"/>
        </w:rPr>
        <w:t>3,221,154</w:t>
      </w:r>
      <w:r>
        <w:rPr>
          <w:rFonts w:ascii="Times New Roman" w:hAnsi="Times New Roman" w:cs="Times New Roman" w:eastAsia="Times New Roman" w:hint="default"/>
          <w:spacing w:val="-1"/>
        </w:rPr>
        <w:t> </w:t>
      </w:r>
      <w:r>
        <w:rPr/>
        <w:t>股股份，向林松柏发行</w:t>
      </w:r>
      <w:r>
        <w:rPr>
          <w:spacing w:val="-47"/>
        </w:rPr>
        <w:t> </w:t>
      </w:r>
      <w:r>
        <w:rPr>
          <w:rFonts w:ascii="Times New Roman" w:hAnsi="Times New Roman" w:cs="Times New Roman" w:eastAsia="Times New Roman" w:hint="default"/>
        </w:rPr>
        <w:t>3,221,153</w:t>
      </w:r>
      <w:r>
        <w:rPr>
          <w:rFonts w:ascii="Times New Roman" w:hAnsi="Times New Roman" w:cs="Times New Roman" w:eastAsia="Times New Roman" w:hint="default"/>
          <w:spacing w:val="-2"/>
        </w:rPr>
        <w:t> </w:t>
      </w:r>
      <w:r>
        <w:rPr/>
        <w:t>股股份，向叶成春发行</w:t>
      </w:r>
      <w:r>
        <w:rPr>
          <w:spacing w:val="-47"/>
        </w:rPr>
        <w:t> </w:t>
      </w:r>
      <w:r>
        <w:rPr>
          <w:rFonts w:ascii="Times New Roman" w:hAnsi="Times New Roman" w:cs="Times New Roman" w:eastAsia="Times New Roman" w:hint="default"/>
        </w:rPr>
        <w:t>1,783,951</w:t>
      </w:r>
      <w:r>
        <w:rPr>
          <w:rFonts w:ascii="Times New Roman" w:hAnsi="Times New Roman" w:cs="Times New Roman" w:eastAsia="Times New Roman" w:hint="default"/>
          <w:spacing w:val="-2"/>
        </w:rPr>
        <w:t> </w:t>
      </w:r>
      <w:r>
        <w:rPr/>
        <w:t>股股份购买相关资产；此外，公司拟非公</w:t>
      </w:r>
    </w:p>
    <w:p>
      <w:pPr>
        <w:pStyle w:val="BodyText"/>
        <w:spacing w:line="240" w:lineRule="auto" w:before="63"/>
        <w:ind w:right="0"/>
        <w:jc w:val="left"/>
        <w:rPr>
          <w:rFonts w:ascii="Times New Roman" w:hAnsi="Times New Roman" w:cs="Times New Roman" w:eastAsia="Times New Roman" w:hint="default"/>
        </w:rPr>
      </w:pPr>
      <w:r>
        <w:rPr/>
        <w:t>开发行</w:t>
      </w:r>
      <w:r>
        <w:rPr>
          <w:spacing w:val="-49"/>
        </w:rPr>
        <w:t> </w:t>
      </w:r>
      <w:r>
        <w:rPr>
          <w:rFonts w:ascii="Times New Roman" w:hAnsi="Times New Roman" w:cs="Times New Roman" w:eastAsia="Times New Roman" w:hint="default"/>
        </w:rPr>
        <w:t>17,854,114</w:t>
      </w:r>
      <w:r>
        <w:rPr>
          <w:rFonts w:ascii="Times New Roman" w:hAnsi="Times New Roman" w:cs="Times New Roman" w:eastAsia="Times New Roman" w:hint="default"/>
          <w:spacing w:val="-4"/>
        </w:rPr>
        <w:t> </w:t>
      </w:r>
      <w:r>
        <w:rPr>
          <w:spacing w:val="-6"/>
        </w:rPr>
        <w:t>股（每股面值</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6"/>
        </w:rPr>
        <w:t>元）人民币普通股。截至</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日，本公司实际已发行人民币普通股</w:t>
      </w:r>
      <w:r>
        <w:rPr>
          <w:spacing w:val="-49"/>
        </w:rPr>
        <w:t> </w:t>
      </w:r>
      <w:r>
        <w:rPr>
          <w:rFonts w:ascii="Times New Roman" w:hAnsi="Times New Roman" w:cs="Times New Roman" w:eastAsia="Times New Roman" w:hint="default"/>
        </w:rPr>
        <w:t>156,019,839</w:t>
      </w:r>
    </w:p>
    <w:p>
      <w:pPr>
        <w:pStyle w:val="BodyText"/>
        <w:spacing w:line="240" w:lineRule="auto" w:before="63"/>
        <w:ind w:right="0"/>
        <w:jc w:val="left"/>
      </w:pPr>
      <w:r>
        <w:rPr/>
        <w:t>股，每股面值</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元，变更后的注册资本（股本）为人民币</w:t>
      </w:r>
      <w:r>
        <w:rPr>
          <w:spacing w:val="-55"/>
        </w:rPr>
        <w:t> </w:t>
      </w:r>
      <w:r>
        <w:rPr>
          <w:rFonts w:ascii="Times New Roman" w:hAnsi="Times New Roman" w:cs="Times New Roman" w:eastAsia="Times New Roman" w:hint="default"/>
        </w:rPr>
        <w:t>631,019,839.00</w:t>
      </w:r>
      <w:r>
        <w:rPr>
          <w:rFonts w:ascii="Times New Roman" w:hAnsi="Times New Roman" w:cs="Times New Roman" w:eastAsia="Times New Roman" w:hint="default"/>
          <w:spacing w:val="-10"/>
        </w:rPr>
        <w:t> </w:t>
      </w:r>
      <w:r>
        <w:rPr/>
        <w:t>元。其中，鲜丹、蔡友弟、北京奕铭投资管理中心</w:t>
      </w:r>
    </w:p>
    <w:p>
      <w:pPr>
        <w:pStyle w:val="BodyText"/>
        <w:spacing w:line="316" w:lineRule="auto" w:before="63"/>
        <w:ind w:right="1126"/>
        <w:jc w:val="left"/>
      </w:pPr>
      <w:r>
        <w:rPr>
          <w:spacing w:val="-5"/>
        </w:rPr>
        <w:t>（有限合伙）、王彤、尤光兴、邓振国、蔡小如、中山市微远创新投资基金管理中心（有限合伙）、于净、林松柏、叶成春以</w:t>
      </w:r>
      <w:r>
        <w:rPr>
          <w:spacing w:val="-82"/>
        </w:rPr>
        <w:t> </w:t>
      </w:r>
      <w:r>
        <w:rPr>
          <w:spacing w:val="-82"/>
        </w:rPr>
      </w:r>
      <w:r>
        <w:rPr/>
        <w:t>其合计持有深圳市威富通科技有限公司</w:t>
      </w:r>
      <w:r>
        <w:rPr>
          <w:spacing w:val="-49"/>
        </w:rPr>
        <w:t> </w:t>
      </w:r>
      <w:r>
        <w:rPr>
          <w:rFonts w:ascii="Times New Roman" w:hAnsi="Times New Roman" w:cs="Times New Roman" w:eastAsia="Times New Roman" w:hint="default"/>
        </w:rPr>
        <w:t>85.80%</w:t>
      </w:r>
      <w:r>
        <w:rPr/>
        <w:t>的股权出资</w:t>
      </w:r>
      <w:r>
        <w:rPr>
          <w:spacing w:val="-49"/>
        </w:rPr>
        <w:t> </w:t>
      </w:r>
      <w:r>
        <w:rPr>
          <w:rFonts w:ascii="Times New Roman" w:hAnsi="Times New Roman" w:cs="Times New Roman" w:eastAsia="Times New Roman" w:hint="default"/>
        </w:rPr>
        <w:t>1,758,849,690.62</w:t>
      </w:r>
      <w:r>
        <w:rPr>
          <w:rFonts w:ascii="Times New Roman" w:hAnsi="Times New Roman" w:cs="Times New Roman" w:eastAsia="Times New Roman" w:hint="default"/>
          <w:spacing w:val="-3"/>
        </w:rPr>
        <w:t> </w:t>
      </w:r>
      <w:r>
        <w:rPr/>
        <w:t>元，其中计入注册资本</w:t>
      </w:r>
      <w:r>
        <w:rPr>
          <w:spacing w:val="-49"/>
        </w:rPr>
        <w:t> </w:t>
      </w:r>
      <w:r>
        <w:rPr>
          <w:rFonts w:ascii="Times New Roman" w:hAnsi="Times New Roman" w:cs="Times New Roman" w:eastAsia="Times New Roman" w:hint="default"/>
        </w:rPr>
        <w:t>138,165,725.00</w:t>
      </w:r>
      <w:r>
        <w:rPr>
          <w:rFonts w:ascii="Times New Roman" w:hAnsi="Times New Roman" w:cs="Times New Roman" w:eastAsia="Times New Roman" w:hint="default"/>
          <w:spacing w:val="-3"/>
        </w:rPr>
        <w:t> </w:t>
      </w:r>
      <w:r>
        <w:rPr/>
        <w:t>元，计入</w:t>
      </w:r>
    </w:p>
    <w:p>
      <w:pPr>
        <w:pStyle w:val="BodyText"/>
        <w:spacing w:line="248" w:lineRule="exact"/>
        <w:ind w:right="0"/>
        <w:jc w:val="left"/>
      </w:pPr>
      <w:r>
        <w:rPr/>
        <w:t>资本溢价</w:t>
      </w:r>
      <w:r>
        <w:rPr>
          <w:spacing w:val="-48"/>
        </w:rPr>
        <w:t> </w:t>
      </w:r>
      <w:r>
        <w:rPr>
          <w:rFonts w:ascii="Times New Roman" w:hAnsi="Times New Roman" w:cs="Times New Roman" w:eastAsia="Times New Roman" w:hint="default"/>
        </w:rPr>
        <w:t>1,620,683,965.62</w:t>
      </w:r>
      <w:r>
        <w:rPr>
          <w:rFonts w:ascii="Times New Roman" w:hAnsi="Times New Roman" w:cs="Times New Roman" w:eastAsia="Times New Roman" w:hint="default"/>
          <w:spacing w:val="-2"/>
        </w:rPr>
        <w:t> </w:t>
      </w:r>
      <w:r>
        <w:rPr/>
        <w:t>元；公司非公开发行人民币普通股</w:t>
      </w:r>
      <w:r>
        <w:rPr>
          <w:spacing w:val="-48"/>
        </w:rPr>
        <w:t> </w:t>
      </w:r>
      <w:r>
        <w:rPr>
          <w:rFonts w:ascii="Times New Roman" w:hAnsi="Times New Roman" w:cs="Times New Roman" w:eastAsia="Times New Roman" w:hint="default"/>
        </w:rPr>
        <w:t>17,854,114</w:t>
      </w:r>
      <w:r>
        <w:rPr>
          <w:rFonts w:ascii="Times New Roman" w:hAnsi="Times New Roman" w:cs="Times New Roman" w:eastAsia="Times New Roman" w:hint="default"/>
          <w:spacing w:val="-3"/>
        </w:rPr>
        <w:t> </w:t>
      </w:r>
      <w:r>
        <w:rPr/>
        <w:t>股，发行价格</w:t>
      </w:r>
      <w:r>
        <w:rPr>
          <w:spacing w:val="-48"/>
        </w:rPr>
        <w:t> </w:t>
      </w:r>
      <w:r>
        <w:rPr>
          <w:rFonts w:ascii="Times New Roman" w:hAnsi="Times New Roman" w:cs="Times New Roman" w:eastAsia="Times New Roman" w:hint="default"/>
        </w:rPr>
        <w:t>14.05</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股，募集资金总额为</w:t>
      </w:r>
    </w:p>
    <w:p>
      <w:pPr>
        <w:pStyle w:val="BodyText"/>
        <w:spacing w:line="240" w:lineRule="auto" w:before="63"/>
        <w:ind w:right="0"/>
        <w:jc w:val="left"/>
      </w:pPr>
      <w:r>
        <w:rPr>
          <w:rFonts w:ascii="Times New Roman" w:hAnsi="Times New Roman" w:cs="Times New Roman" w:eastAsia="Times New Roman" w:hint="default"/>
        </w:rPr>
        <w:t>250,850,309.38</w:t>
      </w:r>
      <w:r>
        <w:rPr>
          <w:rFonts w:ascii="Times New Roman" w:hAnsi="Times New Roman" w:cs="Times New Roman" w:eastAsia="Times New Roman" w:hint="default"/>
          <w:spacing w:val="-3"/>
        </w:rPr>
        <w:t> </w:t>
      </w:r>
      <w:r>
        <w:rPr/>
        <w:t>元，扣除发行费用</w:t>
      </w:r>
      <w:r>
        <w:rPr>
          <w:spacing w:val="-49"/>
        </w:rPr>
        <w:t> </w:t>
      </w:r>
      <w:r>
        <w:rPr>
          <w:rFonts w:ascii="Times New Roman" w:hAnsi="Times New Roman" w:cs="Times New Roman" w:eastAsia="Times New Roman" w:hint="default"/>
        </w:rPr>
        <w:t>11,745,283.02</w:t>
      </w:r>
      <w:r>
        <w:rPr>
          <w:rFonts w:ascii="Times New Roman" w:hAnsi="Times New Roman" w:cs="Times New Roman" w:eastAsia="Times New Roman" w:hint="default"/>
          <w:spacing w:val="-3"/>
        </w:rPr>
        <w:t> </w:t>
      </w:r>
      <w:r>
        <w:rPr/>
        <w:t>元，募集资金净额为人民币</w:t>
      </w:r>
      <w:r>
        <w:rPr>
          <w:spacing w:val="-49"/>
        </w:rPr>
        <w:t> </w:t>
      </w:r>
      <w:r>
        <w:rPr>
          <w:rFonts w:ascii="Times New Roman" w:hAnsi="Times New Roman" w:cs="Times New Roman" w:eastAsia="Times New Roman" w:hint="default"/>
        </w:rPr>
        <w:t>239,105,026.36</w:t>
      </w:r>
      <w:r>
        <w:rPr>
          <w:rFonts w:ascii="Times New Roman" w:hAnsi="Times New Roman" w:cs="Times New Roman" w:eastAsia="Times New Roman" w:hint="default"/>
          <w:spacing w:val="-3"/>
        </w:rPr>
        <w:t> </w:t>
      </w:r>
      <w:r>
        <w:rPr/>
        <w:t>元，其中计入注册资本（股本）</w:t>
      </w:r>
    </w:p>
    <w:p>
      <w:pPr>
        <w:pStyle w:val="BodyText"/>
        <w:spacing w:line="240" w:lineRule="auto" w:before="64"/>
        <w:ind w:right="0"/>
        <w:jc w:val="left"/>
      </w:pPr>
      <w:r>
        <w:rPr>
          <w:rFonts w:ascii="Times New Roman" w:hAnsi="Times New Roman" w:cs="Times New Roman" w:eastAsia="Times New Roman" w:hint="default"/>
        </w:rPr>
        <w:t>17,854,114.00</w:t>
      </w:r>
      <w:r>
        <w:rPr>
          <w:rFonts w:ascii="Times New Roman" w:hAnsi="Times New Roman" w:cs="Times New Roman" w:eastAsia="Times New Roman" w:hint="default"/>
          <w:spacing w:val="-5"/>
        </w:rPr>
        <w:t> </w:t>
      </w:r>
      <w:r>
        <w:rPr/>
        <w:t>元，计入资本溢价</w:t>
      </w:r>
      <w:r>
        <w:rPr>
          <w:spacing w:val="-50"/>
        </w:rPr>
        <w:t> </w:t>
      </w:r>
      <w:r>
        <w:rPr>
          <w:rFonts w:ascii="Times New Roman" w:hAnsi="Times New Roman" w:cs="Times New Roman" w:eastAsia="Times New Roman" w:hint="default"/>
        </w:rPr>
        <w:t>221,250,912.36</w:t>
      </w:r>
      <w:r>
        <w:rPr>
          <w:rFonts w:ascii="Times New Roman" w:hAnsi="Times New Roman" w:cs="Times New Roman" w:eastAsia="Times New Roman" w:hint="default"/>
          <w:spacing w:val="-4"/>
        </w:rPr>
        <w:t> </w:t>
      </w:r>
      <w:r>
        <w:rPr/>
        <w:t>元人民币。</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3、其他综合收益" w:id="264"/>
      <w:bookmarkEnd w:id="264"/>
      <w:r>
        <w:rPr>
          <w:b w:val="0"/>
          <w:bCs w:val="0"/>
        </w:rPr>
      </w:r>
      <w:r>
        <w:rPr>
          <w:rFonts w:ascii="Times New Roman" w:hAnsi="Times New Roman" w:cs="Times New Roman" w:eastAsia="Times New Roman" w:hint="default"/>
        </w:rPr>
        <w:t>33</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403"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7"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7"/>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-434,468.53</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-434,468.53</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-434,468.</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w:t>
            </w: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-434,468.53</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-434,468.53</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-434,468.</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-434,468.53</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-434,468.53</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-434,468.</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2"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其他说明，包括对现金流量套期损益的有效部分转为被套期项目初始确认金额调整：</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4、盈余公积" w:id="265"/>
      <w:bookmarkEnd w:id="265"/>
      <w:r>
        <w:rPr>
          <w:b w:val="0"/>
          <w:bCs w:val="0"/>
        </w:rPr>
      </w:r>
      <w:r>
        <w:rPr>
          <w:rFonts w:ascii="Times New Roman" w:hAnsi="Times New Roman" w:cs="Times New Roman" w:eastAsia="Times New Roman" w:hint="default"/>
        </w:rPr>
        <w:t>34</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79,403,687.72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9,818,258.96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89,221,946.68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79,403,687.72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9,818,258.96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89,221,946.68</w:t>
            </w:r>
          </w:p>
        </w:tc>
      </w:tr>
    </w:tbl>
    <w:p>
      <w:pPr>
        <w:pStyle w:val="BodyText"/>
        <w:spacing w:line="240" w:lineRule="auto" w:before="51"/>
        <w:ind w:left="1134" w:right="0"/>
        <w:jc w:val="left"/>
      </w:pPr>
      <w:r>
        <w:rPr/>
        <w:t>盈余公积说明，包括本期增减变动情况、变动原因说明：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35、未分配利润" w:id="266"/>
      <w:bookmarkEnd w:id="266"/>
      <w:r>
        <w:rPr>
          <w:b w:val="0"/>
          <w:bCs w:val="0"/>
        </w:rPr>
      </w:r>
      <w:r>
        <w:rPr>
          <w:rFonts w:ascii="Times New Roman" w:hAnsi="Times New Roman" w:cs="Times New Roman" w:eastAsia="Times New Roman" w:hint="default"/>
        </w:rPr>
        <w:t>35</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595,239,048.32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520,827,212.30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595,239,048.32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520,827,212.30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249,291,729.69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100,548,129.90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9,818,258.96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11,886,293.88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14,250,000.00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14,250,000.00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820,462,519.05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595,239,048.32</w:t>
            </w:r>
          </w:p>
        </w:tc>
      </w:tr>
    </w:tbl>
    <w:p>
      <w:pPr>
        <w:pStyle w:val="BodyText"/>
        <w:spacing w:line="240" w:lineRule="auto" w:before="51"/>
        <w:ind w:left="1134" w:right="0"/>
        <w:jc w:val="left"/>
      </w:pPr>
      <w:r>
        <w:rPr/>
        <w:t>调整期初未分配利润明细：</w:t>
      </w:r>
    </w:p>
    <w:p>
      <w:pPr>
        <w:pStyle w:val="BodyText"/>
        <w:spacing w:line="240" w:lineRule="auto" w:before="117"/>
        <w:ind w:left="113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left="1134" w:right="0"/>
        <w:jc w:val="left"/>
        <w:rPr>
          <w:b w:val="0"/>
          <w:bCs w:val="0"/>
        </w:rPr>
      </w:pPr>
      <w:bookmarkStart w:name="36、营业收入和营业成本" w:id="267"/>
      <w:bookmarkEnd w:id="267"/>
      <w:r>
        <w:rPr>
          <w:b w:val="0"/>
          <w:bCs w:val="0"/>
        </w:rPr>
      </w:r>
      <w:r>
        <w:rPr>
          <w:rFonts w:ascii="Times New Roman" w:hAnsi="Times New Roman" w:cs="Times New Roman" w:eastAsia="Times New Roman" w:hint="default"/>
        </w:rPr>
        <w:t>36</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7"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2,351,828,842.29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1,723,127,275.66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1,371,643,346.67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1,087,142,830.59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153,765,070.20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116,194,860.60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67,439,575.75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53,583,213.83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2,505,593,912.49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1,839,322,136.26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1,439,082,922.42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1,140,726,044.42</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7、税金及附加" w:id="268"/>
      <w:bookmarkEnd w:id="268"/>
      <w:r>
        <w:rPr>
          <w:b w:val="0"/>
          <w:bCs w:val="0"/>
        </w:rPr>
      </w:r>
      <w:r>
        <w:rPr>
          <w:rFonts w:ascii="Times New Roman" w:hAnsi="Times New Roman" w:cs="Times New Roman" w:eastAsia="Times New Roman" w:hint="default"/>
        </w:rPr>
        <w:t>37</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856,636.48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173,805.22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1,510,444.37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869,026.09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3,484,897.08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2,621,310.36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3,484,049.82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2,884,205.64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55,350.28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5,616.60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1,952,475.37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777,519.10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198,000.02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11,541,853.42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7,331,483.01</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8、销售费用" w:id="269"/>
      <w:bookmarkEnd w:id="269"/>
      <w:r>
        <w:rPr>
          <w:b w:val="0"/>
          <w:bCs w:val="0"/>
        </w:rPr>
      </w:r>
      <w:r>
        <w:rPr>
          <w:rFonts w:ascii="Times New Roman" w:hAnsi="Times New Roman" w:cs="Times New Roman" w:eastAsia="Times New Roman" w:hint="default"/>
        </w:rPr>
        <w:t>38</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21,452,781.27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10,062,404.83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9,320,303.89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6,714,655.60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4,821,306.75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3,360,440.61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1,837,319.16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1,089,416.78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2,274,133.09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1,297,748.27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1,486,514.75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930,079.04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1,916,400.15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1,806,718.70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2,246,304.08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4,148,440.85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4,178,553.55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1,115,939.38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49,533,616.69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30,525,844.06</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9、管理费用" w:id="270"/>
      <w:bookmarkEnd w:id="270"/>
      <w:r>
        <w:rPr>
          <w:b w:val="0"/>
          <w:bCs w:val="0"/>
        </w:rPr>
      </w:r>
      <w:r>
        <w:rPr>
          <w:rFonts w:ascii="Times New Roman" w:hAnsi="Times New Roman" w:cs="Times New Roman" w:eastAsia="Times New Roman" w:hint="default"/>
        </w:rPr>
        <w:t>39</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118,333,115.40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39,869,588.19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71,779,719.50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56,073,841.72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劳动保险费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6,911,622.49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8,780,579.49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14,060,395.05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8,907,728.18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13,072,060.05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8,391,836.76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7,404,203.75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7,257,291.73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16,977.58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1,915,948.07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排污绿化费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16,741,028.02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11,933,853.06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5,443,630.13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2,913,505.97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6,848,109.57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4,378,905.90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23,149,502.31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11,400,895.05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283,760,363.85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161,823,974.12</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0、财务费用" w:id="271"/>
      <w:bookmarkEnd w:id="271"/>
      <w:r>
        <w:rPr>
          <w:b w:val="0"/>
          <w:bCs w:val="0"/>
        </w:rPr>
      </w:r>
      <w:r>
        <w:rPr>
          <w:rFonts w:ascii="Times New Roman" w:hAnsi="Times New Roman" w:cs="Times New Roman" w:eastAsia="Times New Roman" w:hint="default"/>
        </w:rPr>
        <w:t>40</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20,392,970.69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4,962,168.94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1,030,641.47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2,175,669.64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票据贴现支出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322,718.56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1,292,907.11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9,853,900.02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-6,875,810.46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944,936.94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812,139.26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30,483,884.74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-1,984,264.79</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1、资产减值损失" w:id="272"/>
      <w:bookmarkEnd w:id="272"/>
      <w:r>
        <w:rPr>
          <w:b w:val="0"/>
          <w:bCs w:val="0"/>
        </w:rPr>
      </w:r>
      <w:r>
        <w:rPr>
          <w:rFonts w:ascii="Times New Roman" w:hAnsi="Times New Roman" w:cs="Times New Roman" w:eastAsia="Times New Roman" w:hint="default"/>
        </w:rPr>
        <w:t>41</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9,747,293.61</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6,378,384.99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5,226,149.08</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6,495,392.06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14,973,442.69</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12,873,777.05</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2、公允价值变动收益" w:id="273"/>
      <w:bookmarkEnd w:id="273"/>
      <w:r>
        <w:rPr>
          <w:b w:val="0"/>
          <w:bCs w:val="0"/>
        </w:rPr>
      </w:r>
      <w:r>
        <w:rPr>
          <w:rFonts w:ascii="Times New Roman" w:hAnsi="Times New Roman" w:cs="Times New Roman" w:eastAsia="Times New Roman" w:hint="default"/>
        </w:rPr>
        <w:t>42</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-3,518,534.90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1,884,031.00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-3,518,534.90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1,884,031.00</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3、投资收益" w:id="274"/>
      <w:bookmarkEnd w:id="274"/>
      <w:r>
        <w:rPr>
          <w:b w:val="0"/>
          <w:bCs w:val="0"/>
        </w:rPr>
      </w:r>
      <w:r>
        <w:rPr>
          <w:rFonts w:ascii="Times New Roman" w:hAnsi="Times New Roman" w:cs="Times New Roman" w:eastAsia="Times New Roman" w:hint="default"/>
        </w:rPr>
        <w:t>43</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460"/>
        <w:gridCol w:w="3191"/>
        <w:gridCol w:w="2918"/>
      </w:tblGrid>
      <w:tr>
        <w:trPr>
          <w:trHeight w:val="401"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4,087,032.04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289,353.42</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远期外汇合约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-5,038,810.35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-646,410.43</w:t>
            </w:r>
            <w:r>
              <w:rPr>
                <w:rFonts w:ascii="Times New Roman"/>
                <w:sz w:val="18"/>
              </w:rPr>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-2,570,655.56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-3,522,433.87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-357,057.01</w:t>
            </w:r>
            <w:r>
              <w:rPr>
                <w:rFonts w:ascii="Times New Roman"/>
                <w:sz w:val="18"/>
              </w:rPr>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4、其他收益" w:id="275"/>
      <w:bookmarkEnd w:id="275"/>
      <w:r>
        <w:rPr>
          <w:b w:val="0"/>
          <w:bCs w:val="0"/>
        </w:rPr>
      </w:r>
      <w:r>
        <w:rPr>
          <w:rFonts w:ascii="Times New Roman" w:hAnsi="Times New Roman" w:cs="Times New Roman" w:eastAsia="Times New Roman" w:hint="default"/>
        </w:rPr>
        <w:t>44</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市级重点技改补助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专利资助费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128,216.00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江苏超纤专项资金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10,120,695.60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土地使用税专项补助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2,839,200.00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工业企业技术改造补贴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工业经济奖励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外贸奖励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江苏化学专项补助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208,740.00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5、营业外收入" w:id="276"/>
      <w:bookmarkEnd w:id="276"/>
      <w:r>
        <w:rPr>
          <w:b w:val="0"/>
          <w:bCs w:val="0"/>
        </w:rPr>
      </w:r>
      <w:r>
        <w:rPr>
          <w:rFonts w:ascii="Times New Roman" w:hAnsi="Times New Roman" w:cs="Times New Roman" w:eastAsia="Times New Roman" w:hint="default"/>
        </w:rPr>
        <w:t>45</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157,404.20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29,269,552.80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157,404.20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253,261.94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253,261.94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389,525.28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445,900.76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389,525.28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800,191.42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29,715,453.56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800,191.42</w:t>
            </w:r>
          </w:p>
        </w:tc>
      </w:tr>
    </w:tbl>
    <w:p>
      <w:pPr>
        <w:pStyle w:val="BodyText"/>
        <w:spacing w:line="240" w:lineRule="auto" w:before="51"/>
        <w:ind w:left="1134" w:right="0"/>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技术中心建 设专项拨款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市级重点技 改</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江苏超纤专 项补助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5,060,347.80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江苏化学专 项补助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104,370.00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31"/>
              <w:jc w:val="left"/>
              <w:rPr>
                <w:rFonts w:ascii="宋体" w:hAnsi="宋体" w:cs="宋体" w:eastAsia="宋体" w:hint="default"/>
                <w:sz w:val="18"/>
                <w:szCs w:val="18"/>
              </w:rPr>
            </w:pPr>
            <w:r>
              <w:rPr>
                <w:rFonts w:ascii="宋体" w:hAnsi="宋体" w:cs="宋体" w:eastAsia="宋体" w:hint="default"/>
                <w:sz w:val="18"/>
                <w:szCs w:val="18"/>
              </w:rPr>
              <w:t>煤改气奖励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科技奖励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专利资助费</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25,820.00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产业扶持资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1,859,000.00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中小企业国 际市场开拓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121,192.00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信息化专项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工业经济相 关考核奖励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107,718.00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专项资助费</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3,175,200.00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污水处理达 标奖励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388,605.00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进口贴息扶 持资金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新技术企业 倍增一次性 补贴款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威富通稳岗 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57,404.20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157,404.20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29,269,552.8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6、营业外支出" w:id="277"/>
      <w:bookmarkEnd w:id="277"/>
      <w:r>
        <w:rPr>
          <w:b w:val="0"/>
          <w:bCs w:val="0"/>
        </w:rPr>
      </w:r>
      <w:r>
        <w:rPr>
          <w:rFonts w:ascii="Times New Roman" w:hAnsi="Times New Roman" w:cs="Times New Roman" w:eastAsia="Times New Roman" w:hint="default"/>
        </w:rPr>
        <w:t>46</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260,375.00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38,501.96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1,561,883.70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38,501.96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77,881.33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42,570.00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77,881.33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816,383.29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1,864,828.70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816,383.29</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7、所得税费用" w:id="278"/>
      <w:bookmarkEnd w:id="278"/>
      <w:r>
        <w:rPr>
          <w:b w:val="0"/>
          <w:bCs w:val="0"/>
        </w:rPr>
      </w:r>
      <w:r>
        <w:rPr>
          <w:rFonts w:ascii="Times New Roman" w:hAnsi="Times New Roman" w:cs="Times New Roman" w:eastAsia="Times New Roman" w:hint="default"/>
        </w:rPr>
        <w:t>47</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所得税费用表" w:id="279"/>
      <w:bookmarkEnd w:id="279"/>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28,033,870.30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19,024,412.34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7,769,343.03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-2,408,878.84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35,803,213.33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16,615,533.50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会计利润与所得税费用调整过程" w:id="280"/>
      <w:bookmarkEnd w:id="280"/>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291,608,305.80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43,741,245.87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470,975.92</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861,532.57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-9,270,541.03</w:t>
            </w:r>
          </w:p>
        </w:tc>
      </w:tr>
      <w:tr>
        <w:trPr>
          <w:trHeight w:val="40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35,803,213.33</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8、现金流量表项目" w:id="281"/>
      <w:bookmarkEnd w:id="281"/>
      <w:r>
        <w:rPr>
          <w:b w:val="0"/>
          <w:bCs w:val="0"/>
        </w:rPr>
      </w:r>
      <w:r>
        <w:rPr>
          <w:rFonts w:ascii="Times New Roman" w:hAnsi="Times New Roman" w:cs="Times New Roman" w:eastAsia="Times New Roman" w:hint="default"/>
        </w:rPr>
        <w:t>48</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282"/>
      <w:bookmarkEnd w:id="282"/>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9,244,820.20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21,204,835.00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1,030,641.47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2,175,669.64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收回的备用金及保证金等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3,350,600.78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2,584,678.38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789,132.97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445,900.76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14,415,195.42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26,411,083.78</w:t>
            </w:r>
          </w:p>
        </w:tc>
      </w:tr>
    </w:tbl>
    <w:p>
      <w:pPr>
        <w:pStyle w:val="BodyText"/>
        <w:spacing w:line="240" w:lineRule="auto" w:before="51"/>
        <w:ind w:left="1134" w:right="0"/>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2）支付的其他与经营活动有关的现金" w:id="283"/>
      <w:bookmarkEnd w:id="283"/>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64,675,090.86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22,746,845.30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15,283,825.41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10,243,175.65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运输装卸保险等费用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7,604,233.88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7,041,229.61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7,280,949.29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4,002,922.75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2,787,687.45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1,262,287.67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4,978,388.06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4,599,546.93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排污绿化费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16,681,825.93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11,512,203.50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6,848,109.57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4,378,905.90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2,131,876.52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1,643,841.99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944,936.94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812,139.26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支付的备用金及保证金等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4,122,968.23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3,640,174.80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15,180,859.02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8,785,331.60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148,520,751.16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80,668,604.96</w:t>
            </w:r>
          </w:p>
        </w:tc>
      </w:tr>
    </w:tbl>
    <w:p>
      <w:pPr>
        <w:pStyle w:val="BodyText"/>
        <w:spacing w:line="240" w:lineRule="auto" w:before="51"/>
        <w:ind w:left="1134"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3）收到的其他与投资活动有关的现金" w:id="284"/>
      <w:bookmarkEnd w:id="284"/>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15,760,000.00</w:t>
            </w:r>
          </w:p>
        </w:tc>
      </w:tr>
    </w:tbl>
    <w:p>
      <w:pPr>
        <w:pStyle w:val="BodyText"/>
        <w:spacing w:line="240" w:lineRule="auto" w:before="51"/>
        <w:ind w:left="1134" w:right="0"/>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支付的其他与投资活动有关的现金" w:id="285"/>
      <w:bookmarkEnd w:id="285"/>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69,845,353.56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24,760,000.00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69,845,353.56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24,760,000.00</w:t>
            </w:r>
          </w:p>
        </w:tc>
      </w:tr>
    </w:tbl>
    <w:p>
      <w:pPr>
        <w:pStyle w:val="BodyText"/>
        <w:spacing w:line="240" w:lineRule="auto" w:before="51"/>
        <w:ind w:left="1134" w:right="0"/>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5）收到的其他与筹资活动有关的现金" w:id="286"/>
      <w:bookmarkEnd w:id="286"/>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group style="position:absolute;margin-left:223.339996pt;margin-top:678.48999pt;width:151.25pt;height:40.85pt;mso-position-horizontal-relative:page;mso-position-vertical-relative:page;z-index:-858616" coordorigin="4467,13570" coordsize="3025,817">
            <v:group style="position:absolute;left:4478;top:13581;width:2;height:392" coordorigin="4478,13581" coordsize="2,392">
              <v:shape style="position:absolute;left:4478;top:13581;width:2;height:392" coordorigin="4478,13581" coordsize="0,392" path="m4478,13581l4478,13972e" filled="false" stroked="true" strokeweight="1.140pt" strokecolor="#ffffff">
                <v:path arrowok="t"/>
              </v:shape>
            </v:group>
            <v:group style="position:absolute;left:4490;top:13581;width:3002;height:392" coordorigin="4490,13581" coordsize="3002,392">
              <v:shape style="position:absolute;left:4490;top:13581;width:3002;height:392" coordorigin="4490,13581" coordsize="3002,392" path="m4490,13972l7491,13972,7491,13581,4490,13581,4490,13972xe" filled="true" fillcolor="#ffffff" stroked="false">
                <v:path arrowok="t"/>
                <v:fill type="solid"/>
              </v:shape>
            </v:group>
            <v:group style="position:absolute;left:4478;top:13983;width:2;height:392" coordorigin="4478,13983" coordsize="2,392">
              <v:shape style="position:absolute;left:4478;top:13983;width:2;height:392" coordorigin="4478,13983" coordsize="0,392" path="m4478,13983l4478,14375e" filled="false" stroked="true" strokeweight="1.140pt" strokecolor="#ffffff">
                <v:path arrowok="t"/>
              </v:shape>
            </v:group>
            <v:group style="position:absolute;left:4490;top:13983;width:3002;height:392" coordorigin="4490,13983" coordsize="3002,392">
              <v:shape style="position:absolute;left:4490;top:13983;width:3002;height:392" coordorigin="4490,13983" coordsize="3002,392" path="m4490,14375l7491,14375,7491,13983,4490,13983,4490,14375xe" filled="true" fillcolor="#ffffff" stroked="false">
                <v:path arrowok="t"/>
                <v:fill type="solid"/>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收到暂借款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利率掉期交易到期收回</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115,020,500.00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325,020,500.00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r>
    </w:tbl>
    <w:p>
      <w:pPr>
        <w:pStyle w:val="BodyText"/>
        <w:spacing w:line="240" w:lineRule="auto" w:before="51"/>
        <w:ind w:left="1134" w:right="0"/>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6）支付的其他与筹资活动有关的现金" w:id="287"/>
      <w:bookmarkEnd w:id="287"/>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偿还暂借款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138,574,482.00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利率掉期交易支付的美元存款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63,091,885.00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115,020,500.00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票据贴现支出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322,718.56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1,292,907.11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203,414,603.56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254,887,889.11</w:t>
            </w:r>
          </w:p>
        </w:tc>
      </w:tr>
    </w:tbl>
    <w:p>
      <w:pPr>
        <w:pStyle w:val="BodyText"/>
        <w:spacing w:line="240" w:lineRule="auto" w:before="51"/>
        <w:ind w:left="1134"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49、现金流量表补充资料" w:id="288"/>
      <w:bookmarkEnd w:id="288"/>
      <w:r>
        <w:rPr>
          <w:b w:val="0"/>
          <w:bCs w:val="0"/>
        </w:rPr>
      </w:r>
      <w:r>
        <w:rPr>
          <w:rFonts w:ascii="Times New Roman" w:hAnsi="Times New Roman" w:cs="Times New Roman" w:eastAsia="Times New Roman" w:hint="default"/>
        </w:rPr>
        <w:t>49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289"/>
      <w:bookmarkEnd w:id="289"/>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255,805,092.47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100,548,129.90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14,973,442.69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12,873,777.05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201,104,938.51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131,516,135.92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7,404,203.75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7,257,291.73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621,757.73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149,407.18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-214,759.98</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1,561,883.70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3,518,534.90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-1,884,031.00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28,906,406.18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3,346,576.05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3,522,433.87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357,057.01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079" w:val="left" w:leader="none"/>
              </w:tabs>
              <w:spacing w:line="240" w:lineRule="auto" w:before="52"/>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8,051,947.68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-2,691,483.49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154" w:val="left" w:leader="none"/>
              </w:tabs>
              <w:spacing w:line="240" w:lineRule="auto" w:before="52"/>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-282,604.65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282,604.65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-148,087,359.65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-138,013,183.49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-154,025,402.90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-250,888,199.47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36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-29,439,917.83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-32,926,176.58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-13,599,435.60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-8,064,717.80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178,259,277.17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-176,574,928.64</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222,991,193.57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101,918,748.81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101,918,748.81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78,061,091.58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121,072,444.76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23,857,657.23</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本期支付的取得子公司的现金净额" w:id="290"/>
      <w:bookmarkEnd w:id="290"/>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77"/>
        <w:gridCol w:w="4592"/>
      </w:tblGrid>
      <w:tr>
        <w:trPr>
          <w:trHeight w:val="403"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291,150,309.38</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136,122,077.29</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155,028,232.09</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现金和现金等价物的构成" w:id="291"/>
      <w:bookmarkEnd w:id="291"/>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222,991,193.57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101,918,748.81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132,593.54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76,170.36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222,858,600.03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101,842,578.45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222,991,193.57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101,918,748.81</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0、所有权或使用权受到限制的资产" w:id="292"/>
      <w:bookmarkEnd w:id="292"/>
      <w:r>
        <w:rPr>
          <w:b w:val="0"/>
          <w:bCs w:val="0"/>
        </w:rPr>
      </w:r>
      <w:r>
        <w:rPr>
          <w:rFonts w:ascii="Times New Roman" w:hAnsi="Times New Roman" w:cs="Times New Roman" w:eastAsia="Times New Roman" w:hint="default"/>
        </w:rPr>
        <w:t>50</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80,855,030.00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122,537,607.19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171,824,618.34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375,217,255.53</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1、外币货币性项目" w:id="293"/>
      <w:bookmarkEnd w:id="293"/>
      <w:r>
        <w:rPr>
          <w:b w:val="0"/>
          <w:bCs w:val="0"/>
        </w:rPr>
      </w:r>
      <w:r>
        <w:rPr>
          <w:rFonts w:ascii="Times New Roman" w:hAnsi="Times New Roman" w:cs="Times New Roman" w:eastAsia="Times New Roman" w:hint="default"/>
        </w:rPr>
        <w:t>51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294"/>
      <w:bookmarkEnd w:id="294"/>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25,138,762.03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6.9370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174,387,592.20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448,436.06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7.3068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3,276,632.60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4,959,445.50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6.9370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34,403,673.43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2,185,057.06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6.9370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15,157,740.83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2,389,038.77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7.3068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17,456,228.48</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59" w:lineRule="auto"/>
        <w:ind w:right="0"/>
        <w:jc w:val="left"/>
        <w:rPr>
          <w:b w:val="0"/>
          <w:bCs w:val="0"/>
        </w:rPr>
      </w:pPr>
      <w:bookmarkStart w:name="（2）境外经营实体说明，包括对于重要的境外经营实体，应披露其境外主要经营地、记账" w:id="295"/>
      <w:bookmarkEnd w:id="295"/>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八、合并范围的变更" w:id="296"/>
      <w:bookmarkEnd w:id="296"/>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非同一控制下企业合并" w:id="297"/>
      <w:bookmarkEnd w:id="297"/>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非同一控制下企业合并" w:id="298"/>
      <w:bookmarkEnd w:id="298"/>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威富通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发行股份及 支付现金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工商登记日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215,444,143.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104,131,149.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49</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合并成本及商誉" w:id="299"/>
      <w:bookmarkEnd w:id="299"/>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威富通</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291,150,309.38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1,758,849,690.62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2,050,000,000.00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316,849,849.32</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1,733,150,150.68</w:t>
            </w:r>
          </w:p>
        </w:tc>
      </w:tr>
    </w:tbl>
    <w:p>
      <w:pPr>
        <w:pStyle w:val="BodyText"/>
        <w:spacing w:line="338" w:lineRule="auto" w:before="51"/>
        <w:ind w:left="1134" w:right="1131"/>
        <w:jc w:val="left"/>
      </w:pPr>
      <w:r>
        <w:rPr/>
        <w:t>合并成本公允价值的确定方法、或有对价及其变动的说明： </w:t>
      </w:r>
      <w:r>
        <w:rPr>
          <w:spacing w:val="-2"/>
        </w:rPr>
        <w:t>合并成本公允价值的确定方法：本次交易价格参考北京中企华资产评估有限责任公司出具的《资产评估报告》（中企华评报</w:t>
      </w:r>
      <w:r>
        <w:rPr>
          <w:spacing w:val="-72"/>
        </w:rPr>
        <w:t> </w:t>
      </w:r>
      <w:r>
        <w:rPr>
          <w:spacing w:val="-72"/>
        </w:rPr>
      </w:r>
      <w:r>
        <w:rPr/>
        <w:t>字（</w:t>
      </w:r>
      <w:r>
        <w:rPr>
          <w:rFonts w:ascii="Times New Roman" w:hAnsi="Times New Roman" w:cs="Times New Roman" w:eastAsia="Times New Roman" w:hint="default"/>
        </w:rPr>
        <w:t>2016</w:t>
      </w:r>
      <w:r>
        <w:rPr/>
        <w:t>）第</w:t>
      </w:r>
      <w:r>
        <w:rPr>
          <w:spacing w:val="-46"/>
        </w:rPr>
        <w:t> </w:t>
      </w:r>
      <w:r>
        <w:rPr>
          <w:rFonts w:ascii="Times New Roman" w:hAnsi="Times New Roman" w:cs="Times New Roman" w:eastAsia="Times New Roman" w:hint="default"/>
        </w:rPr>
        <w:t>4227</w:t>
      </w:r>
      <w:r>
        <w:rPr>
          <w:rFonts w:ascii="Times New Roman" w:hAnsi="Times New Roman" w:cs="Times New Roman" w:eastAsia="Times New Roman" w:hint="default"/>
          <w:spacing w:val="-1"/>
        </w:rPr>
        <w:t> </w:t>
      </w:r>
      <w:r>
        <w:rPr>
          <w:spacing w:val="-23"/>
        </w:rPr>
        <w:t>号），以</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31 </w:t>
      </w:r>
      <w:r>
        <w:rPr/>
        <w:t>日为基准日，标的资产的评估价值为</w:t>
      </w:r>
      <w:r>
        <w:rPr>
          <w:spacing w:val="-46"/>
        </w:rPr>
        <w:t> </w:t>
      </w:r>
      <w:r>
        <w:rPr>
          <w:rFonts w:ascii="Times New Roman" w:hAnsi="Times New Roman" w:cs="Times New Roman" w:eastAsia="Times New Roman" w:hint="default"/>
        </w:rPr>
        <w:t>205,701.69 </w:t>
      </w:r>
      <w:r>
        <w:rPr/>
        <w:t>万元，经交易各方协商确定，</w:t>
      </w:r>
    </w:p>
    <w:p>
      <w:pPr>
        <w:pStyle w:val="BodyText"/>
        <w:spacing w:line="231" w:lineRule="exact"/>
        <w:ind w:right="0"/>
        <w:jc w:val="left"/>
      </w:pPr>
      <w:r>
        <w:rPr/>
        <w:t>标的资产的交易价格合计为</w:t>
      </w:r>
      <w:r>
        <w:rPr>
          <w:spacing w:val="-47"/>
        </w:rPr>
        <w:t> </w:t>
      </w:r>
      <w:r>
        <w:rPr>
          <w:rFonts w:ascii="Times New Roman" w:hAnsi="Times New Roman" w:cs="Times New Roman" w:eastAsia="Times New Roman" w:hint="default"/>
        </w:rPr>
        <w:t>205,000.00</w:t>
      </w:r>
      <w:r>
        <w:rPr>
          <w:rFonts w:ascii="Times New Roman" w:hAnsi="Times New Roman" w:cs="Times New Roman" w:eastAsia="Times New Roman" w:hint="default"/>
          <w:spacing w:val="-2"/>
        </w:rPr>
        <w:t> </w:t>
      </w:r>
      <w:r>
        <w:rPr/>
        <w:t>万元。</w:t>
      </w:r>
    </w:p>
    <w:p>
      <w:pPr>
        <w:pStyle w:val="BodyText"/>
        <w:spacing w:line="357" w:lineRule="auto" w:before="103"/>
        <w:ind w:right="4093"/>
        <w:jc w:val="left"/>
      </w:pPr>
      <w:r>
        <w:rPr/>
        <w:t>大额商誉形成的主要原因： 威富通按照收益法确认的评估值大于可辨认净资产的公允价值，据此形成大额商誉。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被购买方于购买日可辨认资产、负债" w:id="300"/>
      <w:bookmarkEnd w:id="300"/>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威富通</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136,122,077.29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136,122,077.29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19,325,939.83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19,325,939.83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53,529.74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53,529.74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9,907,436.36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9,907,436.36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5,189,762.32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5,189,762.32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2,395,554.94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2,395,554.94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8,002,070.41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8,002,070.41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8,616,924.37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8,616,924.37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其他长期资产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5,104,824.83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5,104,824.83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22,714,521.87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22,714,521.87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3,207,302.37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3,207,302.37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3,914,377.11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3,914,377.11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9,174,962.25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9,174,962.25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319,706,956.49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319,706,956.49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2,857,107.17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2,857,107.17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316,849,849.32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316,849,849.32</w:t>
            </w:r>
          </w:p>
        </w:tc>
      </w:tr>
    </w:tbl>
    <w:p>
      <w:pPr>
        <w:pStyle w:val="BodyText"/>
        <w:spacing w:line="360" w:lineRule="auto" w:before="51"/>
        <w:ind w:left="1134" w:right="7530"/>
        <w:jc w:val="both"/>
      </w:pPr>
      <w:r>
        <w:rPr/>
        <w:t>可辨认资产、负债公允价值的确定方法： 企业合并中承担的被购买方的或有负债： 其他说明：</w:t>
      </w:r>
    </w:p>
    <w:p>
      <w:pPr>
        <w:spacing w:line="240" w:lineRule="auto" w:before="12"/>
        <w:rPr>
          <w:rFonts w:ascii="宋体" w:hAnsi="宋体" w:cs="宋体" w:eastAsia="宋体" w:hint="default"/>
          <w:sz w:val="19"/>
          <w:szCs w:val="19"/>
        </w:rPr>
      </w:pPr>
    </w:p>
    <w:p>
      <w:pPr>
        <w:pStyle w:val="Heading3"/>
        <w:spacing w:line="240" w:lineRule="auto"/>
        <w:ind w:left="1134" w:right="0"/>
        <w:jc w:val="both"/>
        <w:rPr>
          <w:b w:val="0"/>
          <w:bCs w:val="0"/>
        </w:rPr>
      </w:pPr>
      <w:bookmarkStart w:name="（4）购买日之前持有的股权按照公允价值重新计量产生的利得或损失" w:id="301"/>
      <w:bookmarkEnd w:id="301"/>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both"/>
      </w:pPr>
      <w:r>
        <w:rPr/>
        <w:t>是否存在通过多次交易分步实现企业合并且在报告期内取得控制权的交易</w:t>
      </w:r>
    </w:p>
    <w:p>
      <w:pPr>
        <w:pStyle w:val="BodyText"/>
        <w:spacing w:line="240" w:lineRule="auto" w:before="117"/>
        <w:ind w:left="1134"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九、在其他主体中的权益" w:id="302"/>
      <w:bookmarkEnd w:id="302"/>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在子公司中的权益" w:id="303"/>
      <w:bookmarkEnd w:id="303"/>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企业集团的构成" w:id="304"/>
      <w:bookmarkEnd w:id="30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江苏超纤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江苏启东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江苏启东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江苏化学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江苏启东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江苏启东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威富通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购购通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跨境通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智富通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白龙移动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智易信息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bl>
    <w:p>
      <w:pPr>
        <w:pStyle w:val="BodyText"/>
        <w:spacing w:line="360" w:lineRule="auto" w:before="51"/>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7"/>
        <w:ind w:left="1134" w:right="6973"/>
        <w:jc w:val="left"/>
      </w:pPr>
      <w:r>
        <w:rPr/>
        <w:t>确定公司是代理人还是委托人的依据： 其他说明：</w:t>
      </w:r>
    </w:p>
    <w:p>
      <w:pPr>
        <w:spacing w:line="240" w:lineRule="auto" w:before="13"/>
        <w:rPr>
          <w:rFonts w:ascii="宋体" w:hAnsi="宋体" w:cs="宋体" w:eastAsia="宋体" w:hint="default"/>
          <w:sz w:val="19"/>
          <w:szCs w:val="19"/>
        </w:rPr>
      </w:pPr>
    </w:p>
    <w:p>
      <w:pPr>
        <w:pStyle w:val="Heading3"/>
        <w:spacing w:line="240" w:lineRule="auto"/>
        <w:ind w:left="1134" w:right="0"/>
        <w:jc w:val="left"/>
        <w:rPr>
          <w:b w:val="0"/>
          <w:bCs w:val="0"/>
        </w:rPr>
      </w:pPr>
      <w:bookmarkStart w:name="2、在合营安排或联营企业中的权益" w:id="305"/>
      <w:bookmarkEnd w:id="305"/>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重要的合营企业或联营企业" w:id="306"/>
      <w:bookmarkEnd w:id="306"/>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2734"/>
        <w:gridCol w:w="1366"/>
      </w:tblGrid>
      <w:tr>
        <w:trPr>
          <w:trHeight w:val="402"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0" w:right="0"/>
              <w:jc w:val="left"/>
              <w:rPr>
                <w:rFonts w:ascii="宋体" w:hAnsi="宋体" w:cs="宋体" w:eastAsia="宋体" w:hint="default"/>
                <w:sz w:val="18"/>
                <w:szCs w:val="18"/>
              </w:rPr>
            </w:pPr>
            <w:r>
              <w:rPr>
                <w:rFonts w:ascii="宋体" w:hAnsi="宋体" w:cs="宋体" w:eastAsia="宋体" w:hint="default"/>
                <w:sz w:val="18"/>
                <w:szCs w:val="18"/>
              </w:rPr>
              <w:t>合营企业或联营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7" w:right="0"/>
              <w:jc w:val="left"/>
              <w:rPr>
                <w:rFonts w:ascii="宋体" w:hAnsi="宋体" w:cs="宋体" w:eastAsia="宋体" w:hint="default"/>
                <w:sz w:val="18"/>
                <w:szCs w:val="18"/>
              </w:rPr>
            </w:pPr>
            <w:r>
              <w:rPr>
                <w:rFonts w:ascii="宋体" w:hAnsi="宋体" w:cs="宋体" w:eastAsia="宋体" w:hint="default"/>
                <w:sz w:val="18"/>
                <w:szCs w:val="18"/>
              </w:rPr>
              <w:t>对合营企业或联</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20" w:right="0"/>
              <w:jc w:val="left"/>
              <w:rPr>
                <w:rFonts w:ascii="宋体" w:hAnsi="宋体" w:cs="宋体" w:eastAsia="宋体" w:hint="default"/>
                <w:sz w:val="18"/>
                <w:szCs w:val="18"/>
              </w:rPr>
            </w:pPr>
            <w:r>
              <w:rPr>
                <w:rFonts w:ascii="宋体" w:hAnsi="宋体" w:cs="宋体" w:eastAsia="宋体" w:hint="default"/>
                <w:sz w:val="18"/>
                <w:szCs w:val="18"/>
              </w:rPr>
              <w:t>企业名称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7" w:right="47" w:hanging="180"/>
              <w:jc w:val="left"/>
              <w:rPr>
                <w:rFonts w:ascii="宋体" w:hAnsi="宋体" w:cs="宋体" w:eastAsia="宋体" w:hint="default"/>
                <w:sz w:val="18"/>
                <w:szCs w:val="18"/>
              </w:rPr>
            </w:pPr>
            <w:r>
              <w:rPr>
                <w:rFonts w:ascii="宋体" w:hAnsi="宋体" w:cs="宋体" w:eastAsia="宋体" w:hint="default"/>
                <w:sz w:val="18"/>
                <w:szCs w:val="18"/>
              </w:rPr>
              <w:t>营企业投资的会 计处理方法</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合码商务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互联网信息服务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世明科技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互联网信息服务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left="1134" w:right="0"/>
        <w:jc w:val="left"/>
      </w:pPr>
      <w:r>
        <w:rPr/>
        <w:t>在合营企业或联营企业的持股比例不同于表决权比例的说明：</w:t>
      </w:r>
    </w:p>
    <w:p>
      <w:pPr>
        <w:pStyle w:val="BodyText"/>
        <w:spacing w:line="240" w:lineRule="auto" w:before="117"/>
        <w:ind w:left="1134"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3"/>
        <w:spacing w:line="240" w:lineRule="auto"/>
        <w:ind w:left="1134" w:right="0"/>
        <w:jc w:val="left"/>
        <w:rPr>
          <w:b w:val="0"/>
          <w:bCs w:val="0"/>
        </w:rPr>
      </w:pPr>
      <w:bookmarkStart w:name="（2）重要联营企业的主要财务信息" w:id="307"/>
      <w:bookmarkEnd w:id="307"/>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6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2369" w:type="dxa"/>
            <w:tcBorders>
              <w:top w:val="single" w:sz="4" w:space="0" w:color="000000"/>
              <w:left w:val="single" w:sz="4" w:space="0" w:color="000000"/>
              <w:bottom w:val="single" w:sz="4" w:space="0" w:color="000000"/>
              <w:right w:val="single" w:sz="13" w:space="0" w:color="E0FFFF"/>
            </w:tcBorders>
            <w:shd w:val="clear" w:color="auto" w:fill="D2D2D2"/>
          </w:tcPr>
          <w:p>
            <w:pPr/>
          </w:p>
        </w:tc>
        <w:tc>
          <w:tcPr>
            <w:tcW w:w="2405"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合码商务</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世明科技</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2,815,548.04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1,366,331.05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98,073.81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2,156,678.86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2,913,621.85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3,523,009.91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1,082,356.04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1,041,966.85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1,082,356.04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1,041,966.85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1,831,265.81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2,481,043.06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按持股比例计算的净资产份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824,069.61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620,260.77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885,600.44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10,460.66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-7,862,913.35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-3,518,956.94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-7,862,913.35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-3,518,956.94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不重要的合营企业和联营企业的汇总财务信息" w:id="308"/>
      <w:bookmarkEnd w:id="308"/>
      <w:r>
        <w:rPr>
          <w:b w:val="0"/>
          <w:bCs w:val="0"/>
        </w:rPr>
      </w: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3,726,938.44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-79,997.23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-79,997.23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关联方及关联交易" w:id="309"/>
      <w:bookmarkEnd w:id="309"/>
      <w:r>
        <w:rPr>
          <w:b w:val="0"/>
          <w:bCs w:val="0"/>
        </w:rPr>
      </w:r>
      <w:r>
        <w:rPr/>
        <w:t>十、关联方及关联交易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企业的母公司情况" w:id="310"/>
      <w:bookmarkEnd w:id="310"/>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华峰集团有限公司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浙江省瑞安市莘塍 工业园区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138,680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9.31%</w:t>
            </w:r>
          </w:p>
        </w:tc>
      </w:tr>
    </w:tbl>
    <w:p>
      <w:pPr>
        <w:pStyle w:val="BodyText"/>
        <w:spacing w:line="360" w:lineRule="auto" w:before="51"/>
        <w:ind w:right="4813"/>
        <w:jc w:val="left"/>
      </w:pPr>
      <w:r>
        <w:rPr/>
        <w:t>本企业的母公司情况的说明 本企业最终控制方是尤小平、尤小华、尤金焕、尤小燕、尤小玲、陈林真。 其他说明：</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2、本企业的子公司情况" w:id="311"/>
      <w:bookmarkEnd w:id="311"/>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本企业子公司的情况详见附注九。</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本企业合营和联营企业情况" w:id="312"/>
      <w:bookmarkEnd w:id="312"/>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293"/>
        <w:jc w:val="left"/>
      </w:pPr>
      <w:r>
        <w:rPr/>
        <w:t>本企业重要的合营或联营企业详见附注九。 本期与本公司发生关联方交易，或前期与本公司发生关联方交易形成余额的其他合营或联营企业情况如下：</w:t>
      </w: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8"/>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其他关联方情况" w:id="313"/>
      <w:bookmarkEnd w:id="313"/>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重庆华峰化工有限公司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浙江华峰新材料股份有限公司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浙江华峰合成树脂有限公司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深圳市希玛特识别系统有限公司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公司关键管理人员控制的其他企业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汇商通盈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公司关键管理人员控制的其他企业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王彤</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关联交易情况" w:id="314"/>
      <w:bookmarkEnd w:id="314"/>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购销商品、提供和接受劳务的关联交易" w:id="315"/>
      <w:bookmarkEnd w:id="315"/>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重庆华峰化工有限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采购材料</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31,893,502.91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9" w:right="0"/>
              <w:jc w:val="left"/>
              <w:rPr>
                <w:rFonts w:ascii="Times New Roman" w:hAnsi="Times New Roman" w:cs="Times New Roman" w:eastAsia="Times New Roman" w:hint="default"/>
                <w:sz w:val="18"/>
                <w:szCs w:val="18"/>
              </w:rPr>
            </w:pPr>
            <w:r>
              <w:rPr>
                <w:rFonts w:ascii="Times New Roman"/>
                <w:sz w:val="18"/>
              </w:rPr>
              <w:t>50,000,000.00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9" w:right="0"/>
              <w:jc w:val="left"/>
              <w:rPr>
                <w:rFonts w:ascii="Times New Roman" w:hAnsi="Times New Roman" w:cs="Times New Roman" w:eastAsia="Times New Roman" w:hint="default"/>
                <w:sz w:val="18"/>
                <w:szCs w:val="18"/>
              </w:rPr>
            </w:pPr>
            <w:r>
              <w:rPr>
                <w:rFonts w:ascii="Times New Roman"/>
                <w:sz w:val="18"/>
              </w:rPr>
              <w:t>17,493,504.30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深圳市希玛特识别 系统有限公司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采购固定资产</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1,045,499.96</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王彤</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采购固定资产</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1,343,000.00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世明科技</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145,656.71</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飞猪网络</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移动支付服务收入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116,173.45</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汇商通盈</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咨询服务收入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29,800.00</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十方网络</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咨询服务收入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1,886.79</w:t>
            </w: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4" w:right="6792"/>
        <w:jc w:val="left"/>
      </w:pPr>
      <w:r>
        <w:rPr/>
        <w:t>购销商品、提供和接受劳务的关联交易说明 向王彤采购固定资产时，王彤尚未担任公司董事。</w:t>
      </w:r>
    </w:p>
    <w:p>
      <w:pPr>
        <w:spacing w:line="240" w:lineRule="auto" w:before="2"/>
        <w:rPr>
          <w:rFonts w:ascii="宋体" w:hAnsi="宋体" w:cs="宋体" w:eastAsia="宋体" w:hint="default"/>
          <w:sz w:val="20"/>
          <w:szCs w:val="20"/>
        </w:rPr>
      </w:pPr>
    </w:p>
    <w:p>
      <w:pPr>
        <w:pStyle w:val="Heading3"/>
        <w:spacing w:line="240" w:lineRule="auto"/>
        <w:ind w:left="1134" w:right="0"/>
        <w:jc w:val="left"/>
        <w:rPr>
          <w:b w:val="0"/>
          <w:bCs w:val="0"/>
        </w:rPr>
      </w:pPr>
      <w:bookmarkStart w:name="（2）关联担保情况" w:id="316"/>
      <w:bookmarkEnd w:id="316"/>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本公司作为担保方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left="1134" w:right="0"/>
        <w:jc w:val="left"/>
      </w:pPr>
      <w:r>
        <w:rPr/>
        <w:t>本公司作为被担保方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7" w:right="0"/>
              <w:jc w:val="left"/>
              <w:rPr>
                <w:rFonts w:ascii="Times New Roman" w:hAnsi="Times New Roman" w:cs="Times New Roman" w:eastAsia="Times New Roman" w:hint="default"/>
                <w:sz w:val="18"/>
                <w:szCs w:val="18"/>
              </w:rPr>
            </w:pPr>
            <w:r>
              <w:rPr>
                <w:rFonts w:ascii="Times New Roman"/>
                <w:sz w:val="18"/>
              </w:rPr>
              <w:t>144,000,000.00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0"/>
        <w:jc w:val="left"/>
      </w:pPr>
      <w:r>
        <w:rPr/>
        <w:t>关联担保情况说明</w:t>
      </w:r>
    </w:p>
    <w:p>
      <w:pPr>
        <w:pStyle w:val="BodyText"/>
        <w:spacing w:line="240" w:lineRule="auto" w:before="115"/>
        <w:ind w:left="1134" w:right="0"/>
        <w:jc w:val="left"/>
      </w:pPr>
      <w:r>
        <w:rPr/>
        <w:t>截止</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日，华峰集团有限公司与中国工商银行上海市金山支行签订编号为</w:t>
      </w:r>
      <w:r>
        <w:rPr>
          <w:spacing w:val="-46"/>
        </w:rPr>
        <w:t> </w:t>
      </w:r>
      <w:r>
        <w:rPr>
          <w:rFonts w:ascii="Times New Roman" w:hAnsi="Times New Roman" w:cs="Times New Roman" w:eastAsia="Times New Roman" w:hint="default"/>
        </w:rPr>
        <w:t>12167000216-0249101</w:t>
      </w:r>
      <w:r>
        <w:rPr>
          <w:rFonts w:ascii="Times New Roman" w:hAnsi="Times New Roman" w:cs="Times New Roman" w:eastAsia="Times New Roman" w:hint="default"/>
          <w:spacing w:val="-1"/>
        </w:rPr>
        <w:t> </w:t>
      </w:r>
      <w:r>
        <w:rPr/>
        <w:t>的最高额保</w:t>
      </w:r>
    </w:p>
    <w:p>
      <w:pPr>
        <w:pStyle w:val="BodyText"/>
        <w:spacing w:line="302" w:lineRule="auto" w:before="63"/>
        <w:ind w:left="1134" w:right="1128"/>
        <w:jc w:val="left"/>
      </w:pPr>
      <w:r>
        <w:rPr>
          <w:spacing w:val="-3"/>
        </w:rPr>
        <w:t>证合同，担保的主债权为本公司在该行自</w:t>
      </w:r>
      <w:r>
        <w:rPr>
          <w:spacing w:val="-45"/>
        </w:rPr>
        <w:t> </w:t>
      </w:r>
      <w:r>
        <w:rPr>
          <w:rFonts w:ascii="Times New Roman" w:hAnsi="Times New Roman" w:cs="Times New Roman" w:eastAsia="Times New Roman" w:hint="default"/>
        </w:rPr>
        <w:t>2016 </w:t>
      </w:r>
      <w:r>
        <w:rPr/>
        <w:t>年</w:t>
      </w:r>
      <w:r>
        <w:rPr>
          <w:spacing w:val="-45"/>
        </w:rPr>
        <w:t> </w:t>
      </w:r>
      <w:r>
        <w:rPr>
          <w:rFonts w:ascii="Times New Roman" w:hAnsi="Times New Roman" w:cs="Times New Roman" w:eastAsia="Times New Roman" w:hint="default"/>
        </w:rPr>
        <w:t>01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19 </w:t>
      </w:r>
      <w:r>
        <w:rPr/>
        <w:t>日至</w:t>
      </w:r>
      <w:r>
        <w:rPr>
          <w:spacing w:val="-45"/>
        </w:rPr>
        <w:t> </w:t>
      </w: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01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29 </w:t>
      </w:r>
      <w:r>
        <w:rPr/>
        <w:t>日最高额为人民币</w:t>
      </w:r>
      <w:r>
        <w:rPr>
          <w:spacing w:val="-45"/>
        </w:rPr>
        <w:t> </w:t>
      </w:r>
      <w:r>
        <w:rPr>
          <w:rFonts w:ascii="Times New Roman" w:hAnsi="Times New Roman" w:cs="Times New Roman" w:eastAsia="Times New Roman" w:hint="default"/>
        </w:rPr>
        <w:t>144,000,000.00</w:t>
      </w:r>
      <w:r>
        <w:rPr>
          <w:rFonts w:ascii="Times New Roman" w:hAnsi="Times New Roman" w:cs="Times New Roman" w:eastAsia="Times New Roman" w:hint="default"/>
          <w:spacing w:val="1"/>
        </w:rPr>
        <w:t> </w:t>
      </w:r>
      <w:r>
        <w:rPr/>
        <w:t>的所有债 务。</w:t>
      </w:r>
    </w:p>
    <w:p>
      <w:pPr>
        <w:pStyle w:val="BodyText"/>
        <w:spacing w:line="240" w:lineRule="auto" w:before="70"/>
        <w:ind w:left="1134" w:right="0"/>
        <w:jc w:val="left"/>
      </w:pPr>
      <w:r>
        <w:rPr/>
        <w:t>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日，公司在上述保证合同项下无相关债务余额。</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关联方资金拆借" w:id="317"/>
      <w:bookmarkEnd w:id="317"/>
      <w:r>
        <w:rPr>
          <w:b w:val="0"/>
          <w:bCs w:val="0"/>
        </w:rPr>
      </w:r>
      <w:r>
        <w:rPr/>
        <w:t>（</w:t>
      </w:r>
      <w:r>
        <w:rPr>
          <w:rFonts w:ascii="Times New Roman" w:hAnsi="Times New Roman" w:cs="Times New Roman" w:eastAsia="Times New Roman" w:hint="default"/>
        </w:rPr>
        <w:t>3</w:t>
      </w:r>
      <w:r>
        <w:rPr/>
        <w:t>）关联方资金拆借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浙江华峰新材料股份有</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36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浙江华峰合成树脂有限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70,000,000.00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关键管理人员报酬" w:id="318"/>
      <w:bookmarkEnd w:id="318"/>
      <w:r>
        <w:rPr>
          <w:b w:val="0"/>
          <w:bCs w:val="0"/>
        </w:rPr>
      </w:r>
      <w:r>
        <w:rPr/>
        <w:t>（</w:t>
      </w:r>
      <w:r>
        <w:rPr>
          <w:rFonts w:ascii="Times New Roman" w:hAnsi="Times New Roman" w:cs="Times New Roman" w:eastAsia="Times New Roman" w:hint="default"/>
        </w:rPr>
        <w:t>4</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9,296,488.32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7,327,978.73</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关联方应收应付款项" w:id="319"/>
      <w:bookmarkEnd w:id="319"/>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收项目" w:id="320"/>
      <w:bookmarkEnd w:id="320"/>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应付项目" w:id="321"/>
      <w:bookmarkEnd w:id="321"/>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重庆华峰化工有限公司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21,045,320.00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0" w:right="0"/>
              <w:jc w:val="left"/>
              <w:rPr>
                <w:rFonts w:ascii="Times New Roman" w:hAnsi="Times New Roman" w:cs="Times New Roman" w:eastAsia="Times New Roman" w:hint="default"/>
                <w:sz w:val="18"/>
                <w:szCs w:val="18"/>
              </w:rPr>
            </w:pPr>
            <w:r>
              <w:rPr>
                <w:rFonts w:ascii="Times New Roman"/>
                <w:sz w:val="18"/>
              </w:rPr>
              <w:t>11,625,000.00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1,448,791.67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一、承诺及或有事项" w:id="322"/>
      <w:bookmarkEnd w:id="322"/>
      <w:r>
        <w:rPr>
          <w:b w:val="0"/>
          <w:bCs w:val="0"/>
        </w:rPr>
      </w:r>
      <w:r>
        <w:rPr/>
        <w:t>十一、承诺及或有事项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承诺事项" w:id="323"/>
      <w:bookmarkEnd w:id="323"/>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资产负债表日存在的重要承诺</w:t>
      </w:r>
    </w:p>
    <w:p>
      <w:pPr>
        <w:pStyle w:val="BodyText"/>
        <w:spacing w:line="240" w:lineRule="auto" w:before="116"/>
        <w:ind w:left="1134"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）截止</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日，公司货币资金中使用受限制的金额有</w:t>
      </w:r>
      <w:r>
        <w:rPr>
          <w:spacing w:val="-47"/>
        </w:rPr>
        <w:t> </w:t>
      </w:r>
      <w:r>
        <w:rPr>
          <w:rFonts w:ascii="Times New Roman" w:hAnsi="Times New Roman" w:cs="Times New Roman" w:eastAsia="Times New Roman" w:hint="default"/>
        </w:rPr>
        <w:t>80,855,030.00</w:t>
      </w:r>
      <w:r>
        <w:rPr>
          <w:rFonts w:ascii="Times New Roman" w:hAnsi="Times New Roman" w:cs="Times New Roman" w:eastAsia="Times New Roman" w:hint="default"/>
          <w:spacing w:val="-1"/>
        </w:rPr>
        <w:t> </w:t>
      </w:r>
      <w:r>
        <w:rPr/>
        <w:t>元；其中：信用证保证金</w:t>
      </w:r>
      <w:r>
        <w:rPr>
          <w:spacing w:val="-47"/>
        </w:rPr>
        <w:t> </w:t>
      </w:r>
      <w:r>
        <w:rPr>
          <w:rFonts w:ascii="Times New Roman" w:hAnsi="Times New Roman" w:cs="Times New Roman" w:eastAsia="Times New Roman" w:hint="default"/>
        </w:rPr>
        <w:t>17,800,000.00</w:t>
      </w:r>
    </w:p>
    <w:p>
      <w:pPr>
        <w:pStyle w:val="BodyText"/>
        <w:spacing w:line="240" w:lineRule="auto" w:before="64"/>
        <w:ind w:right="0"/>
        <w:jc w:val="left"/>
      </w:pPr>
      <w:r>
        <w:rPr/>
        <w:t>元，利率掉期质押的美元存款</w:t>
      </w:r>
      <w:r>
        <w:rPr>
          <w:spacing w:val="-46"/>
        </w:rPr>
        <w:t> </w:t>
      </w:r>
      <w:r>
        <w:rPr>
          <w:rFonts w:ascii="Times New Roman" w:hAnsi="Times New Roman" w:cs="Times New Roman" w:eastAsia="Times New Roman" w:hint="default"/>
        </w:rPr>
        <w:t>9,650,000.00</w:t>
      </w:r>
      <w:r>
        <w:rPr>
          <w:rFonts w:ascii="Times New Roman" w:hAnsi="Times New Roman" w:cs="Times New Roman" w:eastAsia="Times New Roman" w:hint="default"/>
          <w:spacing w:val="-2"/>
        </w:rPr>
        <w:t> </w:t>
      </w:r>
      <w:r>
        <w:rPr/>
        <w:t>美元。</w:t>
      </w:r>
    </w:p>
    <w:p>
      <w:pPr>
        <w:pStyle w:val="BodyText"/>
        <w:spacing w:line="240" w:lineRule="auto" w:before="101"/>
        <w:ind w:left="1134"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spacing w:val="-86"/>
        </w:rPr>
        <w:t>）</w:t>
      </w:r>
      <w:r>
        <w:rPr/>
        <w:t>截止</w:t>
      </w:r>
      <w:r>
        <w:rPr>
          <w:spacing w:val="-46"/>
        </w:rPr>
        <w:t> </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spacing w:val="-85"/>
        </w:rPr>
        <w:t>，</w:t>
      </w:r>
      <w:r>
        <w:rPr/>
        <w:t>公司以原值为</w:t>
      </w:r>
      <w:r>
        <w:rPr>
          <w:spacing w:val="-46"/>
        </w:rPr>
        <w:t> </w:t>
      </w:r>
      <w:r>
        <w:rPr>
          <w:rFonts w:ascii="Times New Roman" w:hAnsi="Times New Roman" w:cs="Times New Roman" w:eastAsia="Times New Roman" w:hint="default"/>
        </w:rPr>
        <w:t>86,494,</w:t>
      </w:r>
      <w:r>
        <w:rPr>
          <w:rFonts w:ascii="Times New Roman" w:hAnsi="Times New Roman" w:cs="Times New Roman" w:eastAsia="Times New Roman" w:hint="default"/>
          <w:spacing w:val="-8"/>
        </w:rPr>
        <w:t>1</w:t>
      </w:r>
      <w:r>
        <w:rPr>
          <w:rFonts w:ascii="Times New Roman" w:hAnsi="Times New Roman" w:cs="Times New Roman" w:eastAsia="Times New Roman" w:hint="default"/>
        </w:rPr>
        <w:t>19.90 </w:t>
      </w:r>
      <w:r>
        <w:rPr>
          <w:spacing w:val="-2"/>
        </w:rPr>
        <w:t>元</w:t>
      </w:r>
      <w:r>
        <w:rPr>
          <w:spacing w:val="-86"/>
        </w:rPr>
        <w:t>、</w:t>
      </w:r>
      <w:r>
        <w:rPr/>
        <w:t>净值为</w:t>
      </w:r>
      <w:r>
        <w:rPr>
          <w:spacing w:val="-46"/>
        </w:rPr>
        <w:t> </w:t>
      </w:r>
      <w:r>
        <w:rPr>
          <w:rFonts w:ascii="Times New Roman" w:hAnsi="Times New Roman" w:cs="Times New Roman" w:eastAsia="Times New Roman" w:hint="default"/>
        </w:rPr>
        <w:t>35,032,579.88 </w:t>
      </w:r>
      <w:r>
        <w:rPr/>
        <w:t>元的房屋及建筑物及原值为</w:t>
      </w:r>
      <w:r>
        <w:rPr>
          <w:spacing w:val="-46"/>
        </w:rPr>
        <w:t> </w:t>
      </w:r>
      <w:r>
        <w:rPr>
          <w:rFonts w:ascii="Times New Roman" w:hAnsi="Times New Roman" w:cs="Times New Roman" w:eastAsia="Times New Roman" w:hint="default"/>
        </w:rPr>
        <w:t>9,165,6</w:t>
      </w:r>
      <w:r>
        <w:rPr>
          <w:rFonts w:ascii="Times New Roman" w:hAnsi="Times New Roman" w:cs="Times New Roman" w:eastAsia="Times New Roman" w:hint="default"/>
          <w:spacing w:val="-2"/>
        </w:rPr>
        <w:t>5</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1</w:t>
      </w:r>
    </w:p>
    <w:p>
      <w:pPr>
        <w:pStyle w:val="BodyText"/>
        <w:spacing w:line="240" w:lineRule="auto" w:before="63"/>
        <w:ind w:right="0"/>
        <w:jc w:val="left"/>
      </w:pPr>
      <w:r>
        <w:rPr>
          <w:spacing w:val="-8"/>
        </w:rPr>
        <w:t>元、净值为</w:t>
      </w:r>
      <w:r>
        <w:rPr>
          <w:spacing w:val="-46"/>
        </w:rPr>
        <w:t> </w:t>
      </w:r>
      <w:r>
        <w:rPr>
          <w:rFonts w:ascii="Times New Roman" w:hAnsi="Times New Roman" w:cs="Times New Roman" w:eastAsia="Times New Roman" w:hint="default"/>
        </w:rPr>
        <w:t>6,522,888.17 </w:t>
      </w:r>
      <w:r>
        <w:rPr/>
        <w:t>元的土地使用权为公司在中国银行上海市金山支行自</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日起至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日止签</w:t>
      </w:r>
    </w:p>
    <w:p>
      <w:pPr>
        <w:pStyle w:val="BodyText"/>
        <w:spacing w:line="240" w:lineRule="auto" w:before="64"/>
        <w:ind w:right="0"/>
        <w:jc w:val="left"/>
      </w:pPr>
      <w:r>
        <w:rPr/>
        <w:t>署的不高于人民币</w:t>
      </w:r>
      <w:r>
        <w:rPr>
          <w:spacing w:val="-47"/>
        </w:rPr>
        <w:t> </w:t>
      </w:r>
      <w:r>
        <w:rPr>
          <w:rFonts w:ascii="Times New Roman" w:hAnsi="Times New Roman" w:cs="Times New Roman" w:eastAsia="Times New Roman" w:hint="default"/>
        </w:rPr>
        <w:t>230,000,000.00</w:t>
      </w:r>
      <w:r>
        <w:rPr>
          <w:rFonts w:ascii="Times New Roman" w:hAnsi="Times New Roman" w:cs="Times New Roman" w:eastAsia="Times New Roman" w:hint="default"/>
          <w:spacing w:val="-1"/>
        </w:rPr>
        <w:t> </w:t>
      </w:r>
      <w:r>
        <w:rPr/>
        <w:t>元的全部债务提供抵押担保。</w:t>
      </w:r>
    </w:p>
    <w:p>
      <w:pPr>
        <w:pStyle w:val="BodyText"/>
        <w:spacing w:line="240" w:lineRule="auto" w:before="101"/>
        <w:ind w:right="0"/>
        <w:jc w:val="left"/>
      </w:pPr>
      <w:r>
        <w:rPr/>
        <w:t>截至</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日，公司在上述抵押合同项下借款总金额为</w:t>
      </w:r>
      <w:r>
        <w:rPr>
          <w:spacing w:val="-47"/>
        </w:rPr>
        <w:t> </w:t>
      </w:r>
      <w:r>
        <w:rPr>
          <w:rFonts w:ascii="Times New Roman" w:hAnsi="Times New Roman" w:cs="Times New Roman" w:eastAsia="Times New Roman" w:hint="default"/>
        </w:rPr>
        <w:t>160,000,000.00</w:t>
      </w:r>
      <w:r>
        <w:rPr>
          <w:rFonts w:ascii="Times New Roman" w:hAnsi="Times New Roman" w:cs="Times New Roman" w:eastAsia="Times New Roman" w:hint="default"/>
          <w:spacing w:val="-1"/>
        </w:rPr>
        <w:t> </w:t>
      </w:r>
      <w:r>
        <w:rPr/>
        <w:t>元，其中：</w:t>
      </w:r>
      <w:r>
        <w:rPr>
          <w:rFonts w:ascii="Times New Roman" w:hAnsi="Times New Roman" w:cs="Times New Roman" w:eastAsia="Times New Roman" w:hint="default"/>
        </w:rPr>
        <w:t>50,000,000.00</w:t>
      </w:r>
      <w:r>
        <w:rPr>
          <w:rFonts w:ascii="Times New Roman" w:hAnsi="Times New Roman" w:cs="Times New Roman" w:eastAsia="Times New Roman" w:hint="default"/>
          <w:spacing w:val="-1"/>
        </w:rPr>
        <w:t> </w:t>
      </w:r>
      <w:r>
        <w:rPr/>
        <w:t>元的借款期限为</w:t>
      </w:r>
    </w:p>
    <w:p>
      <w:pPr>
        <w:pStyle w:val="BodyText"/>
        <w:spacing w:line="240" w:lineRule="auto" w:before="63"/>
        <w:ind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日至</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40,000,000.00</w:t>
      </w:r>
      <w:r>
        <w:rPr>
          <w:rFonts w:ascii="Times New Roman" w:hAnsi="Times New Roman" w:cs="Times New Roman" w:eastAsia="Times New Roman" w:hint="default"/>
          <w:spacing w:val="-2"/>
        </w:rPr>
        <w:t> </w:t>
      </w:r>
      <w:r>
        <w:rPr/>
        <w:t>元的借款期限为</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日至</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30,000,000.00</w:t>
      </w:r>
      <w:r>
        <w:rPr>
          <w:rFonts w:ascii="Times New Roman" w:hAnsi="Times New Roman" w:cs="Times New Roman" w:eastAsia="Times New Roman" w:hint="default"/>
          <w:spacing w:val="-1"/>
        </w:rPr>
        <w:t> </w:t>
      </w:r>
      <w:r>
        <w:rPr/>
        <w:t>元</w:t>
      </w:r>
    </w:p>
    <w:p>
      <w:pPr>
        <w:pStyle w:val="BodyText"/>
        <w:spacing w:line="240" w:lineRule="auto" w:before="63"/>
        <w:ind w:left="1134" w:right="0"/>
        <w:jc w:val="left"/>
        <w:rPr>
          <w:rFonts w:ascii="Times New Roman" w:hAnsi="Times New Roman" w:cs="Times New Roman" w:eastAsia="Times New Roman" w:hint="default"/>
        </w:rPr>
      </w:pPr>
      <w:r>
        <w:rPr/>
        <w:t>的借款期限为</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日至</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15,000,000.00</w:t>
      </w:r>
      <w:r>
        <w:rPr>
          <w:rFonts w:ascii="Times New Roman" w:hAnsi="Times New Roman" w:cs="Times New Roman" w:eastAsia="Times New Roman" w:hint="default"/>
          <w:spacing w:val="-1"/>
        </w:rPr>
        <w:t> </w:t>
      </w:r>
      <w:r>
        <w:rPr/>
        <w:t>元的借款期限为</w:t>
      </w:r>
      <w:r>
        <w:rPr>
          <w:spacing w:val="-47"/>
        </w:rPr>
        <w:t> </w:t>
      </w:r>
      <w:r>
        <w:rPr>
          <w:rFonts w:ascii="Times New Roman" w:hAnsi="Times New Roman" w:cs="Times New Roman" w:eastAsia="Times New Roman" w:hint="default"/>
        </w:rPr>
        <w:t>2017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27</w:t>
      </w:r>
    </w:p>
    <w:p>
      <w:pPr>
        <w:pStyle w:val="BodyText"/>
        <w:spacing w:line="240" w:lineRule="auto" w:before="64"/>
        <w:ind w:left="1134" w:right="0"/>
        <w:jc w:val="left"/>
      </w:pPr>
      <w:r>
        <w:rPr/>
        <w:t>日；</w:t>
      </w:r>
      <w:r>
        <w:rPr>
          <w:rFonts w:ascii="Times New Roman" w:hAnsi="Times New Roman" w:cs="Times New Roman" w:eastAsia="Times New Roman" w:hint="default"/>
        </w:rPr>
        <w:t>25,000,000.00</w:t>
      </w:r>
      <w:r>
        <w:rPr>
          <w:rFonts w:ascii="Times New Roman" w:hAnsi="Times New Roman" w:cs="Times New Roman" w:eastAsia="Times New Roman" w:hint="default"/>
          <w:spacing w:val="-1"/>
        </w:rPr>
        <w:t> </w:t>
      </w:r>
      <w:r>
        <w:rPr/>
        <w:t>元的借款期限为</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日至</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日。</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截至</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日，公司在上述抵押合同下已开立未到期的信用证金额为</w:t>
      </w:r>
      <w:r>
        <w:rPr>
          <w:spacing w:val="-48"/>
        </w:rPr>
        <w:t> </w:t>
      </w:r>
      <w:r>
        <w:rPr>
          <w:rFonts w:ascii="Times New Roman" w:hAnsi="Times New Roman" w:cs="Times New Roman" w:eastAsia="Times New Roman" w:hint="default"/>
        </w:rPr>
        <w:t>3,737,148.00</w:t>
      </w:r>
      <w:r>
        <w:rPr>
          <w:rFonts w:ascii="Times New Roman" w:hAnsi="Times New Roman" w:cs="Times New Roman" w:eastAsia="Times New Roman" w:hint="default"/>
          <w:spacing w:val="-2"/>
        </w:rPr>
        <w:t> </w:t>
      </w:r>
      <w:r>
        <w:rPr>
          <w:spacing w:val="-3"/>
        </w:rPr>
        <w:t>美元，</w:t>
      </w:r>
      <w:r>
        <w:rPr>
          <w:rFonts w:ascii="Times New Roman" w:hAnsi="Times New Roman" w:cs="Times New Roman" w:eastAsia="Times New Roman" w:hint="default"/>
          <w:spacing w:val="-3"/>
        </w:rPr>
        <w:t>629,000.00 </w:t>
      </w:r>
      <w:r>
        <w:rPr>
          <w:spacing w:val="-5"/>
        </w:rPr>
        <w:t>欧元；已开具</w:t>
      </w:r>
    </w:p>
    <w:p>
      <w:pPr>
        <w:pStyle w:val="BodyText"/>
        <w:spacing w:line="240" w:lineRule="auto" w:before="64"/>
        <w:ind w:right="0"/>
        <w:jc w:val="left"/>
      </w:pPr>
      <w:r>
        <w:rPr/>
        <w:t>未到期的银行承兑汇票金额为</w:t>
      </w:r>
      <w:r>
        <w:rPr>
          <w:spacing w:val="-47"/>
        </w:rPr>
        <w:t> </w:t>
      </w:r>
      <w:r>
        <w:rPr>
          <w:rFonts w:ascii="Times New Roman" w:hAnsi="Times New Roman" w:cs="Times New Roman" w:eastAsia="Times New Roman" w:hint="default"/>
        </w:rPr>
        <w:t>11,920,000.00</w:t>
      </w:r>
      <w:r>
        <w:rPr>
          <w:rFonts w:ascii="Times New Roman" w:hAnsi="Times New Roman" w:cs="Times New Roman" w:eastAsia="Times New Roman" w:hint="default"/>
          <w:spacing w:val="-1"/>
        </w:rPr>
        <w:t> </w:t>
      </w:r>
      <w:r>
        <w:rPr/>
        <w:t>元，期限为</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日至</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日。</w:t>
      </w:r>
    </w:p>
    <w:p>
      <w:pPr>
        <w:pStyle w:val="BodyText"/>
        <w:spacing w:line="240" w:lineRule="auto" w:before="101"/>
        <w:ind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3</w:t>
      </w:r>
      <w:r>
        <w:rPr>
          <w:spacing w:val="-90"/>
        </w:rPr>
        <w:t>）</w:t>
      </w:r>
      <w:r>
        <w:rPr/>
        <w:t>截止</w:t>
      </w:r>
      <w:r>
        <w:rPr>
          <w:spacing w:val="-6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t>日</w:t>
      </w:r>
      <w:r>
        <w:rPr>
          <w:spacing w:val="-90"/>
        </w:rPr>
        <w:t>，</w:t>
      </w:r>
      <w:r>
        <w:rPr/>
        <w:t>公司以原值为</w:t>
      </w:r>
      <w:r>
        <w:rPr>
          <w:spacing w:val="-60"/>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14,784,10</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w:t>
      </w:r>
      <w:r>
        <w:rPr>
          <w:rFonts w:ascii="Times New Roman" w:hAnsi="Times New Roman" w:cs="Times New Roman" w:eastAsia="Times New Roman" w:hint="default"/>
        </w:rPr>
        <w:t>46</w:t>
      </w:r>
      <w:r>
        <w:rPr>
          <w:rFonts w:ascii="Times New Roman" w:hAnsi="Times New Roman" w:cs="Times New Roman" w:eastAsia="Times New Roman" w:hint="default"/>
          <w:spacing w:val="-17"/>
        </w:rPr>
        <w:t> </w:t>
      </w:r>
      <w:r>
        <w:rPr/>
        <w:t>元</w:t>
      </w:r>
      <w:r>
        <w:rPr>
          <w:spacing w:val="-90"/>
        </w:rPr>
        <w:t>、</w:t>
      </w:r>
      <w:r>
        <w:rPr/>
        <w:t>净值为</w:t>
      </w:r>
      <w:r>
        <w:rPr>
          <w:spacing w:val="-60"/>
        </w:rPr>
        <w:t> </w:t>
      </w:r>
      <w:r>
        <w:rPr>
          <w:rFonts w:ascii="Times New Roman" w:hAnsi="Times New Roman" w:cs="Times New Roman" w:eastAsia="Times New Roman" w:hint="default"/>
        </w:rPr>
        <w:t>87,</w:t>
      </w:r>
      <w:r>
        <w:rPr>
          <w:rFonts w:ascii="Times New Roman" w:hAnsi="Times New Roman" w:cs="Times New Roman" w:eastAsia="Times New Roman" w:hint="default"/>
          <w:spacing w:val="-2"/>
        </w:rPr>
        <w:t>5</w:t>
      </w:r>
      <w:r>
        <w:rPr>
          <w:rFonts w:ascii="Times New Roman" w:hAnsi="Times New Roman" w:cs="Times New Roman" w:eastAsia="Times New Roman" w:hint="default"/>
        </w:rPr>
        <w:t>05,027.31</w:t>
      </w:r>
      <w:r>
        <w:rPr>
          <w:rFonts w:ascii="Times New Roman" w:hAnsi="Times New Roman" w:cs="Times New Roman" w:eastAsia="Times New Roman" w:hint="default"/>
          <w:spacing w:val="-15"/>
        </w:rPr>
        <w:t> </w:t>
      </w:r>
      <w:r>
        <w:rPr/>
        <w:t>元</w:t>
      </w:r>
      <w:r>
        <w:rPr>
          <w:spacing w:val="-2"/>
        </w:rPr>
        <w:t>的</w:t>
      </w:r>
      <w:r>
        <w:rPr/>
        <w:t>房屋及建筑物及原值为</w:t>
      </w:r>
      <w:r>
        <w:rPr>
          <w:spacing w:val="-60"/>
        </w:rPr>
        <w:t> </w:t>
      </w:r>
      <w:r>
        <w:rPr>
          <w:rFonts w:ascii="Times New Roman" w:hAnsi="Times New Roman" w:cs="Times New Roman" w:eastAsia="Times New Roman" w:hint="default"/>
        </w:rPr>
        <w:t>51,3</w:t>
      </w:r>
      <w:r>
        <w:rPr>
          <w:rFonts w:ascii="Times New Roman" w:hAnsi="Times New Roman" w:cs="Times New Roman" w:eastAsia="Times New Roman" w:hint="default"/>
          <w:spacing w:val="-2"/>
        </w:rPr>
        <w:t>2</w:t>
      </w:r>
      <w:r>
        <w:rPr>
          <w:rFonts w:ascii="Times New Roman" w:hAnsi="Times New Roman" w:cs="Times New Roman" w:eastAsia="Times New Roman" w:hint="default"/>
        </w:rPr>
        <w:t>4,774.</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p>
    <w:p>
      <w:pPr>
        <w:pStyle w:val="BodyText"/>
        <w:spacing w:line="240" w:lineRule="auto" w:before="63"/>
        <w:ind w:right="0"/>
        <w:jc w:val="left"/>
      </w:pPr>
      <w:r>
        <w:rPr/>
        <w:t>元、净值为</w:t>
      </w:r>
      <w:r>
        <w:rPr>
          <w:spacing w:val="-47"/>
        </w:rPr>
        <w:t> </w:t>
      </w:r>
      <w:r>
        <w:rPr>
          <w:rFonts w:ascii="Times New Roman" w:hAnsi="Times New Roman" w:cs="Times New Roman" w:eastAsia="Times New Roman" w:hint="default"/>
        </w:rPr>
        <w:t>43,797,140.48</w:t>
      </w:r>
      <w:r>
        <w:rPr>
          <w:rFonts w:ascii="Times New Roman" w:hAnsi="Times New Roman" w:cs="Times New Roman" w:eastAsia="Times New Roman" w:hint="default"/>
          <w:spacing w:val="-1"/>
        </w:rPr>
        <w:t> </w:t>
      </w:r>
      <w:r>
        <w:rPr/>
        <w:t>元的土地使用权为公司在中国工商银行上海市金山支行自</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日至</w:t>
      </w:r>
      <w:r>
        <w:rPr>
          <w:spacing w:val="-47"/>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w:t>
      </w:r>
    </w:p>
    <w:p>
      <w:pPr>
        <w:pStyle w:val="BodyText"/>
        <w:spacing w:line="240" w:lineRule="auto" w:before="64"/>
        <w:ind w:right="0"/>
        <w:jc w:val="left"/>
      </w:pPr>
      <w:r>
        <w:rPr/>
        <w:t>发生的不高于人民币</w:t>
      </w:r>
      <w:r>
        <w:rPr>
          <w:spacing w:val="-47"/>
        </w:rPr>
        <w:t> </w:t>
      </w:r>
      <w:r>
        <w:rPr>
          <w:rFonts w:ascii="Times New Roman" w:hAnsi="Times New Roman" w:cs="Times New Roman" w:eastAsia="Times New Roman" w:hint="default"/>
        </w:rPr>
        <w:t>168,490,000.00</w:t>
      </w:r>
      <w:r>
        <w:rPr>
          <w:rFonts w:ascii="Times New Roman" w:hAnsi="Times New Roman" w:cs="Times New Roman" w:eastAsia="Times New Roman" w:hint="default"/>
          <w:spacing w:val="-2"/>
        </w:rPr>
        <w:t> </w:t>
      </w:r>
      <w:r>
        <w:rPr/>
        <w:t>元的全部债务提供抵押担保。</w:t>
      </w:r>
    </w:p>
    <w:p>
      <w:pPr>
        <w:pStyle w:val="BodyText"/>
        <w:spacing w:line="240" w:lineRule="auto" w:before="102"/>
        <w:ind w:right="0"/>
        <w:jc w:val="left"/>
      </w:pPr>
      <w:r>
        <w:rPr/>
        <w:t>截至</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日，公司在中国工商银行上海市金山支行借款总金额为</w:t>
      </w:r>
      <w:r>
        <w:rPr>
          <w:spacing w:val="-47"/>
        </w:rPr>
        <w:t> </w:t>
      </w:r>
      <w:r>
        <w:rPr>
          <w:rFonts w:ascii="Times New Roman" w:hAnsi="Times New Roman" w:cs="Times New Roman" w:eastAsia="Times New Roman" w:hint="default"/>
        </w:rPr>
        <w:t>100,000,000.00</w:t>
      </w:r>
      <w:r>
        <w:rPr>
          <w:rFonts w:ascii="Times New Roman" w:hAnsi="Times New Roman" w:cs="Times New Roman" w:eastAsia="Times New Roman" w:hint="default"/>
          <w:spacing w:val="-1"/>
        </w:rPr>
        <w:t> </w:t>
      </w:r>
      <w:r>
        <w:rPr/>
        <w:t>元，其中：</w:t>
      </w:r>
      <w:r>
        <w:rPr>
          <w:rFonts w:ascii="Times New Roman" w:hAnsi="Times New Roman" w:cs="Times New Roman" w:eastAsia="Times New Roman" w:hint="default"/>
        </w:rPr>
        <w:t>25,000,000.00</w:t>
      </w:r>
      <w:r>
        <w:rPr>
          <w:rFonts w:ascii="Times New Roman" w:hAnsi="Times New Roman" w:cs="Times New Roman" w:eastAsia="Times New Roman" w:hint="default"/>
          <w:spacing w:val="-2"/>
        </w:rPr>
        <w:t> </w:t>
      </w:r>
      <w:r>
        <w:rPr/>
        <w:t>元的</w:t>
      </w:r>
    </w:p>
    <w:p>
      <w:pPr>
        <w:pStyle w:val="BodyText"/>
        <w:spacing w:line="240" w:lineRule="auto" w:before="63"/>
        <w:ind w:right="0"/>
        <w:jc w:val="left"/>
      </w:pPr>
      <w:r>
        <w:rPr/>
        <w:t>借款期限为</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 </w:t>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20,000,000.00 </w:t>
      </w:r>
      <w:r>
        <w:rPr/>
        <w:t>元的借款期限为</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w:t>
      </w:r>
    </w:p>
    <w:p>
      <w:pPr>
        <w:pStyle w:val="BodyText"/>
        <w:spacing w:line="240" w:lineRule="auto" w:before="63"/>
        <w:ind w:left="1134" w:right="0"/>
        <w:jc w:val="left"/>
        <w:rPr>
          <w:rFonts w:ascii="Times New Roman" w:hAnsi="Times New Roman" w:cs="Times New Roman" w:eastAsia="Times New Roman" w:hint="default"/>
        </w:rPr>
      </w:pPr>
      <w:r>
        <w:rPr>
          <w:rFonts w:ascii="Times New Roman" w:hAnsi="Times New Roman" w:cs="Times New Roman" w:eastAsia="Times New Roman" w:hint="default"/>
        </w:rPr>
        <w:t>25,000,00</w:t>
      </w:r>
      <w:r>
        <w:rPr>
          <w:rFonts w:ascii="Times New Roman" w:hAnsi="Times New Roman" w:cs="Times New Roman" w:eastAsia="Times New Roman" w:hint="default"/>
          <w:spacing w:val="-2"/>
        </w:rPr>
        <w:t>0</w:t>
      </w:r>
      <w:r>
        <w:rPr>
          <w:rFonts w:ascii="Times New Roman" w:hAnsi="Times New Roman" w:cs="Times New Roman" w:eastAsia="Times New Roman" w:hint="default"/>
        </w:rPr>
        <w:t>.00</w:t>
      </w:r>
      <w:r>
        <w:rPr>
          <w:rFonts w:ascii="Times New Roman" w:hAnsi="Times New Roman" w:cs="Times New Roman" w:eastAsia="Times New Roman" w:hint="default"/>
          <w:spacing w:val="-2"/>
        </w:rPr>
        <w:t> </w:t>
      </w:r>
      <w:r>
        <w:rPr/>
        <w:t>元的借款期限为</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日至</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w:t>
      </w:r>
      <w:r>
        <w:rPr>
          <w:spacing w:val="-90"/>
        </w:rPr>
        <w:t>；</w:t>
      </w:r>
      <w:r>
        <w:rPr>
          <w:rFonts w:ascii="Times New Roman" w:hAnsi="Times New Roman" w:cs="Times New Roman" w:eastAsia="Times New Roman" w:hint="default"/>
        </w:rPr>
        <w:t>30,000,000.00</w:t>
      </w:r>
      <w:r>
        <w:rPr>
          <w:rFonts w:ascii="Times New Roman" w:hAnsi="Times New Roman" w:cs="Times New Roman" w:eastAsia="Times New Roman" w:hint="default"/>
          <w:spacing w:val="-2"/>
        </w:rPr>
        <w:t> </w:t>
      </w:r>
      <w:r>
        <w:rPr/>
        <w:t>元的</w:t>
      </w:r>
      <w:r>
        <w:rPr>
          <w:spacing w:val="-2"/>
        </w:rPr>
        <w:t>借</w:t>
      </w:r>
      <w:r>
        <w:rPr/>
        <w:t>款期限为</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日至</w:t>
      </w:r>
      <w:r>
        <w:rPr>
          <w:spacing w:val="-47"/>
        </w:rPr>
        <w:t> </w:t>
      </w:r>
      <w:r>
        <w:rPr>
          <w:rFonts w:ascii="Times New Roman" w:hAnsi="Times New Roman" w:cs="Times New Roman" w:eastAsia="Times New Roman" w:hint="default"/>
        </w:rPr>
        <w:t>2018</w:t>
      </w:r>
    </w:p>
    <w:p>
      <w:pPr>
        <w:pStyle w:val="BodyText"/>
        <w:spacing w:line="240" w:lineRule="auto" w:before="64"/>
        <w:ind w:left="1134" w:right="0"/>
        <w:jc w:val="left"/>
      </w:pP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w:t>
      </w:r>
    </w:p>
    <w:p>
      <w:pPr>
        <w:pStyle w:val="BodyText"/>
        <w:spacing w:line="240" w:lineRule="auto" w:before="101"/>
        <w:ind w:left="1134"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4</w:t>
      </w:r>
      <w:r>
        <w:rPr>
          <w:spacing w:val="-90"/>
        </w:rPr>
        <w:t>）</w:t>
      </w:r>
      <w:r>
        <w:rPr/>
        <w:t>截止</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w:t>
      </w:r>
      <w:r>
        <w:rPr>
          <w:spacing w:val="-90"/>
        </w:rPr>
        <w:t>，</w:t>
      </w:r>
      <w:r>
        <w:rPr/>
        <w:t>公司以</w:t>
      </w:r>
      <w:r>
        <w:rPr>
          <w:spacing w:val="-50"/>
        </w:rPr>
        <w:t> </w:t>
      </w:r>
      <w:r>
        <w:rPr>
          <w:rFonts w:ascii="Times New Roman" w:hAnsi="Times New Roman" w:cs="Times New Roman" w:eastAsia="Times New Roman" w:hint="default"/>
        </w:rPr>
        <w:t>9,650,0</w:t>
      </w:r>
      <w:r>
        <w:rPr>
          <w:rFonts w:ascii="Times New Roman" w:hAnsi="Times New Roman" w:cs="Times New Roman" w:eastAsia="Times New Roman" w:hint="default"/>
          <w:spacing w:val="-2"/>
        </w:rPr>
        <w:t>0</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美元存款质押为企业在中国工商银行上海市金山支行金额为</w:t>
      </w:r>
      <w:r>
        <w:rPr>
          <w:spacing w:val="-49"/>
        </w:rPr>
        <w:t> </w:t>
      </w:r>
      <w:r>
        <w:rPr>
          <w:rFonts w:ascii="Times New Roman" w:hAnsi="Times New Roman" w:cs="Times New Roman" w:eastAsia="Times New Roman" w:hint="default"/>
        </w:rPr>
        <w:t>62,086,000.00</w:t>
      </w:r>
    </w:p>
    <w:p>
      <w:pPr>
        <w:pStyle w:val="BodyText"/>
        <w:spacing w:line="240" w:lineRule="auto" w:before="64"/>
        <w:ind w:right="0"/>
        <w:jc w:val="left"/>
      </w:pPr>
      <w:r>
        <w:rPr/>
        <w:t>元，期限为</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日的短期借款提供质押担保。</w:t>
      </w:r>
    </w:p>
    <w:p>
      <w:pPr>
        <w:pStyle w:val="BodyText"/>
        <w:spacing w:line="240" w:lineRule="auto" w:before="101"/>
        <w:ind w:right="0"/>
        <w:jc w:val="left"/>
      </w:pPr>
      <w:r>
        <w:rPr/>
        <w:t>（</w:t>
      </w:r>
      <w:r>
        <w:rPr>
          <w:rFonts w:ascii="Times New Roman" w:hAnsi="Times New Roman" w:cs="Times New Roman" w:eastAsia="Times New Roman" w:hint="default"/>
        </w:rPr>
        <w:t>5</w:t>
      </w:r>
      <w:r>
        <w:rPr/>
        <w:t>）截止</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日，江苏超纤以原值为</w:t>
      </w:r>
      <w:r>
        <w:rPr>
          <w:spacing w:val="-47"/>
        </w:rPr>
        <w:t> </w:t>
      </w:r>
      <w:r>
        <w:rPr>
          <w:rFonts w:ascii="Times New Roman" w:hAnsi="Times New Roman" w:cs="Times New Roman" w:eastAsia="Times New Roman" w:hint="default"/>
        </w:rPr>
        <w:t>130,692,296.91</w:t>
      </w:r>
      <w:r>
        <w:rPr>
          <w:rFonts w:ascii="Times New Roman" w:hAnsi="Times New Roman" w:cs="Times New Roman" w:eastAsia="Times New Roman" w:hint="default"/>
          <w:spacing w:val="-2"/>
        </w:rPr>
        <w:t> </w:t>
      </w:r>
      <w:r>
        <w:rPr/>
        <w:t>元，净值为</w:t>
      </w:r>
      <w:r>
        <w:rPr>
          <w:spacing w:val="-47"/>
        </w:rPr>
        <w:t> </w:t>
      </w:r>
      <w:r>
        <w:rPr>
          <w:rFonts w:ascii="Times New Roman" w:hAnsi="Times New Roman" w:cs="Times New Roman" w:eastAsia="Times New Roman" w:hint="default"/>
        </w:rPr>
        <w:t>122,197,295.33</w:t>
      </w:r>
      <w:r>
        <w:rPr>
          <w:rFonts w:ascii="Times New Roman" w:hAnsi="Times New Roman" w:cs="Times New Roman" w:eastAsia="Times New Roman" w:hint="default"/>
          <w:spacing w:val="-1"/>
        </w:rPr>
        <w:t> </w:t>
      </w:r>
      <w:r>
        <w:rPr/>
        <w:t>元的土地使用权为江苏超纤与</w:t>
      </w:r>
    </w:p>
    <w:p>
      <w:pPr>
        <w:pStyle w:val="BodyText"/>
        <w:spacing w:line="240" w:lineRule="auto" w:before="63"/>
        <w:ind w:right="0"/>
        <w:jc w:val="left"/>
      </w:pPr>
      <w:r>
        <w:rPr/>
        <w:t>中国工商银行股份有限公司启东支行签订的自</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t>日至</w:t>
      </w:r>
      <w:r>
        <w:rPr>
          <w:spacing w:val="-48"/>
        </w:rPr>
        <w:t> </w:t>
      </w:r>
      <w:r>
        <w:rPr>
          <w:rFonts w:ascii="Times New Roman" w:hAnsi="Times New Roman" w:cs="Times New Roman" w:eastAsia="Times New Roman" w:hint="default"/>
        </w:rPr>
        <w:t>2021</w:t>
      </w:r>
      <w:r>
        <w:rPr>
          <w:rFonts w:ascii="Times New Roman" w:hAnsi="Times New Roman" w:cs="Times New Roman" w:eastAsia="Times New Roman" w:hint="default"/>
          <w:spacing w:val="-3"/>
        </w:rPr>
        <w:t> </w:t>
      </w:r>
      <w:r>
        <w:rPr/>
        <w:t>至</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日不高于</w:t>
      </w:r>
      <w:r>
        <w:rPr>
          <w:spacing w:val="-48"/>
        </w:rPr>
        <w:t> </w:t>
      </w:r>
      <w:r>
        <w:rPr>
          <w:rFonts w:ascii="Times New Roman" w:hAnsi="Times New Roman" w:cs="Times New Roman" w:eastAsia="Times New Roman" w:hint="default"/>
        </w:rPr>
        <w:t>126,800,000.00</w:t>
      </w:r>
      <w:r>
        <w:rPr>
          <w:rFonts w:ascii="Times New Roman" w:hAnsi="Times New Roman" w:cs="Times New Roman" w:eastAsia="Times New Roman" w:hint="default"/>
          <w:spacing w:val="-3"/>
        </w:rPr>
        <w:t> </w:t>
      </w:r>
      <w:r>
        <w:rPr/>
        <w:t>元的全部债务提</w:t>
      </w:r>
    </w:p>
    <w:p>
      <w:pPr>
        <w:pStyle w:val="BodyText"/>
        <w:spacing w:line="240" w:lineRule="auto" w:before="63"/>
        <w:ind w:left="1134" w:right="0"/>
        <w:jc w:val="left"/>
      </w:pPr>
      <w:r>
        <w:rPr>
          <w:spacing w:val="-5"/>
        </w:rPr>
        <w:t>供抵押担保。同时经</w:t>
      </w:r>
      <w:r>
        <w:rPr>
          <w:spacing w:val="-5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52"/>
        </w:rPr>
        <w:t> </w:t>
      </w:r>
      <w:r>
        <w:rPr>
          <w:rFonts w:ascii="Times New Roman" w:hAnsi="Times New Roman" w:cs="Times New Roman" w:eastAsia="Times New Roman" w:hint="default"/>
        </w:rPr>
        <w:t>17</w:t>
      </w:r>
      <w:r>
        <w:rPr>
          <w:rFonts w:ascii="Times New Roman" w:hAnsi="Times New Roman" w:cs="Times New Roman" w:eastAsia="Times New Roman" w:hint="default"/>
          <w:spacing w:val="-7"/>
        </w:rPr>
        <w:t> </w:t>
      </w:r>
      <w:r>
        <w:rPr/>
        <w:t>日召开的公司第二届董事会第二十三次会议审议通过，公司为全资子公司江苏超纤向中</w:t>
      </w:r>
    </w:p>
    <w:p>
      <w:pPr>
        <w:pStyle w:val="BodyText"/>
        <w:spacing w:line="240" w:lineRule="auto" w:before="63"/>
        <w:ind w:left="1134" w:right="0"/>
        <w:jc w:val="left"/>
      </w:pPr>
      <w:r>
        <w:rPr/>
        <w:t>国工商银行启东市支行申请的</w:t>
      </w:r>
      <w:r>
        <w:rPr>
          <w:spacing w:val="-56"/>
        </w:rPr>
        <w:t> </w:t>
      </w:r>
      <w:r>
        <w:rPr>
          <w:rFonts w:ascii="Times New Roman" w:hAnsi="Times New Roman" w:cs="Times New Roman" w:eastAsia="Times New Roman" w:hint="default"/>
        </w:rPr>
        <w:t>500,000,000.00</w:t>
      </w:r>
      <w:r>
        <w:rPr>
          <w:rFonts w:ascii="Times New Roman" w:hAnsi="Times New Roman" w:cs="Times New Roman" w:eastAsia="Times New Roman" w:hint="default"/>
          <w:spacing w:val="-11"/>
        </w:rPr>
        <w:t> </w:t>
      </w:r>
      <w:r>
        <w:rPr/>
        <w:t>元银行授信提供连带责任担保，期限为</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年。在上述担保合同项下，江苏超纤</w:t>
      </w:r>
    </w:p>
    <w:p>
      <w:pPr>
        <w:pStyle w:val="BodyText"/>
        <w:spacing w:line="240" w:lineRule="auto" w:before="64"/>
        <w:ind w:left="1134" w:right="0"/>
        <w:jc w:val="left"/>
      </w:pPr>
      <w:r>
        <w:rPr/>
        <w:t>与中国工商银行启东支行签订了提款额度为</w:t>
      </w:r>
      <w:r>
        <w:rPr>
          <w:spacing w:val="-47"/>
        </w:rPr>
        <w:t> </w:t>
      </w:r>
      <w:r>
        <w:rPr>
          <w:rFonts w:ascii="Times New Roman" w:hAnsi="Times New Roman" w:cs="Times New Roman" w:eastAsia="Times New Roman" w:hint="default"/>
        </w:rPr>
        <w:t>272,500,000.00</w:t>
      </w:r>
      <w:r>
        <w:rPr>
          <w:rFonts w:ascii="Times New Roman" w:hAnsi="Times New Roman" w:cs="Times New Roman" w:eastAsia="Times New Roman" w:hint="default"/>
          <w:spacing w:val="-1"/>
        </w:rPr>
        <w:t> </w:t>
      </w:r>
      <w:r>
        <w:rPr/>
        <w:t>元固定资产借款合同。</w:t>
      </w:r>
    </w:p>
    <w:p>
      <w:pPr>
        <w:pStyle w:val="BodyText"/>
        <w:spacing w:line="240" w:lineRule="auto" w:before="102"/>
        <w:ind w:right="0"/>
        <w:jc w:val="left"/>
        <w:rPr>
          <w:rFonts w:ascii="Times New Roman" w:hAnsi="Times New Roman" w:cs="Times New Roman" w:eastAsia="Times New Roman" w:hint="default"/>
        </w:rPr>
      </w:pPr>
      <w:r>
        <w:rPr/>
        <w:t>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7"/>
        </w:rPr>
        <w:t>日，公司借款总额为</w:t>
      </w:r>
      <w:r>
        <w:rPr>
          <w:spacing w:val="-46"/>
        </w:rPr>
        <w:t> </w:t>
      </w:r>
      <w:r>
        <w:rPr>
          <w:rFonts w:ascii="Times New Roman" w:hAnsi="Times New Roman" w:cs="Times New Roman" w:eastAsia="Times New Roman" w:hint="default"/>
        </w:rPr>
        <w:t>268,325,000.00 </w:t>
      </w:r>
      <w:r>
        <w:rPr>
          <w:spacing w:val="-16"/>
        </w:rPr>
        <w:t>元；其中</w:t>
      </w:r>
      <w:r>
        <w:rPr>
          <w:spacing w:val="-46"/>
        </w:rPr>
        <w:t> </w:t>
      </w:r>
      <w:r>
        <w:rPr>
          <w:rFonts w:ascii="Times New Roman" w:hAnsi="Times New Roman" w:cs="Times New Roman" w:eastAsia="Times New Roman" w:hint="default"/>
        </w:rPr>
        <w:t>19,700,000.00 </w:t>
      </w:r>
      <w:r>
        <w:rPr/>
        <w:t>元的借款期限为</w:t>
      </w:r>
      <w:r>
        <w:rPr>
          <w:spacing w:val="-46"/>
        </w:rPr>
        <w:t> </w:t>
      </w:r>
      <w:r>
        <w:rPr>
          <w:rFonts w:ascii="Times New Roman" w:hAnsi="Times New Roman" w:cs="Times New Roman" w:eastAsia="Times New Roman" w:hint="default"/>
        </w:rPr>
        <w:t>2016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2019</w:t>
      </w:r>
    </w:p>
    <w:p>
      <w:pPr>
        <w:pStyle w:val="BodyText"/>
        <w:spacing w:line="240" w:lineRule="auto" w:before="63"/>
        <w:ind w:left="1134" w:right="0"/>
        <w:jc w:val="left"/>
        <w:rPr>
          <w:rFonts w:ascii="Times New Roman" w:hAnsi="Times New Roman" w:cs="Times New Roman" w:eastAsia="Times New Roman" w:hint="default"/>
        </w:rPr>
      </w:pP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5,900,000.00</w:t>
      </w:r>
      <w:r>
        <w:rPr>
          <w:rFonts w:ascii="Times New Roman" w:hAnsi="Times New Roman" w:cs="Times New Roman" w:eastAsia="Times New Roman" w:hint="default"/>
          <w:spacing w:val="-1"/>
        </w:rPr>
        <w:t> </w:t>
      </w:r>
      <w:r>
        <w:rPr/>
        <w:t>元的借款期限为</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日至</w:t>
      </w:r>
      <w:r>
        <w:rPr>
          <w:spacing w:val="-47"/>
        </w:rPr>
        <w:t> </w:t>
      </w:r>
      <w:r>
        <w:rPr>
          <w:rFonts w:ascii="Times New Roman" w:hAnsi="Times New Roman" w:cs="Times New Roman" w:eastAsia="Times New Roman" w:hint="default"/>
        </w:rPr>
        <w:t>2021</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14,100,000.00</w:t>
      </w:r>
      <w:r>
        <w:rPr>
          <w:rFonts w:ascii="Times New Roman" w:hAnsi="Times New Roman" w:cs="Times New Roman" w:eastAsia="Times New Roman" w:hint="default"/>
          <w:spacing w:val="-1"/>
        </w:rPr>
        <w:t> </w:t>
      </w:r>
      <w:r>
        <w:rPr/>
        <w:t>元的借款期限为</w:t>
      </w:r>
      <w:r>
        <w:rPr>
          <w:spacing w:val="-47"/>
        </w:rPr>
        <w:t> </w:t>
      </w:r>
      <w:r>
        <w:rPr>
          <w:rFonts w:ascii="Times New Roman" w:hAnsi="Times New Roman" w:cs="Times New Roman" w:eastAsia="Times New Roman" w:hint="default"/>
        </w:rPr>
        <w:t>2016</w:t>
      </w:r>
    </w:p>
    <w:p>
      <w:pPr>
        <w:pStyle w:val="BodyText"/>
        <w:spacing w:line="240" w:lineRule="auto" w:before="63"/>
        <w:ind w:left="1134" w:right="0"/>
        <w:jc w:val="left"/>
      </w:pPr>
      <w:r>
        <w:rPr/>
        <w:t>年</w:t>
      </w:r>
      <w:r>
        <w:rPr>
          <w:spacing w:val="-4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日至</w:t>
      </w:r>
      <w:r>
        <w:rPr>
          <w:spacing w:val="-47"/>
        </w:rPr>
        <w:t> </w:t>
      </w:r>
      <w:r>
        <w:rPr>
          <w:rFonts w:ascii="Times New Roman" w:hAnsi="Times New Roman" w:cs="Times New Roman" w:eastAsia="Times New Roman" w:hint="default"/>
        </w:rPr>
        <w:t>2021</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11,840,000.00</w:t>
      </w:r>
      <w:r>
        <w:rPr>
          <w:rFonts w:ascii="Times New Roman" w:hAnsi="Times New Roman" w:cs="Times New Roman" w:eastAsia="Times New Roman" w:hint="default"/>
          <w:spacing w:val="-1"/>
        </w:rPr>
        <w:t> </w:t>
      </w:r>
      <w:r>
        <w:rPr/>
        <w:t>元的借款期限为</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日至</w:t>
      </w:r>
      <w:r>
        <w:rPr>
          <w:spacing w:val="-47"/>
        </w:rPr>
        <w:t> </w:t>
      </w:r>
      <w:r>
        <w:rPr>
          <w:rFonts w:ascii="Times New Roman" w:hAnsi="Times New Roman" w:cs="Times New Roman" w:eastAsia="Times New Roman" w:hint="default"/>
        </w:rPr>
        <w:t>2021</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8,160,000.00</w:t>
      </w:r>
      <w:r>
        <w:rPr>
          <w:rFonts w:ascii="Times New Roman" w:hAnsi="Times New Roman" w:cs="Times New Roman" w:eastAsia="Times New Roman" w:hint="default"/>
          <w:spacing w:val="-1"/>
        </w:rPr>
        <w:t> </w:t>
      </w:r>
      <w:r>
        <w:rPr/>
        <w:t>元</w:t>
      </w:r>
    </w:p>
    <w:p>
      <w:pPr>
        <w:pStyle w:val="BodyText"/>
        <w:spacing w:line="240" w:lineRule="auto" w:before="63"/>
        <w:ind w:left="1134" w:right="0"/>
        <w:jc w:val="left"/>
        <w:rPr>
          <w:rFonts w:ascii="Times New Roman" w:hAnsi="Times New Roman" w:cs="Times New Roman" w:eastAsia="Times New Roman" w:hint="default"/>
        </w:rPr>
      </w:pPr>
      <w:r>
        <w:rPr/>
        <w:t>的借款期限为</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6 </w:t>
      </w:r>
      <w:r>
        <w:rPr/>
        <w:t>日至</w:t>
      </w:r>
      <w:r>
        <w:rPr>
          <w:spacing w:val="-46"/>
        </w:rPr>
        <w:t> </w:t>
      </w:r>
      <w:r>
        <w:rPr>
          <w:rFonts w:ascii="Times New Roman" w:hAnsi="Times New Roman" w:cs="Times New Roman" w:eastAsia="Times New Roman" w:hint="default"/>
        </w:rPr>
        <w:t>2021</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10,105,000.00 </w:t>
      </w:r>
      <w:r>
        <w:rPr/>
        <w:t>元的借款期限为</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18</w:t>
      </w:r>
    </w:p>
    <w:p>
      <w:pPr>
        <w:pStyle w:val="BodyText"/>
        <w:spacing w:line="240" w:lineRule="auto" w:before="63"/>
        <w:ind w:left="1134" w:right="0"/>
        <w:jc w:val="left"/>
        <w:rPr>
          <w:rFonts w:ascii="Times New Roman" w:hAnsi="Times New Roman" w:cs="Times New Roman" w:eastAsia="Times New Roman" w:hint="default"/>
        </w:rPr>
      </w:pPr>
      <w:r>
        <w:rPr/>
        <w:t>日；</w:t>
      </w:r>
      <w:r>
        <w:rPr>
          <w:rFonts w:ascii="Times New Roman" w:hAnsi="Times New Roman" w:cs="Times New Roman" w:eastAsia="Times New Roman" w:hint="default"/>
        </w:rPr>
        <w:t>2,540,000.00</w:t>
      </w:r>
      <w:r>
        <w:rPr>
          <w:rFonts w:ascii="Times New Roman" w:hAnsi="Times New Roman" w:cs="Times New Roman" w:eastAsia="Times New Roman" w:hint="default"/>
          <w:spacing w:val="-3"/>
        </w:rPr>
        <w:t> </w:t>
      </w:r>
      <w:r>
        <w:rPr/>
        <w:t>元的借款期限为</w:t>
      </w:r>
      <w:r>
        <w:rPr>
          <w:spacing w:val="-4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t>日至</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11,520,000.00</w:t>
      </w:r>
      <w:r>
        <w:rPr>
          <w:rFonts w:ascii="Times New Roman" w:hAnsi="Times New Roman" w:cs="Times New Roman" w:eastAsia="Times New Roman" w:hint="default"/>
          <w:spacing w:val="-3"/>
        </w:rPr>
        <w:t> </w:t>
      </w:r>
      <w:r>
        <w:rPr/>
        <w:t>元的借款期限为</w:t>
      </w:r>
      <w:r>
        <w:rPr>
          <w:spacing w:val="-4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14</w:t>
      </w:r>
    </w:p>
    <w:p>
      <w:pPr>
        <w:pStyle w:val="BodyText"/>
        <w:spacing w:line="240" w:lineRule="auto" w:before="63"/>
        <w:ind w:left="1134" w:right="0"/>
        <w:jc w:val="left"/>
      </w:pPr>
      <w:r>
        <w:rPr/>
        <w:t>日至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spacing w:val="-3"/>
        </w:rPr>
        <w:t>日；</w:t>
      </w:r>
      <w:r>
        <w:rPr>
          <w:rFonts w:ascii="Times New Roman" w:hAnsi="Times New Roman" w:cs="Times New Roman" w:eastAsia="Times New Roman" w:hint="default"/>
          <w:spacing w:val="-3"/>
        </w:rPr>
        <w:t>14,060,000.00</w:t>
      </w:r>
      <w:r>
        <w:rPr>
          <w:rFonts w:ascii="Times New Roman" w:hAnsi="Times New Roman" w:cs="Times New Roman" w:eastAsia="Times New Roman" w:hint="default"/>
        </w:rPr>
        <w:t> </w:t>
      </w:r>
      <w:r>
        <w:rPr/>
        <w:t>元的借款期限为</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spacing w:val="-3"/>
        </w:rPr>
        <w:t>日；</w:t>
      </w:r>
      <w:r>
        <w:rPr>
          <w:rFonts w:ascii="Times New Roman" w:hAnsi="Times New Roman" w:cs="Times New Roman" w:eastAsia="Times New Roman" w:hint="default"/>
          <w:spacing w:val="-3"/>
        </w:rPr>
        <w:t>14,060,000.00</w:t>
      </w:r>
      <w:r>
        <w:rPr>
          <w:rFonts w:ascii="Times New Roman" w:hAnsi="Times New Roman" w:cs="Times New Roman" w:eastAsia="Times New Roman" w:hint="default"/>
        </w:rPr>
        <w:t> </w:t>
      </w:r>
      <w:r>
        <w:rPr/>
        <w:t>元的借款期</w:t>
      </w:r>
    </w:p>
    <w:p>
      <w:pPr>
        <w:pStyle w:val="BodyText"/>
        <w:spacing w:line="240" w:lineRule="auto" w:before="63"/>
        <w:ind w:left="1134" w:right="0"/>
        <w:jc w:val="left"/>
      </w:pPr>
      <w:r>
        <w:rPr/>
        <w:t>限为</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14,060,000.00 </w:t>
      </w:r>
      <w:r>
        <w:rPr/>
        <w:t>元的借款期限为</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w:t>
      </w:r>
    </w:p>
    <w:p>
      <w:pPr>
        <w:pStyle w:val="BodyText"/>
        <w:spacing w:line="240" w:lineRule="auto" w:before="63"/>
        <w:ind w:left="1134" w:right="0"/>
        <w:jc w:val="left"/>
      </w:pPr>
      <w:r>
        <w:rPr>
          <w:rFonts w:ascii="Times New Roman" w:hAnsi="Times New Roman" w:cs="Times New Roman" w:eastAsia="Times New Roman" w:hint="default"/>
        </w:rPr>
        <w:t>14,060,000.00 </w:t>
      </w:r>
      <w:r>
        <w:rPr/>
        <w:t>元的借款期限为</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2,220,000.00 </w:t>
      </w:r>
      <w:r>
        <w:rPr/>
        <w:t>元的借款期限为</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日至</w:t>
      </w:r>
    </w:p>
    <w:p>
      <w:pPr>
        <w:pStyle w:val="BodyText"/>
        <w:spacing w:line="240" w:lineRule="auto" w:before="63"/>
        <w:ind w:left="1134" w:right="0"/>
        <w:jc w:val="left"/>
        <w:rPr>
          <w:rFonts w:ascii="Times New Roman" w:hAnsi="Times New Roman" w:cs="Times New Roman" w:eastAsia="Times New Roman" w:hint="default"/>
        </w:rPr>
      </w:pPr>
      <w:r>
        <w:rPr>
          <w:rFonts w:ascii="Times New Roman" w:hAnsi="Times New Roman" w:cs="Times New Roman" w:eastAsia="Times New Roman" w:hint="default"/>
        </w:rPr>
        <w:t>2021</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18</w:t>
      </w:r>
      <w:r>
        <w:rPr>
          <w:rFonts w:ascii="Times New Roman" w:hAnsi="Times New Roman" w:cs="Times New Roman" w:eastAsia="Times New Roman" w:hint="default"/>
          <w:spacing w:val="-5"/>
        </w:rPr>
        <w:t> </w:t>
      </w:r>
      <w:r>
        <w:rPr/>
        <w:t>日</w:t>
      </w:r>
      <w:r>
        <w:rPr>
          <w:spacing w:val="-90"/>
        </w:rPr>
        <w:t>；</w:t>
      </w:r>
      <w:r>
        <w:rPr>
          <w:rFonts w:ascii="Times New Roman" w:hAnsi="Times New Roman" w:cs="Times New Roman" w:eastAsia="Times New Roman" w:hint="default"/>
        </w:rPr>
        <w:t>60,000,00</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元的借款期限为</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13</w:t>
      </w:r>
      <w:r>
        <w:rPr>
          <w:rFonts w:ascii="Times New Roman" w:hAnsi="Times New Roman" w:cs="Times New Roman" w:eastAsia="Times New Roman" w:hint="default"/>
          <w:spacing w:val="-5"/>
        </w:rPr>
        <w:t> </w:t>
      </w:r>
      <w:r>
        <w:rPr/>
        <w:t>日至</w:t>
      </w:r>
      <w:r>
        <w:rPr>
          <w:spacing w:val="-50"/>
        </w:rPr>
        <w:t> </w:t>
      </w:r>
      <w:r>
        <w:rPr>
          <w:rFonts w:ascii="Times New Roman" w:hAnsi="Times New Roman" w:cs="Times New Roman" w:eastAsia="Times New Roman" w:hint="default"/>
        </w:rPr>
        <w:t>2020</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19</w:t>
      </w:r>
      <w:r>
        <w:rPr>
          <w:rFonts w:ascii="Times New Roman" w:hAnsi="Times New Roman" w:cs="Times New Roman" w:eastAsia="Times New Roman" w:hint="default"/>
          <w:spacing w:val="-5"/>
        </w:rPr>
        <w:t> </w:t>
      </w:r>
      <w:r>
        <w:rPr/>
        <w:t>日</w:t>
      </w:r>
      <w:r>
        <w:rPr>
          <w:spacing w:val="-90"/>
        </w:rPr>
        <w:t>；</w:t>
      </w:r>
      <w:r>
        <w:rPr>
          <w:rFonts w:ascii="Times New Roman" w:hAnsi="Times New Roman" w:cs="Times New Roman" w:eastAsia="Times New Roman" w:hint="default"/>
        </w:rPr>
        <w:t>66,000,00</w:t>
      </w:r>
      <w:r>
        <w:rPr>
          <w:rFonts w:ascii="Times New Roman" w:hAnsi="Times New Roman" w:cs="Times New Roman" w:eastAsia="Times New Roman" w:hint="default"/>
          <w:spacing w:val="-2"/>
        </w:rPr>
        <w:t>0</w:t>
      </w:r>
      <w:r>
        <w:rPr>
          <w:rFonts w:ascii="Times New Roman" w:hAnsi="Times New Roman" w:cs="Times New Roman" w:eastAsia="Times New Roman" w:hint="default"/>
        </w:rPr>
        <w:t>.00</w:t>
      </w:r>
      <w:r>
        <w:rPr>
          <w:rFonts w:ascii="Times New Roman" w:hAnsi="Times New Roman" w:cs="Times New Roman" w:eastAsia="Times New Roman" w:hint="default"/>
          <w:spacing w:val="-4"/>
        </w:rPr>
        <w:t> </w:t>
      </w:r>
      <w:r>
        <w:rPr/>
        <w:t>元的借款期限为</w:t>
      </w:r>
      <w:r>
        <w:rPr>
          <w:spacing w:val="-50"/>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p>
    <w:p>
      <w:pPr>
        <w:pStyle w:val="BodyText"/>
        <w:spacing w:line="240" w:lineRule="auto" w:before="64"/>
        <w:ind w:left="1134" w:right="0"/>
        <w:jc w:val="left"/>
      </w:pP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日至</w:t>
      </w:r>
      <w:r>
        <w:rPr>
          <w:spacing w:val="-45"/>
        </w:rPr>
        <w:t> </w:t>
      </w:r>
      <w:r>
        <w:rPr>
          <w:rFonts w:ascii="Times New Roman" w:hAnsi="Times New Roman" w:cs="Times New Roman" w:eastAsia="Times New Roman" w:hint="default"/>
        </w:rPr>
        <w:t>2021</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10 </w:t>
      </w:r>
      <w:r>
        <w:rPr/>
        <w:t>日。</w:t>
      </w:r>
    </w:p>
    <w:p>
      <w:pPr>
        <w:pStyle w:val="BodyText"/>
        <w:spacing w:line="240" w:lineRule="auto" w:before="102"/>
        <w:ind w:right="0"/>
        <w:jc w:val="left"/>
      </w:pPr>
      <w:r>
        <w:rPr/>
        <w:t>截至</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日，公司在上述担保协议下已开出未到期信用证金额为</w:t>
      </w:r>
      <w:r>
        <w:rPr>
          <w:spacing w:val="-47"/>
        </w:rPr>
        <w:t> </w:t>
      </w:r>
      <w:r>
        <w:rPr>
          <w:rFonts w:ascii="Times New Roman" w:hAnsi="Times New Roman" w:cs="Times New Roman" w:eastAsia="Times New Roman" w:hint="default"/>
        </w:rPr>
        <w:t>18,500.00</w:t>
      </w:r>
      <w:r>
        <w:rPr>
          <w:rFonts w:ascii="Times New Roman" w:hAnsi="Times New Roman" w:cs="Times New Roman" w:eastAsia="Times New Roman" w:hint="default"/>
          <w:spacing w:val="-2"/>
        </w:rPr>
        <w:t> </w:t>
      </w:r>
      <w:r>
        <w:rPr/>
        <w:t>美元、</w:t>
      </w:r>
      <w:r>
        <w:rPr>
          <w:rFonts w:ascii="Times New Roman" w:hAnsi="Times New Roman" w:cs="Times New Roman" w:eastAsia="Times New Roman" w:hint="default"/>
        </w:rPr>
        <w:t>1,242,480.00</w:t>
      </w:r>
      <w:r>
        <w:rPr>
          <w:rFonts w:ascii="Times New Roman" w:hAnsi="Times New Roman" w:cs="Times New Roman" w:eastAsia="Times New Roman" w:hint="default"/>
          <w:spacing w:val="-1"/>
        </w:rPr>
        <w:t> </w:t>
      </w:r>
      <w:r>
        <w:rPr/>
        <w:t>欧元。</w:t>
      </w:r>
    </w:p>
    <w:p>
      <w:pPr>
        <w:pStyle w:val="BodyText"/>
        <w:spacing w:line="300" w:lineRule="auto" w:before="101"/>
        <w:ind w:right="1125"/>
        <w:jc w:val="left"/>
      </w:pPr>
      <w:r>
        <w:rPr>
          <w:spacing w:val="-2"/>
        </w:rPr>
        <w:t>（</w:t>
      </w:r>
      <w:r>
        <w:rPr>
          <w:rFonts w:ascii="Times New Roman" w:hAnsi="Times New Roman" w:cs="Times New Roman" w:eastAsia="Times New Roman" w:hint="default"/>
          <w:spacing w:val="-2"/>
        </w:rPr>
        <w:t>6</w:t>
      </w:r>
      <w:r>
        <w:rPr>
          <w:spacing w:val="-2"/>
        </w:rPr>
        <w:t>）经公司第三届董事会第八次会议、</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31"/>
        </w:rPr>
        <w:t> </w:t>
      </w:r>
      <w:r>
        <w:rPr>
          <w:spacing w:val="-1"/>
        </w:rPr>
        <w:t>年年度股东大会审议通过，公司为江苏超纤向中国银行股份有限公司启东支行</w:t>
      </w:r>
      <w:r>
        <w:rPr>
          <w:spacing w:val="-83"/>
        </w:rPr>
        <w:t> </w:t>
      </w:r>
      <w:r>
        <w:rPr>
          <w:spacing w:val="-83"/>
        </w:rPr>
      </w:r>
      <w:r>
        <w:rPr/>
        <w:t>申请的</w:t>
      </w:r>
      <w:r>
        <w:rPr>
          <w:spacing w:val="-48"/>
        </w:rPr>
        <w:t> </w:t>
      </w:r>
      <w:r>
        <w:rPr>
          <w:rFonts w:ascii="Times New Roman" w:hAnsi="Times New Roman" w:cs="Times New Roman" w:eastAsia="Times New Roman" w:hint="default"/>
        </w:rPr>
        <w:t>400,000,000.00</w:t>
      </w:r>
      <w:r>
        <w:rPr>
          <w:rFonts w:ascii="Times New Roman" w:hAnsi="Times New Roman" w:cs="Times New Roman" w:eastAsia="Times New Roman" w:hint="default"/>
          <w:spacing w:val="-3"/>
        </w:rPr>
        <w:t> </w:t>
      </w:r>
      <w:r>
        <w:rPr/>
        <w:t>元银行授信提供连带责任担保，授信使用期限为</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t>日至</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spacing w:val="-3"/>
        </w:rPr>
        <w:t>日止。本年度续</w:t>
      </w:r>
    </w:p>
    <w:p>
      <w:pPr>
        <w:pStyle w:val="BodyText"/>
        <w:spacing w:line="240" w:lineRule="auto" w:before="14"/>
        <w:ind w:left="1134" w:right="0"/>
        <w:jc w:val="left"/>
      </w:pPr>
      <w:r>
        <w:rPr/>
        <w:t>签了授信协议，授信使用期限为</w:t>
      </w:r>
      <w:r>
        <w:rPr>
          <w:spacing w:val="-46"/>
        </w:rPr>
        <w:t> </w:t>
      </w:r>
      <w:r>
        <w:rPr>
          <w:rFonts w:ascii="Times New Roman" w:hAnsi="Times New Roman" w:cs="Times New Roman" w:eastAsia="Times New Roman" w:hint="default"/>
        </w:rPr>
        <w:t>201</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 </w:t>
      </w:r>
      <w:r>
        <w:rPr/>
        <w:t>月</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日止。</w:t>
      </w:r>
    </w:p>
    <w:p>
      <w:pPr>
        <w:pStyle w:val="BodyText"/>
        <w:spacing w:line="240" w:lineRule="auto" w:before="102"/>
        <w:ind w:left="1134" w:right="0"/>
        <w:jc w:val="left"/>
        <w:rPr>
          <w:rFonts w:ascii="Times New Roman" w:hAnsi="Times New Roman" w:cs="Times New Roman" w:eastAsia="Times New Roman" w:hint="default"/>
        </w:rPr>
      </w:pPr>
      <w:r>
        <w:rPr/>
        <w:t>截至</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日，江苏超纤的借款总金额为</w:t>
      </w:r>
      <w:r>
        <w:rPr>
          <w:spacing w:val="-47"/>
        </w:rPr>
        <w:t> </w:t>
      </w:r>
      <w:r>
        <w:rPr>
          <w:rFonts w:ascii="Times New Roman" w:hAnsi="Times New Roman" w:cs="Times New Roman" w:eastAsia="Times New Roman" w:hint="default"/>
        </w:rPr>
        <w:t>280,000,000.00</w:t>
      </w:r>
      <w:r>
        <w:rPr>
          <w:rFonts w:ascii="Times New Roman" w:hAnsi="Times New Roman" w:cs="Times New Roman" w:eastAsia="Times New Roman" w:hint="default"/>
          <w:spacing w:val="-1"/>
        </w:rPr>
        <w:t> </w:t>
      </w:r>
      <w:r>
        <w:rPr/>
        <w:t>元，其中：</w:t>
      </w:r>
      <w:r>
        <w:rPr>
          <w:rFonts w:ascii="Times New Roman" w:hAnsi="Times New Roman" w:cs="Times New Roman" w:eastAsia="Times New Roman" w:hint="default"/>
        </w:rPr>
        <w:t>35,000,000.00</w:t>
      </w:r>
      <w:r>
        <w:rPr>
          <w:rFonts w:ascii="Times New Roman" w:hAnsi="Times New Roman" w:cs="Times New Roman" w:eastAsia="Times New Roman" w:hint="default"/>
          <w:spacing w:val="-1"/>
        </w:rPr>
        <w:t> </w:t>
      </w:r>
      <w:r>
        <w:rPr/>
        <w:t>元的借款期限为</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9</w:t>
      </w:r>
    </w:p>
    <w:p>
      <w:pPr>
        <w:pStyle w:val="BodyText"/>
        <w:spacing w:line="240" w:lineRule="auto" w:before="63"/>
        <w:ind w:left="1134" w:right="0"/>
        <w:jc w:val="left"/>
      </w:pPr>
      <w:r>
        <w:rPr/>
        <w:t>日至</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5,250,000.00</w:t>
      </w:r>
      <w:r>
        <w:rPr>
          <w:rFonts w:ascii="Times New Roman" w:hAnsi="Times New Roman" w:cs="Times New Roman" w:eastAsia="Times New Roman" w:hint="default"/>
          <w:spacing w:val="-1"/>
        </w:rPr>
        <w:t> </w:t>
      </w:r>
      <w:r>
        <w:rPr/>
        <w:t>元的借款期限为</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40,000,000.00</w:t>
      </w:r>
      <w:r>
        <w:rPr>
          <w:rFonts w:ascii="Times New Roman" w:hAnsi="Times New Roman" w:cs="Times New Roman" w:eastAsia="Times New Roman" w:hint="default"/>
          <w:spacing w:val="-2"/>
        </w:rPr>
        <w:t> </w:t>
      </w:r>
      <w:r>
        <w:rPr/>
        <w:t>元的借款期限为</w:t>
      </w:r>
    </w:p>
    <w:p>
      <w:pPr>
        <w:pStyle w:val="BodyText"/>
        <w:spacing w:line="240" w:lineRule="auto" w:before="63"/>
        <w:ind w:left="1134" w:right="0"/>
        <w:jc w:val="left"/>
        <w:rPr>
          <w:rFonts w:ascii="Times New Roman" w:hAnsi="Times New Roman" w:cs="Times New Roman" w:eastAsia="Times New Roman" w:hint="default"/>
        </w:rPr>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日至</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30,000,000.00</w:t>
      </w:r>
      <w:r>
        <w:rPr>
          <w:rFonts w:ascii="Times New Roman" w:hAnsi="Times New Roman" w:cs="Times New Roman" w:eastAsia="Times New Roman" w:hint="default"/>
          <w:spacing w:val="-1"/>
        </w:rPr>
        <w:t> </w:t>
      </w:r>
      <w:r>
        <w:rPr/>
        <w:t>元的借款期限为</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日至</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20,000,000.00</w:t>
      </w:r>
    </w:p>
    <w:p>
      <w:pPr>
        <w:pStyle w:val="BodyText"/>
        <w:spacing w:line="240" w:lineRule="auto" w:before="63"/>
        <w:ind w:left="1134" w:right="0"/>
        <w:jc w:val="left"/>
      </w:pPr>
      <w:r>
        <w:rPr/>
        <w:t>元的借款期限为</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15,000,000.00 </w:t>
      </w:r>
      <w:r>
        <w:rPr/>
        <w:t>元的借款期限为</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p>
    <w:p>
      <w:pPr>
        <w:pStyle w:val="BodyText"/>
        <w:spacing w:line="240" w:lineRule="auto" w:before="63"/>
        <w:ind w:left="1134" w:right="0"/>
        <w:jc w:val="left"/>
      </w:pP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44,750,000.00</w:t>
      </w:r>
      <w:r>
        <w:rPr>
          <w:rFonts w:ascii="Times New Roman" w:hAnsi="Times New Roman" w:cs="Times New Roman" w:eastAsia="Times New Roman" w:hint="default"/>
          <w:spacing w:val="-1"/>
        </w:rPr>
        <w:t> </w:t>
      </w:r>
      <w:r>
        <w:rPr/>
        <w:t>元的借款期限为</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日至</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30,000,000.00</w:t>
      </w:r>
      <w:r>
        <w:rPr>
          <w:rFonts w:ascii="Times New Roman" w:hAnsi="Times New Roman" w:cs="Times New Roman" w:eastAsia="Times New Roman" w:hint="default"/>
          <w:spacing w:val="-1"/>
        </w:rPr>
        <w:t> </w:t>
      </w:r>
      <w:r>
        <w:rPr/>
        <w:t>元的借款期限为</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p>
    <w:p>
      <w:pPr>
        <w:pStyle w:val="BodyText"/>
        <w:spacing w:line="240" w:lineRule="auto" w:before="63"/>
        <w:ind w:left="1134" w:right="0"/>
        <w:jc w:val="left"/>
      </w:pP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日至</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30,000,000.00</w:t>
      </w:r>
      <w:r>
        <w:rPr>
          <w:rFonts w:ascii="Times New Roman" w:hAnsi="Times New Roman" w:cs="Times New Roman" w:eastAsia="Times New Roman" w:hint="default"/>
          <w:spacing w:val="-1"/>
        </w:rPr>
        <w:t> </w:t>
      </w:r>
      <w:r>
        <w:rPr/>
        <w:t>元的借款期限为</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日至</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30,000,000.00 </w:t>
      </w:r>
      <w:r>
        <w:rPr/>
        <w:t>元的借</w:t>
      </w:r>
    </w:p>
    <w:p>
      <w:pPr>
        <w:pStyle w:val="BodyText"/>
        <w:spacing w:line="240" w:lineRule="auto" w:before="64"/>
        <w:ind w:left="1134" w:right="0"/>
        <w:jc w:val="left"/>
      </w:pPr>
      <w:r>
        <w:rPr/>
        <w:t>款期限为</w:t>
      </w:r>
      <w:r>
        <w:rPr>
          <w:spacing w:val="-46"/>
        </w:rPr>
        <w:t> </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日至</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4 </w:t>
      </w:r>
      <w:r>
        <w:rPr/>
        <w:t>日；</w:t>
      </w:r>
    </w:p>
    <w:p>
      <w:pPr>
        <w:pStyle w:val="BodyText"/>
        <w:spacing w:line="240" w:lineRule="auto" w:before="101"/>
        <w:ind w:left="1134" w:right="0"/>
        <w:jc w:val="left"/>
      </w:pPr>
      <w:r>
        <w:rPr/>
        <w:t>截至</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日，本公司已开出未到期承兑的银行承兑汇票总金额为</w:t>
      </w:r>
      <w:r>
        <w:rPr>
          <w:spacing w:val="-47"/>
        </w:rPr>
        <w:t> </w:t>
      </w:r>
      <w:r>
        <w:rPr>
          <w:rFonts w:ascii="Times New Roman" w:hAnsi="Times New Roman" w:cs="Times New Roman" w:eastAsia="Times New Roman" w:hint="default"/>
        </w:rPr>
        <w:t>39,900,157.28</w:t>
      </w:r>
      <w:r>
        <w:rPr>
          <w:rFonts w:ascii="Times New Roman" w:hAnsi="Times New Roman" w:cs="Times New Roman" w:eastAsia="Times New Roman" w:hint="default"/>
          <w:spacing w:val="-1"/>
        </w:rPr>
        <w:t> </w:t>
      </w:r>
      <w:r>
        <w:rPr/>
        <w:t>元，其中</w:t>
      </w:r>
      <w:r>
        <w:rPr>
          <w:spacing w:val="-47"/>
        </w:rPr>
        <w:t> </w:t>
      </w:r>
      <w:r>
        <w:rPr>
          <w:rFonts w:ascii="Times New Roman" w:hAnsi="Times New Roman" w:cs="Times New Roman" w:eastAsia="Times New Roman" w:hint="default"/>
        </w:rPr>
        <w:t>3,808,000.00</w:t>
      </w:r>
      <w:r>
        <w:rPr>
          <w:rFonts w:ascii="Times New Roman" w:hAnsi="Times New Roman" w:cs="Times New Roman" w:eastAsia="Times New Roman" w:hint="default"/>
          <w:spacing w:val="-1"/>
        </w:rPr>
        <w:t> </w:t>
      </w:r>
      <w:r>
        <w:rPr/>
        <w:t>元的银行</w:t>
      </w:r>
    </w:p>
    <w:p>
      <w:pPr>
        <w:pStyle w:val="BodyText"/>
        <w:spacing w:line="240" w:lineRule="auto" w:before="63"/>
        <w:ind w:left="1134" w:right="0"/>
        <w:jc w:val="left"/>
        <w:rPr>
          <w:rFonts w:ascii="Times New Roman" w:hAnsi="Times New Roman" w:cs="Times New Roman" w:eastAsia="Times New Roman" w:hint="default"/>
        </w:rPr>
      </w:pPr>
      <w:r>
        <w:rPr/>
        <w:t>承兑汇票期限为</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日至</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5 </w:t>
      </w:r>
      <w:r>
        <w:rPr/>
        <w:t>月</w:t>
      </w:r>
      <w:r>
        <w:rPr>
          <w:spacing w:val="-47"/>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2,052,520.00</w:t>
      </w:r>
      <w:r>
        <w:rPr>
          <w:rFonts w:ascii="Times New Roman" w:hAnsi="Times New Roman" w:cs="Times New Roman" w:eastAsia="Times New Roman" w:hint="default"/>
          <w:spacing w:val="-3"/>
        </w:rPr>
        <w:t> </w:t>
      </w:r>
      <w:r>
        <w:rPr/>
        <w:t>元的银行承兑汇票期限为</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日至</w:t>
      </w:r>
      <w:r>
        <w:rPr>
          <w:spacing w:val="-47"/>
        </w:rPr>
        <w:t> </w:t>
      </w:r>
      <w:r>
        <w:rPr>
          <w:rFonts w:ascii="Times New Roman" w:hAnsi="Times New Roman" w:cs="Times New Roman" w:eastAsia="Times New Roman" w:hint="default"/>
        </w:rPr>
        <w:t>2018</w:t>
      </w:r>
    </w:p>
    <w:p>
      <w:pPr>
        <w:pStyle w:val="BodyText"/>
        <w:spacing w:line="240" w:lineRule="auto" w:before="63"/>
        <w:ind w:left="1134" w:right="0"/>
        <w:jc w:val="left"/>
      </w:pP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spacing w:val="-3"/>
        </w:rPr>
        <w:t>日；</w:t>
      </w:r>
      <w:r>
        <w:rPr>
          <w:rFonts w:ascii="Times New Roman" w:hAnsi="Times New Roman" w:cs="Times New Roman" w:eastAsia="Times New Roman" w:hint="default"/>
          <w:spacing w:val="-3"/>
        </w:rPr>
        <w:t>2,647,635.75</w:t>
      </w:r>
      <w:r>
        <w:rPr>
          <w:rFonts w:ascii="Times New Roman" w:hAnsi="Times New Roman" w:cs="Times New Roman" w:eastAsia="Times New Roman" w:hint="default"/>
        </w:rPr>
        <w:t> </w:t>
      </w:r>
      <w:r>
        <w:rPr/>
        <w:t>元的银行承兑汇票期限为</w:t>
      </w:r>
      <w:r>
        <w:rPr>
          <w:spacing w:val="-46"/>
        </w:rPr>
        <w:t> </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spacing w:val="-3"/>
        </w:rPr>
        <w:t>日；</w:t>
      </w:r>
      <w:r>
        <w:rPr>
          <w:rFonts w:ascii="Times New Roman" w:hAnsi="Times New Roman" w:cs="Times New Roman" w:eastAsia="Times New Roman" w:hint="default"/>
          <w:spacing w:val="-3"/>
        </w:rPr>
        <w:t>6,700,000.00</w:t>
      </w:r>
      <w:r>
        <w:rPr>
          <w:rFonts w:ascii="Times New Roman" w:hAnsi="Times New Roman" w:cs="Times New Roman" w:eastAsia="Times New Roman" w:hint="default"/>
        </w:rPr>
        <w:t> </w:t>
      </w:r>
      <w:r>
        <w:rPr/>
        <w:t>元的银行承兑汇</w:t>
      </w:r>
    </w:p>
    <w:p>
      <w:pPr>
        <w:pStyle w:val="BodyText"/>
        <w:spacing w:line="240" w:lineRule="auto" w:before="63"/>
        <w:ind w:right="0"/>
        <w:jc w:val="left"/>
        <w:rPr>
          <w:rFonts w:ascii="Times New Roman" w:hAnsi="Times New Roman" w:cs="Times New Roman" w:eastAsia="Times New Roman" w:hint="default"/>
        </w:rPr>
      </w:pPr>
      <w:r>
        <w:rPr/>
        <w:t>票期限为</w:t>
      </w:r>
      <w:r>
        <w:rPr>
          <w:spacing w:val="-46"/>
        </w:rPr>
        <w:t> </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5,820,000.00 </w:t>
      </w:r>
      <w:r>
        <w:rPr/>
        <w:t>元的银行承兑汇票期限为</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w:t>
      </w:r>
    </w:p>
    <w:p>
      <w:pPr>
        <w:pStyle w:val="BodyText"/>
        <w:spacing w:line="240" w:lineRule="auto" w:before="63"/>
        <w:ind w:right="0"/>
        <w:jc w:val="left"/>
      </w:pP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spacing w:val="-3"/>
        </w:rPr>
        <w:t>日；</w:t>
      </w:r>
      <w:r>
        <w:rPr>
          <w:rFonts w:ascii="Times New Roman" w:hAnsi="Times New Roman" w:cs="Times New Roman" w:eastAsia="Times New Roman" w:hint="default"/>
          <w:spacing w:val="-3"/>
        </w:rPr>
        <w:t>5,200,000.00</w:t>
      </w:r>
      <w:r>
        <w:rPr>
          <w:rFonts w:ascii="Times New Roman" w:hAnsi="Times New Roman" w:cs="Times New Roman" w:eastAsia="Times New Roman" w:hint="default"/>
        </w:rPr>
        <w:t> </w:t>
      </w:r>
      <w:r>
        <w:rPr/>
        <w:t>元的银行承兑汇票期限为</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spacing w:val="-3"/>
        </w:rPr>
        <w:t>日；</w:t>
      </w:r>
      <w:r>
        <w:rPr>
          <w:rFonts w:ascii="Times New Roman" w:hAnsi="Times New Roman" w:cs="Times New Roman" w:eastAsia="Times New Roman" w:hint="default"/>
          <w:spacing w:val="-3"/>
        </w:rPr>
        <w:t>5,772,001.53</w:t>
      </w:r>
      <w:r>
        <w:rPr>
          <w:rFonts w:ascii="Times New Roman" w:hAnsi="Times New Roman" w:cs="Times New Roman" w:eastAsia="Times New Roman" w:hint="default"/>
        </w:rPr>
        <w:t> </w:t>
      </w:r>
      <w:r>
        <w:rPr/>
        <w:t>元的银行承兑汇票期</w:t>
      </w:r>
    </w:p>
    <w:p>
      <w:pPr>
        <w:pStyle w:val="BodyText"/>
        <w:spacing w:line="240" w:lineRule="auto" w:before="63"/>
        <w:ind w:left="1134" w:right="0"/>
        <w:jc w:val="left"/>
        <w:rPr>
          <w:rFonts w:ascii="Times New Roman" w:hAnsi="Times New Roman" w:cs="Times New Roman" w:eastAsia="Times New Roman" w:hint="default"/>
        </w:rPr>
      </w:pPr>
      <w:r>
        <w:rPr/>
        <w:t>限为</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2 </w:t>
      </w:r>
      <w:r>
        <w:rPr/>
        <w:t>月</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7,900,000.00 </w:t>
      </w:r>
      <w:r>
        <w:rPr/>
        <w:t>元的银行承兑汇票期限为</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19</w:t>
      </w:r>
    </w:p>
    <w:p>
      <w:pPr>
        <w:spacing w:after="0" w:line="240" w:lineRule="auto"/>
        <w:jc w:val="left"/>
        <w:rPr>
          <w:rFonts w:ascii="Times New Roman" w:hAnsi="Times New Roman" w:cs="Times New Roman" w:eastAsia="Times New Roman" w:hint="default"/>
        </w:rPr>
        <w:sectPr>
          <w:pgSz w:w="11910" w:h="16840"/>
          <w:pgMar w:header="747" w:footer="979" w:top="1060" w:bottom="1160" w:left="0" w:right="0"/>
        </w:sectPr>
      </w:pPr>
    </w:p>
    <w:p>
      <w:pPr>
        <w:spacing w:line="240" w:lineRule="auto" w:before="7"/>
        <w:rPr>
          <w:rFonts w:ascii="Times New Roman" w:hAnsi="Times New Roman" w:cs="Times New Roman" w:eastAsia="Times New Roman" w:hint="default"/>
          <w:sz w:val="29"/>
          <w:szCs w:val="29"/>
        </w:rPr>
      </w:pPr>
    </w:p>
    <w:p>
      <w:pPr>
        <w:pStyle w:val="BodyText"/>
        <w:spacing w:line="240" w:lineRule="auto" w:before="44"/>
        <w:ind w:right="0"/>
        <w:jc w:val="left"/>
      </w:pPr>
      <w:r>
        <w:rPr/>
        <w:t>日；</w:t>
      </w:r>
    </w:p>
    <w:p>
      <w:pPr>
        <w:pStyle w:val="BodyText"/>
        <w:spacing w:line="240" w:lineRule="auto" w:before="116"/>
        <w:ind w:left="1134" w:right="0"/>
        <w:jc w:val="left"/>
      </w:pPr>
      <w:r>
        <w:rPr/>
        <w:t>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日，本公司在中国银行启东支行下已开立未到期的信用证金额为</w:t>
      </w:r>
      <w:r>
        <w:rPr>
          <w:spacing w:val="-46"/>
        </w:rPr>
        <w:t> </w:t>
      </w:r>
      <w:r>
        <w:rPr>
          <w:rFonts w:ascii="Times New Roman" w:hAnsi="Times New Roman" w:cs="Times New Roman" w:eastAsia="Times New Roman" w:hint="default"/>
        </w:rPr>
        <w:t>6,346,803.00</w:t>
      </w:r>
      <w:r>
        <w:rPr>
          <w:rFonts w:ascii="Times New Roman" w:hAnsi="Times New Roman" w:cs="Times New Roman" w:eastAsia="Times New Roman" w:hint="default"/>
          <w:spacing w:val="-1"/>
        </w:rPr>
        <w:t> </w:t>
      </w:r>
      <w:r>
        <w:rPr/>
        <w:t>美元，</w:t>
      </w:r>
      <w:r>
        <w:rPr>
          <w:rFonts w:ascii="Times New Roman" w:hAnsi="Times New Roman" w:cs="Times New Roman" w:eastAsia="Times New Roman" w:hint="default"/>
        </w:rPr>
        <w:t>58,100.00</w:t>
      </w:r>
      <w:r>
        <w:rPr>
          <w:rFonts w:ascii="Times New Roman" w:hAnsi="Times New Roman" w:cs="Times New Roman" w:eastAsia="Times New Roman" w:hint="default"/>
          <w:spacing w:val="-1"/>
        </w:rPr>
        <w:t> </w:t>
      </w:r>
      <w:r>
        <w:rPr/>
        <w:t>欧元。</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二、资产负债表日后事项" w:id="324"/>
      <w:bookmarkEnd w:id="324"/>
      <w:r>
        <w:rPr>
          <w:b w:val="0"/>
          <w:bCs w:val="0"/>
        </w:rPr>
      </w:r>
      <w:r>
        <w:rPr/>
        <w:t>十二、资产负债表日后事项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利润分配情况" w:id="325"/>
      <w:bookmarkEnd w:id="325"/>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31,550,991.95</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三、母公司财务报表主要项目注释" w:id="326"/>
      <w:bookmarkEnd w:id="326"/>
      <w:r>
        <w:rPr>
          <w:b w:val="0"/>
          <w:bCs w:val="0"/>
        </w:rPr>
      </w:r>
      <w:r>
        <w:rPr/>
        <w:t>十三、母公司财务报表主要项目注释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 w:id="327"/>
      <w:bookmarkEnd w:id="327"/>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328"/>
      <w:bookmarkEnd w:id="32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159,305,</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063.50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9,400,51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149,904,5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48.31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162,728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,299.89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67.72%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8,739,322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153,988,97</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7.01</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98,907,3</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72.77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38.30%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98,907,37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2.77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77,573,</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475.43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32.28%</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77,573,475.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43</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258,212,</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436.27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9,400,51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5.19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3.64%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248,811,9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21.08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240,301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,775.32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8,739,322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3.64%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231,562,45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2.44</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78"/>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70"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78"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4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31" w:right="0"/>
              <w:jc w:val="left"/>
              <w:rPr>
                <w:rFonts w:ascii="Times New Roman" w:hAnsi="Times New Roman" w:cs="Times New Roman" w:eastAsia="Times New Roman" w:hint="default"/>
                <w:sz w:val="18"/>
                <w:szCs w:val="18"/>
              </w:rPr>
            </w:pPr>
            <w:r>
              <w:rPr>
                <w:rFonts w:ascii="Times New Roman"/>
                <w:sz w:val="18"/>
              </w:rPr>
              <w:t>155,718,851.19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2" w:right="0"/>
              <w:jc w:val="left"/>
              <w:rPr>
                <w:rFonts w:ascii="Times New Roman" w:hAnsi="Times New Roman" w:cs="Times New Roman" w:eastAsia="Times New Roman" w:hint="default"/>
                <w:sz w:val="18"/>
                <w:szCs w:val="18"/>
              </w:rPr>
            </w:pPr>
            <w:r>
              <w:rPr>
                <w:rFonts w:ascii="Times New Roman"/>
                <w:sz w:val="18"/>
              </w:rPr>
              <w:t>7,785,942.56</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1,347,535.68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269,507.14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1,276,587.35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382,976.21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962,089.28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962,089.28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159,305,063.50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9,400,515.19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w:t>
            </w:r>
          </w:p>
        </w:tc>
      </w:tr>
    </w:tbl>
    <w:p>
      <w:pPr>
        <w:pStyle w:val="BodyText"/>
        <w:spacing w:line="360" w:lineRule="auto" w:before="51"/>
        <w:ind w:left="1134" w:right="6432"/>
        <w:jc w:val="left"/>
      </w:pPr>
      <w:r>
        <w:rPr/>
        <w:t>确定该组合依据的说明： 组合中，采用余额百分比法计提坏账准备的应收账款：</w:t>
      </w:r>
    </w:p>
    <w:p>
      <w:pPr>
        <w:pStyle w:val="BodyText"/>
        <w:spacing w:line="340"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本期计提、收回或转回的坏账准备情况" w:id="329"/>
      <w:bookmarkEnd w:id="32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before="44"/>
        <w:ind w:right="-15"/>
        <w:jc w:val="left"/>
      </w:pPr>
      <w:r>
        <w:rPr/>
        <w:t>本期计提坏账准备金额</w:t>
      </w:r>
      <w:r>
        <w:rPr>
          <w:spacing w:val="-46"/>
        </w:rPr>
        <w:t> </w:t>
      </w:r>
      <w:r>
        <w:rPr>
          <w:rFonts w:ascii="Times New Roman" w:hAnsi="Times New Roman" w:cs="Times New Roman" w:eastAsia="Times New Roman" w:hint="default"/>
        </w:rPr>
        <w:t>781,186.93</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300" w:space="1530"/>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本期实际核销的应收账款情况" w:id="330"/>
      <w:bookmarkEnd w:id="330"/>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119,994.62</w:t>
            </w:r>
          </w:p>
        </w:tc>
      </w:tr>
    </w:tbl>
    <w:p>
      <w:pPr>
        <w:pStyle w:val="BodyText"/>
        <w:spacing w:line="240" w:lineRule="auto" w:before="51"/>
        <w:ind w:left="1134"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0"/>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4）按欠款方归集的期末余额前五名的应收账款情况" w:id="331"/>
      <w:bookmarkEnd w:id="331"/>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9"/>
          <w:szCs w:val="29"/>
        </w:rPr>
      </w:pPr>
    </w:p>
    <w:tbl>
      <w:tblPr>
        <w:tblW w:w="0" w:type="auto"/>
        <w:jc w:val="left"/>
        <w:tblInd w:w="1126" w:type="dxa"/>
        <w:tblLayout w:type="fixed"/>
        <w:tblCellMar>
          <w:top w:w="0" w:type="dxa"/>
          <w:left w:w="0" w:type="dxa"/>
          <w:bottom w:w="0" w:type="dxa"/>
          <w:right w:w="0" w:type="dxa"/>
        </w:tblCellMar>
        <w:tblLook w:val="01E0"/>
      </w:tblPr>
      <w:tblGrid>
        <w:gridCol w:w="2866"/>
        <w:gridCol w:w="1779"/>
        <w:gridCol w:w="2047"/>
        <w:gridCol w:w="1832"/>
      </w:tblGrid>
      <w:tr>
        <w:trPr>
          <w:trHeight w:val="355" w:hRule="exact"/>
        </w:trPr>
        <w:tc>
          <w:tcPr>
            <w:tcW w:w="2866" w:type="dxa"/>
            <w:vMerge w:val="restart"/>
            <w:tcBorders>
              <w:top w:val="single" w:sz="6" w:space="0" w:color="000000"/>
              <w:left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658"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4" w:hRule="exact"/>
        </w:trPr>
        <w:tc>
          <w:tcPr>
            <w:tcW w:w="2866" w:type="dxa"/>
            <w:vMerge/>
            <w:tcBorders>
              <w:left w:val="single" w:sz="6" w:space="0" w:color="000000"/>
              <w:bottom w:val="single" w:sz="12" w:space="0" w:color="000000"/>
              <w:right w:val="single" w:sz="6" w:space="0" w:color="000000"/>
            </w:tcBorders>
          </w:tcPr>
          <w:p>
            <w:pPr/>
          </w:p>
        </w:tc>
        <w:tc>
          <w:tcPr>
            <w:tcW w:w="1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2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4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610" w:right="295" w:hanging="31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 的比例</w:t>
            </w:r>
            <w:r>
              <w:rPr>
                <w:rFonts w:ascii="Times New Roman" w:hAnsi="Times New Roman" w:cs="Times New Roman" w:eastAsia="Times New Roman" w:hint="default"/>
                <w:sz w:val="18"/>
                <w:szCs w:val="18"/>
              </w:rPr>
              <w:t>(%)</w:t>
            </w:r>
          </w:p>
        </w:tc>
        <w:tc>
          <w:tcPr>
            <w:tcW w:w="18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54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2" w:hRule="exact"/>
        </w:trPr>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江苏超纤</w:t>
            </w:r>
          </w:p>
        </w:tc>
        <w:tc>
          <w:tcPr>
            <w:tcW w:w="1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98,907,372.77</w:t>
            </w:r>
          </w:p>
        </w:tc>
        <w:tc>
          <w:tcPr>
            <w:tcW w:w="20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38.30%</w:t>
            </w:r>
          </w:p>
        </w:tc>
        <w:tc>
          <w:tcPr>
            <w:tcW w:w="1832"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28,265,811.83</w:t>
            </w:r>
          </w:p>
        </w:tc>
        <w:tc>
          <w:tcPr>
            <w:tcW w:w="20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10.95%</w:t>
            </w:r>
          </w:p>
        </w:tc>
        <w:tc>
          <w:tcPr>
            <w:tcW w:w="18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1,413,290.59</w:t>
            </w:r>
          </w:p>
        </w:tc>
      </w:tr>
      <w:tr>
        <w:trPr>
          <w:trHeight w:val="352" w:hRule="exact"/>
        </w:trPr>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12,363,555.89</w:t>
            </w:r>
          </w:p>
        </w:tc>
        <w:tc>
          <w:tcPr>
            <w:tcW w:w="20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4.79%</w:t>
            </w:r>
          </w:p>
        </w:tc>
        <w:tc>
          <w:tcPr>
            <w:tcW w:w="18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618,177.79</w:t>
            </w:r>
          </w:p>
        </w:tc>
      </w:tr>
      <w:tr>
        <w:trPr>
          <w:trHeight w:val="352" w:hRule="exact"/>
        </w:trPr>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10,220,043.24</w:t>
            </w:r>
          </w:p>
        </w:tc>
        <w:tc>
          <w:tcPr>
            <w:tcW w:w="20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3.96%</w:t>
            </w:r>
          </w:p>
        </w:tc>
        <w:tc>
          <w:tcPr>
            <w:tcW w:w="18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511,002.16</w:t>
            </w:r>
          </w:p>
        </w:tc>
      </w:tr>
      <w:tr>
        <w:trPr>
          <w:trHeight w:val="353" w:hRule="exact"/>
        </w:trPr>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8,735,112.89</w:t>
            </w:r>
          </w:p>
        </w:tc>
        <w:tc>
          <w:tcPr>
            <w:tcW w:w="20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3.38%</w:t>
            </w:r>
          </w:p>
        </w:tc>
        <w:tc>
          <w:tcPr>
            <w:tcW w:w="18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436,755.64</w:t>
            </w:r>
          </w:p>
        </w:tc>
      </w:tr>
      <w:tr>
        <w:trPr>
          <w:trHeight w:val="352" w:hRule="exact"/>
        </w:trPr>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158,491,896.62</w:t>
            </w:r>
          </w:p>
        </w:tc>
        <w:tc>
          <w:tcPr>
            <w:tcW w:w="20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1.88%</w:t>
            </w:r>
          </w:p>
        </w:tc>
        <w:tc>
          <w:tcPr>
            <w:tcW w:w="18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2,979,226.19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2、其他应收款" w:id="332"/>
      <w:bookmarkEnd w:id="332"/>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333"/>
      <w:bookmarkEnd w:id="333"/>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6,113,50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477,469.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5,636,040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4,183,4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48.64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401,272.8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3,782,175.8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265,354,</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814.43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97.75%</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265,354,8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14.43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52,049,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633.56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92.56%</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52,049,633.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56</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271,468,</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323.69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477,469.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0.18%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270,990,8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54.50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56,233,</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082.20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401,272.8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0.71%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55,831,809.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39</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1"/>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5,491,262.29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274,563.11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477,634.24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95,526.85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53,190.72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15,957.22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91,422.01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91,422.01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6,113,509.26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477,469.19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7.81%</w:t>
            </w:r>
          </w:p>
        </w:tc>
      </w:tr>
    </w:tbl>
    <w:p>
      <w:pPr>
        <w:pStyle w:val="BodyText"/>
        <w:spacing w:line="360" w:lineRule="auto" w:before="51"/>
        <w:ind w:left="1134" w:right="6252"/>
        <w:jc w:val="left"/>
      </w:pPr>
      <w:r>
        <w:rPr/>
        <w:t>确定该组合依据的说明： 组合中，采用余额百分比法计提坏账准备的其他应收款：</w:t>
      </w:r>
    </w:p>
    <w:p>
      <w:pPr>
        <w:pStyle w:val="BodyText"/>
        <w:spacing w:line="338"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334"/>
      <w:bookmarkEnd w:id="33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本期计提坏账准备金额</w:t>
      </w:r>
      <w:r>
        <w:rPr>
          <w:spacing w:val="-46"/>
        </w:rPr>
        <w:t> </w:t>
      </w:r>
      <w:r>
        <w:rPr>
          <w:rFonts w:ascii="Times New Roman" w:hAnsi="Times New Roman" w:cs="Times New Roman" w:eastAsia="Times New Roman" w:hint="default"/>
        </w:rPr>
        <w:t>76,196.38</w:t>
      </w:r>
      <w:r>
        <w:rPr>
          <w:rFonts w:ascii="Times New Roman" w:hAnsi="Times New Roman" w:cs="Times New Roman" w:eastAsia="Times New Roman" w:hint="default"/>
          <w:spacing w:val="-1"/>
        </w:rPr>
        <w:t> </w:t>
      </w:r>
      <w:r>
        <w:rPr/>
        <w:t>元；本期收回或转回坏账准备金额元。</w:t>
      </w:r>
    </w:p>
    <w:p>
      <w:pPr>
        <w:spacing w:after="0" w:line="240" w:lineRule="auto"/>
        <w:jc w:val="left"/>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其中本期坏账准备转回或收回金额重要的：</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其他应收款按款项性质分类情况" w:id="335"/>
      <w:bookmarkEnd w:id="335"/>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预付进口关税及增值税</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3,166,840.19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1,890,420.88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1,190,649.08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1,230,256.66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265,354,814.43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52,049,633.56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454,379.07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251,000.00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1,301,640.92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811,771.10</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271,468,323.69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56,233,082.20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按欠款方归集的期末余额前五名的其他应收款情况" w:id="336"/>
      <w:bookmarkEnd w:id="336"/>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江苏超纤</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265,354,814.43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97.75%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预付进口关税及增 值税</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3,158,900.24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157,945.01</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418,257.85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20,912.89</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409,379.07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20,468.95</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401,192.47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20,059.62</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269,742,544.06</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99.36%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219,386.47</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长期股权投资" w:id="337"/>
      <w:bookmarkEnd w:id="337"/>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3,550,000,000.00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3,550,000,000.00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1,500,000,000.00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1,500,000,000.00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3,550,000,000.00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3,550,000,000.00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1,500,000,000.00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1,500,000,000.00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对子公司投资" w:id="338"/>
      <w:bookmarkEnd w:id="338"/>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江苏超纤</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 w:right="0"/>
              <w:jc w:val="center"/>
              <w:rPr>
                <w:rFonts w:ascii="Times New Roman" w:hAnsi="Times New Roman" w:cs="Times New Roman" w:eastAsia="Times New Roman" w:hint="default"/>
                <w:sz w:val="18"/>
                <w:szCs w:val="18"/>
              </w:rPr>
            </w:pPr>
            <w:r>
              <w:rPr>
                <w:rFonts w:ascii="Times New Roman"/>
                <w:sz w:val="18"/>
              </w:rPr>
              <w:t>1,500,000,000.00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 w:right="0"/>
              <w:jc w:val="center"/>
              <w:rPr>
                <w:rFonts w:ascii="Times New Roman" w:hAnsi="Times New Roman" w:cs="Times New Roman" w:eastAsia="Times New Roman" w:hint="default"/>
                <w:sz w:val="18"/>
                <w:szCs w:val="18"/>
              </w:rPr>
            </w:pPr>
            <w:r>
              <w:rPr>
                <w:rFonts w:ascii="Times New Roman"/>
                <w:sz w:val="18"/>
              </w:rPr>
              <w:t>1,500,000,000.00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威富通</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 w:right="0"/>
              <w:jc w:val="center"/>
              <w:rPr>
                <w:rFonts w:ascii="Times New Roman" w:hAnsi="Times New Roman" w:cs="Times New Roman" w:eastAsia="Times New Roman" w:hint="default"/>
                <w:sz w:val="18"/>
                <w:szCs w:val="18"/>
              </w:rPr>
            </w:pPr>
            <w:r>
              <w:rPr>
                <w:rFonts w:ascii="Times New Roman"/>
                <w:sz w:val="18"/>
              </w:rPr>
              <w:t>2,050,000,000.00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 w:right="0"/>
              <w:jc w:val="center"/>
              <w:rPr>
                <w:rFonts w:ascii="Times New Roman" w:hAnsi="Times New Roman" w:cs="Times New Roman" w:eastAsia="Times New Roman" w:hint="default"/>
                <w:sz w:val="18"/>
                <w:szCs w:val="18"/>
              </w:rPr>
            </w:pPr>
            <w:r>
              <w:rPr>
                <w:rFonts w:ascii="Times New Roman"/>
                <w:sz w:val="18"/>
              </w:rPr>
              <w:t>2,050,000,000.00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1,500,000,000.00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 w:right="0"/>
              <w:jc w:val="center"/>
              <w:rPr>
                <w:rFonts w:ascii="Times New Roman" w:hAnsi="Times New Roman" w:cs="Times New Roman" w:eastAsia="Times New Roman" w:hint="default"/>
                <w:sz w:val="18"/>
                <w:szCs w:val="18"/>
              </w:rPr>
            </w:pPr>
            <w:r>
              <w:rPr>
                <w:rFonts w:ascii="Times New Roman"/>
                <w:sz w:val="18"/>
              </w:rPr>
              <w:t>2,050,000,000.00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 w:right="0"/>
              <w:jc w:val="center"/>
              <w:rPr>
                <w:rFonts w:ascii="Times New Roman" w:hAnsi="Times New Roman" w:cs="Times New Roman" w:eastAsia="Times New Roman" w:hint="default"/>
                <w:sz w:val="18"/>
                <w:szCs w:val="18"/>
              </w:rPr>
            </w:pPr>
            <w:r>
              <w:rPr>
                <w:rFonts w:ascii="Times New Roman"/>
                <w:sz w:val="18"/>
              </w:rPr>
              <w:t>3,550,000,000.00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营业收入和营业成本" w:id="339"/>
      <w:bookmarkEnd w:id="339"/>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1,354,209,896.36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1,067,927,751.67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1,219,550,744.63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961,022,000.45</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112,360,129.80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97,857,120.43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82,718,694.48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67,496,894.23</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1,466,570,026.16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1,165,784,872.10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1,302,269,439.11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1,028,518,894.68</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投资收益" w:id="340"/>
      <w:bookmarkEnd w:id="340"/>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289,353.42</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远期外汇合约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-5,038,810.35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130,347.55</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-5,038,810.35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419,700.97</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四、补充资料" w:id="341"/>
      <w:bookmarkEnd w:id="341"/>
      <w:r>
        <w:rPr>
          <w:b w:val="0"/>
          <w:bCs w:val="0"/>
        </w:rPr>
      </w:r>
      <w:r>
        <w:rPr/>
        <w:t>十四、补充资料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342"/>
      <w:bookmarkEnd w:id="342"/>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214,759.98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22,844,255.80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4,087,032.04</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1650"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-8,557,345.25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-388,356.05</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4,408,167.31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13,792,179.21</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343"/>
      <w:bookmarkEnd w:id="343"/>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0.43</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3、境内外会计准则下会计数据差异" w:id="344"/>
      <w:bookmarkEnd w:id="344"/>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同时按照国际会计准则与按中国会计准则披露的财务报告中净利润和净资产差异情况" w:id="345"/>
      <w:bookmarkEnd w:id="345"/>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346"/>
      <w:bookmarkEnd w:id="346"/>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02" w:right="3403"/>
        <w:jc w:val="center"/>
        <w:rPr>
          <w:b w:val="0"/>
          <w:bCs w:val="0"/>
        </w:rPr>
      </w:pPr>
      <w:bookmarkStart w:name="_TOC_250000" w:id="347"/>
      <w:bookmarkStart w:name="第十二节 备查文件目录" w:id="348"/>
      <w:r>
        <w:rPr>
          <w:b w:val="0"/>
          <w:bCs w:val="0"/>
        </w:rPr>
      </w:r>
      <w:r>
        <w:rPr/>
        <w:t>第十二节</w:t>
      </w:r>
      <w:r>
        <w:rPr>
          <w:spacing w:val="-8"/>
        </w:rPr>
        <w:t> </w:t>
      </w:r>
      <w:r>
        <w:rPr/>
        <w:t>备查文件目录</w:t>
      </w:r>
      <w:bookmarkEnd w:id="347"/>
      <w:r>
        <w:rPr>
          <w:b w:val="0"/>
          <w:bCs w:val="0"/>
        </w:rPr>
      </w:r>
    </w:p>
    <w:p>
      <w:pPr>
        <w:spacing w:line="240" w:lineRule="auto" w:before="7"/>
        <w:rPr>
          <w:rFonts w:ascii="宋体" w:hAnsi="宋体" w:cs="宋体" w:eastAsia="宋体" w:hint="default"/>
          <w:b/>
          <w:bCs/>
          <w:sz w:val="42"/>
          <w:szCs w:val="42"/>
        </w:rPr>
      </w:pPr>
    </w:p>
    <w:p>
      <w:pPr>
        <w:pStyle w:val="BodyText"/>
        <w:spacing w:line="316" w:lineRule="auto"/>
        <w:ind w:right="1753"/>
        <w:jc w:val="left"/>
      </w:pPr>
      <w:r>
        <w:rPr/>
        <w:t>一、载有公司法定代表人、主管会计工作负责人、公司会计机构负责人（会计主管人员）签名并盖章的财务报表。 二、载有会计师事务所盖章、注册会计师签名并盖章的审计报告原件。 三、报告期内在中国证监会指定网站上公开披露过的所有公司文件的正本及公告的原稿。 四、经公司法定代表人签名的</w:t>
      </w:r>
      <w:r>
        <w:rPr>
          <w:rFonts w:ascii="Times New Roman" w:hAnsi="Times New Roman" w:cs="Times New Roman" w:eastAsia="Times New Roman" w:hint="default"/>
        </w:rPr>
        <w:t>2017</w:t>
      </w:r>
      <w:r>
        <w:rPr/>
        <w:t>年年度报告文本原件。</w:t>
      </w:r>
    </w:p>
    <w:p>
      <w:pPr>
        <w:pStyle w:val="BodyText"/>
        <w:spacing w:line="316" w:lineRule="auto"/>
        <w:ind w:left="1134" w:right="4902"/>
        <w:jc w:val="left"/>
      </w:pPr>
      <w:r>
        <w:rPr/>
        <w:t>五、其他相关资料。 以上备查文件的备置地点：上海市金山区亭卫南路</w:t>
      </w:r>
      <w:r>
        <w:rPr>
          <w:rFonts w:ascii="Times New Roman" w:hAnsi="Times New Roman" w:cs="Times New Roman" w:eastAsia="Times New Roman" w:hint="default"/>
        </w:rPr>
        <w:t>888</w:t>
      </w:r>
      <w:r>
        <w:rPr/>
        <w:t>号公司证券事务部。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6"/>
          <w:szCs w:val="16"/>
        </w:rPr>
      </w:pPr>
    </w:p>
    <w:p>
      <w:pPr>
        <w:pStyle w:val="BodyText"/>
        <w:spacing w:line="240" w:lineRule="auto"/>
        <w:ind w:left="0" w:right="1130"/>
        <w:jc w:val="right"/>
      </w:pPr>
      <w:r>
        <w:rPr/>
        <w:t>上海华峰超纤材料股份有限公司</w:t>
      </w:r>
    </w:p>
    <w:p>
      <w:pPr>
        <w:pStyle w:val="BodyText"/>
        <w:spacing w:line="240" w:lineRule="auto" w:before="76"/>
        <w:ind w:left="0" w:right="1580"/>
        <w:jc w:val="righ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w:t>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59384" type="#_x0000_t75" stroked="false">
          <v:imagedata r:id="rId1" o:title=""/>
        </v:shape>
      </w:pict>
    </w:r>
    <w:r>
      <w:rPr/>
      <w:pict>
        <v:shape style="position:absolute;margin-left:533.179993pt;margin-top:795.517944pt;width:6.5pt;height:11pt;mso-position-horizontal-relative:page;mso-position-vertical-relative:page;z-index:-8593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59336" type="#_x0000_t75" stroked="false">
          <v:imagedata r:id="rId1" o:title=""/>
        </v:shape>
      </w:pict>
    </w:r>
    <w:r>
      <w:rPr/>
      <w:pict>
        <v:shape style="position:absolute;margin-left:527.679993pt;margin-top:781.957947pt;width:13pt;height:11pt;mso-position-horizontal-relative:page;mso-position-vertical-relative:page;z-index:-8593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59288" type="#_x0000_t75" stroked="false">
          <v:imagedata r:id="rId1" o:title=""/>
        </v:shape>
      </w:pict>
    </w:r>
    <w:r>
      <w:rPr/>
      <w:pict>
        <v:shape style="position:absolute;margin-left:524.179993pt;margin-top:781.957947pt;width:15.5pt;height:11pt;mso-position-horizontal-relative:page;mso-position-vertical-relative:page;z-index:-85926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59240" type="#_x0000_t75" stroked="false">
          <v:imagedata r:id="rId1" o:title=""/>
        </v:shape>
      </w:pict>
    </w:r>
    <w:r>
      <w:rPr/>
      <w:pict>
        <v:shape style="position:absolute;margin-left:523.179993pt;margin-top:781.957947pt;width:17.5pt;height:11pt;mso-position-horizontal-relative:page;mso-position-vertical-relative:page;z-index:-8592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859408" type="#_x0000_t202" filled="false" stroked="false">
          <v:textbox inset="0,0,0,0">
            <w:txbxContent>
              <w:p>
                <w:pPr>
                  <w:pStyle w:val="BodyText"/>
                  <w:spacing w:line="214" w:lineRule="exact"/>
                  <w:ind w:left="20" w:right="0"/>
                  <w:jc w:val="left"/>
                </w:pPr>
                <w:r>
                  <w:rPr/>
                  <w:t>上海华峰超纤材料股份有限公司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ind w:left="1133"/>
    </w:pPr>
    <w:rPr>
      <w:rFonts w:ascii="宋体" w:hAnsi="宋体" w:eastAsia="宋体"/>
      <w:sz w:val="18"/>
      <w:szCs w:val="18"/>
    </w:rPr>
  </w:style>
  <w:style w:styleId="Heading1" w:type="paragraph">
    <w:name w:val="Heading 1"/>
    <w:basedOn w:val="Normal"/>
    <w:uiPriority w:val="1"/>
    <w:qFormat/>
    <w:pPr>
      <w:spacing w:before="1"/>
      <w:ind w:left="3403"/>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3"/>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microfibre.huafeng.com/" TargetMode="External"/><Relationship Id="rId10" Type="http://schemas.openxmlformats.org/officeDocument/2006/relationships/hyperlink" Target="http://www.hfmicrofibre.com/" TargetMode="External"/><Relationship Id="rId11" Type="http://schemas.openxmlformats.org/officeDocument/2006/relationships/hyperlink" Target="mailto:chengming2003@126.com" TargetMode="External"/><Relationship Id="rId12" Type="http://schemas.openxmlformats.org/officeDocument/2006/relationships/hyperlink" Target="http://www.cninfo.com.cn/" TargetMode="External"/><Relationship Id="rId13" Type="http://schemas.openxmlformats.org/officeDocument/2006/relationships/hyperlink" Target="http://irm.cninfo.com.cn/ssessgs/S30018" TargetMode="External"/><Relationship Id="rId14" Type="http://schemas.openxmlformats.org/officeDocument/2006/relationships/image" Target="media/image3.jpeg"/><Relationship Id="rId15" Type="http://schemas.openxmlformats.org/officeDocument/2006/relationships/footer" Target="footer3.xml"/><Relationship Id="rId16"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上海华峰超纤材料股份有限公司</dc:creator>
  <dc:title>上海华峰超纤材料股份有限公司2017年年度报告全文</dc:title>
  <dcterms:created xsi:type="dcterms:W3CDTF">2020-05-03T00:07:10Z</dcterms:created>
  <dcterms:modified xsi:type="dcterms:W3CDTF">2020-05-03T00:07:10Z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Microsoft® Office Word 2007</vt:lpwstr>
  </property>
  <property fmtid="{D5CDD505-2E9C-101B-9397-08002B2CF9AE}" pid="4" name="LastSaved">
    <vt:filetime>2020-05-02T00:00:00Z</vt:filetime>
  </property>
</Properties>
</file>