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154" w:lineRule="exact"/>
        <w:ind w:left="309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drawing>
          <wp:inline distT="0" distB="0" distL="0" distR="0">
            <wp:extent cx="2380364" cy="136817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380364" cy="1368171"/>
                    </a:xfrm>
                    <a:prstGeom prst="rect">
                      <a:avLst/>
                    </a:prstGeom>
                  </pic:spPr>
                </pic:pic>
              </a:graphicData>
            </a:graphic>
          </wp:inline>
        </w:drawing>
      </w:r>
      <w:r>
        <w:rPr>
          <w:rFonts w:ascii="Times New Roman" w:hAnsi="Times New Roman" w:cs="Times New Roman" w:eastAsia="Times New Roman" w:hint="default"/>
          <w:position w:val="-4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上海华峰超纤材料股份有限公司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spacing w:line="240" w:lineRule="auto" w:before="76"/>
        <w:ind w:left="0" w:right="1130"/>
        <w:jc w:val="right"/>
        <w:rPr>
          <w:rFonts w:ascii="Times New Roman" w:hAnsi="Times New Roman" w:cs="Times New Roman" w:eastAsia="Times New Roman" w:hint="default"/>
        </w:rPr>
      </w:pPr>
      <w:r>
        <w:rPr>
          <w:rFonts w:ascii="Times New Roman"/>
        </w:rPr>
        <w:t>1</w:t>
      </w:r>
    </w:p>
    <w:p>
      <w:pPr>
        <w:spacing w:after="0" w:line="240" w:lineRule="auto"/>
        <w:jc w:val="right"/>
        <w:rPr>
          <w:rFonts w:ascii="Times New Roman" w:hAnsi="Times New Roman" w:cs="Times New Roman" w:eastAsia="Times New Roman" w:hint="default"/>
        </w:rPr>
        <w:sectPr>
          <w:headerReference w:type="default" r:id="rId5"/>
          <w:footerReference w:type="default" r:id="rId6"/>
          <w:type w:val="continuous"/>
          <w:pgSz w:w="11910" w:h="16840"/>
          <w:pgMar w:header="747" w:footer="504" w:top="1060" w:bottom="70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left="2805" w:right="1032"/>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公司负责人尤小平、主管会计工作负责人蔡开成及会计机构负责人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蔡开成声明：保证年度报告中财务报告的真实、准确、完整。</w:t>
      </w:r>
      <w:r>
        <w:rPr>
          <w:rFonts w:ascii="宋体" w:hAnsi="宋体" w:cs="宋体" w:eastAsia="宋体" w:hint="default"/>
          <w:sz w:val="28"/>
          <w:szCs w:val="28"/>
        </w:rPr>
      </w:r>
    </w:p>
    <w:p>
      <w:pPr>
        <w:spacing w:line="460" w:lineRule="auto" w:before="147"/>
        <w:ind w:left="716" w:right="103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、主要原材料价格波动的风险</w:t>
      </w:r>
      <w:r>
        <w:rPr>
          <w:rFonts w:ascii="宋体" w:hAnsi="宋体" w:cs="宋体" w:eastAsia="宋体" w:hint="default"/>
          <w:b/>
          <w:bCs/>
          <w:w w:val="99"/>
          <w:sz w:val="28"/>
          <w:szCs w:val="28"/>
        </w:rPr>
        <w:t> </w:t>
      </w:r>
      <w:r>
        <w:rPr>
          <w:rFonts w:ascii="宋体" w:hAnsi="宋体" w:cs="宋体" w:eastAsia="宋体" w:hint="default"/>
          <w:b/>
          <w:bCs/>
          <w:sz w:val="28"/>
          <w:szCs w:val="28"/>
        </w:rPr>
        <w:t>公司生产所需的主要原材料为尼龙切片、聚乙烯、</w:t>
      </w:r>
      <w:r>
        <w:rPr>
          <w:rFonts w:ascii="Times New Roman" w:hAnsi="Times New Roman" w:cs="Times New Roman" w:eastAsia="Times New Roman" w:hint="default"/>
          <w:b/>
          <w:bCs/>
          <w:sz w:val="28"/>
          <w:szCs w:val="28"/>
        </w:rPr>
        <w:t>MDI</w:t>
      </w:r>
      <w:r>
        <w:rPr>
          <w:rFonts w:ascii="Times New Roman" w:hAnsi="Times New Roman" w:cs="Times New Roman" w:eastAsia="Times New Roman" w:hint="default"/>
          <w:b/>
          <w:bCs/>
          <w:spacing w:val="-27"/>
          <w:sz w:val="28"/>
          <w:szCs w:val="28"/>
        </w:rPr>
        <w:t> </w:t>
      </w:r>
      <w:r>
        <w:rPr>
          <w:rFonts w:ascii="宋体" w:hAnsi="宋体" w:cs="宋体" w:eastAsia="宋体" w:hint="default"/>
          <w:b/>
          <w:bCs/>
          <w:sz w:val="28"/>
          <w:szCs w:val="28"/>
        </w:rPr>
        <w:t>以及多元醇等化工</w:t>
      </w:r>
      <w:r>
        <w:rPr>
          <w:rFonts w:ascii="宋体" w:hAnsi="宋体" w:cs="宋体" w:eastAsia="宋体" w:hint="default"/>
          <w:sz w:val="28"/>
          <w:szCs w:val="28"/>
        </w:rPr>
      </w:r>
    </w:p>
    <w:p>
      <w:pPr>
        <w:spacing w:line="318" w:lineRule="exact" w:before="0"/>
        <w:ind w:left="154"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产品，公司超纤产品耗用的主要原材料占生产成本的比例较高，原材料价格波</w:t>
      </w:r>
      <w:r>
        <w:rPr>
          <w:rFonts w:ascii="宋体" w:hAnsi="宋体" w:cs="宋体" w:eastAsia="宋体" w:hint="default"/>
          <w:spacing w:val="3"/>
          <w:sz w:val="28"/>
          <w:szCs w:val="28"/>
        </w:rPr>
      </w:r>
    </w:p>
    <w:p>
      <w:pPr>
        <w:spacing w:line="240" w:lineRule="auto" w:before="9"/>
        <w:rPr>
          <w:rFonts w:ascii="宋体" w:hAnsi="宋体" w:cs="宋体" w:eastAsia="宋体" w:hint="default"/>
          <w:b/>
          <w:bCs/>
          <w:sz w:val="19"/>
          <w:szCs w:val="19"/>
        </w:rPr>
      </w:pPr>
    </w:p>
    <w:p>
      <w:pPr>
        <w:spacing w:line="410" w:lineRule="auto" w:before="0"/>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动较大将影响公司的经营业绩，特别是尼龙采购价格上升幅度将对公司的毛利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率造成不利影响，给公司经营带来了风险。</w:t>
      </w:r>
      <w:r>
        <w:rPr>
          <w:rFonts w:ascii="宋体" w:hAnsi="宋体" w:cs="宋体" w:eastAsia="宋体" w:hint="default"/>
          <w:sz w:val="28"/>
          <w:szCs w:val="28"/>
        </w:rPr>
      </w:r>
    </w:p>
    <w:p>
      <w:pPr>
        <w:spacing w:line="446" w:lineRule="auto" w:before="158"/>
        <w:ind w:left="716" w:right="103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、市场需求不足的风险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公司产品的市场需求受国内宏观经济环境、人们消费观念的转变、环保意</w:t>
      </w:r>
      <w:r>
        <w:rPr>
          <w:rFonts w:ascii="宋体" w:hAnsi="宋体" w:cs="宋体" w:eastAsia="宋体" w:hint="default"/>
          <w:spacing w:val="3"/>
          <w:sz w:val="28"/>
          <w:szCs w:val="28"/>
        </w:rPr>
      </w:r>
    </w:p>
    <w:p>
      <w:pPr>
        <w:spacing w:line="408" w:lineRule="auto" w:before="16"/>
        <w:ind w:left="154"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识的增强和技术进步的影响较大。如果经济形势发生不利变化，超纤行业增速</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pacing w:val="3"/>
          <w:w w:val="95"/>
          <w:sz w:val="28"/>
          <w:szCs w:val="28"/>
        </w:rPr>
        <w:t>缓慢，新产品推广速度不及预期，人们消费观念的转变将会影响公司产品的市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场需求，使公司迅速扩张的产能面临市场需求不足的风险。</w:t>
      </w:r>
      <w:r>
        <w:rPr>
          <w:rFonts w:ascii="宋体" w:hAnsi="宋体" w:cs="宋体" w:eastAsia="宋体" w:hint="default"/>
          <w:sz w:val="28"/>
          <w:szCs w:val="28"/>
        </w:rPr>
      </w:r>
    </w:p>
    <w:p>
      <w:pPr>
        <w:spacing w:line="446" w:lineRule="auto" w:before="162"/>
        <w:ind w:left="716" w:right="103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、募投项目不能实现预期收益的风险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公司募集资金投资项目和超募资金投资项目大多属于扩产项目，虽然公司</w:t>
      </w:r>
      <w:r>
        <w:rPr>
          <w:rFonts w:ascii="宋体" w:hAnsi="宋体" w:cs="宋体" w:eastAsia="宋体" w:hint="default"/>
          <w:spacing w:val="3"/>
          <w:sz w:val="28"/>
          <w:szCs w:val="28"/>
        </w:rPr>
      </w:r>
    </w:p>
    <w:p>
      <w:pPr>
        <w:spacing w:before="16"/>
        <w:ind w:left="154"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在选择项目时根据市场情况进行了认真仔细的可行性论证，但若超纤消费市场</w:t>
      </w:r>
      <w:r>
        <w:rPr>
          <w:rFonts w:ascii="宋体" w:hAnsi="宋体" w:cs="宋体" w:eastAsia="宋体" w:hint="default"/>
          <w:spacing w:val="3"/>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增长缓慢，市场环境、产业政策等方面出现重大变化，快速增长的固定资产将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带来折旧的增加，从而影响公司募投项目效益，降低净利润水平。</w:t>
      </w:r>
      <w:r>
        <w:rPr>
          <w:rFonts w:ascii="宋体" w:hAnsi="宋体" w:cs="宋体" w:eastAsia="宋体" w:hint="default"/>
          <w:sz w:val="28"/>
          <w:szCs w:val="28"/>
        </w:rPr>
      </w:r>
    </w:p>
    <w:p>
      <w:pPr>
        <w:spacing w:line="448" w:lineRule="auto" w:before="158"/>
        <w:ind w:left="716" w:right="103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、环保政策变动的风险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公司属于塑料制品行业的人造革合成革子行业，细分行业为超细纤维聚氨</w:t>
      </w:r>
      <w:r>
        <w:rPr>
          <w:rFonts w:ascii="宋体" w:hAnsi="宋体" w:cs="宋体" w:eastAsia="宋体" w:hint="default"/>
          <w:spacing w:val="3"/>
          <w:sz w:val="28"/>
          <w:szCs w:val="28"/>
        </w:rPr>
      </w:r>
    </w:p>
    <w:p>
      <w:pPr>
        <w:spacing w:line="408" w:lineRule="auto" w:before="14"/>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酯合成革行业。且公司在产品生产过程中会产生少量废水、废气等污染物，如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果处理不当会污染环境，给周围环境造成不良影响。随着社会环境保护意识的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不断增强，国家及地方政府可能在将来颁布新的法律法规，提高环保标准，控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制化工企业的开工率，本公司将面临更高的环保成本，进而影响经营业绩。</w:t>
      </w:r>
      <w:r>
        <w:rPr>
          <w:rFonts w:ascii="宋体" w:hAnsi="宋体" w:cs="宋体" w:eastAsia="宋体" w:hint="default"/>
          <w:sz w:val="28"/>
          <w:szCs w:val="28"/>
        </w:rPr>
      </w:r>
    </w:p>
    <w:p>
      <w:pPr>
        <w:spacing w:line="446" w:lineRule="auto" w:before="161"/>
        <w:ind w:left="716" w:right="103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、业务整合风险</w:t>
      </w:r>
      <w:r>
        <w:rPr>
          <w:rFonts w:ascii="宋体" w:hAnsi="宋体" w:cs="宋体" w:eastAsia="宋体" w:hint="default"/>
          <w:b/>
          <w:bCs/>
          <w:spacing w:val="1"/>
          <w:w w:val="99"/>
          <w:sz w:val="28"/>
          <w:szCs w:val="28"/>
        </w:rPr>
        <w:t> </w:t>
      </w:r>
      <w:r>
        <w:rPr>
          <w:rFonts w:ascii="宋体" w:hAnsi="宋体" w:cs="宋体" w:eastAsia="宋体" w:hint="default"/>
          <w:b/>
          <w:bCs/>
          <w:spacing w:val="-2"/>
          <w:w w:val="95"/>
          <w:sz w:val="28"/>
          <w:szCs w:val="28"/>
        </w:rPr>
        <w:t>为谋求实现公司多元化发展的产业升级战略，同时兼顾风险和收益的原则，</w:t>
      </w:r>
      <w:r>
        <w:rPr>
          <w:rFonts w:ascii="宋体" w:hAnsi="宋体" w:cs="宋体" w:eastAsia="宋体" w:hint="default"/>
          <w:spacing w:val="-2"/>
          <w:sz w:val="28"/>
          <w:szCs w:val="28"/>
        </w:rPr>
      </w:r>
    </w:p>
    <w:p>
      <w:pPr>
        <w:spacing w:line="408" w:lineRule="auto" w:before="17"/>
        <w:ind w:left="154"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公司分别从未来经济发展趋势、国家产业政策导向、行业发展现状、前景及市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场需求度等方面着手，选择软件服务行业中的移动支付软件服务业务作为公司</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未来战略发展的新突破口。尽管公司看好移动支付软件服务行业未来的发展前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景，并将此作为公司发展的重要一环，但本次交易的标的公司主营业务与上市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公司原主营业务分属于不同领域，未来的管理模式和协同整合能力仍面临一定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的考验。威富通所处的移动支付软件服务行业本身具有技术不断更新以及商业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模式变化较快的特点。上市公司与威富通积极探索合作模式，致力于打造新的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盈利增长点，结合上市公司自身已建立的规范管理体系，公司管理层对新业务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的整合管理已有较明确的思路。但仍不排除未来整合进度及整合效果未能达到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预期的风险，届时可能对公司整体规范运作、财务状况及经营业绩等造成不利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影响，敬请投资者关注上述风险。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46" w:lineRule="auto" w:before="13"/>
        <w:ind w:left="716" w:right="103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、威富通资产盈利能力波动的风险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作为移动支付软件服务的提供商，威富通未来的盈利能力除了受移动支付</w:t>
      </w:r>
      <w:r>
        <w:rPr>
          <w:rFonts w:ascii="宋体" w:hAnsi="宋体" w:cs="宋体" w:eastAsia="宋体" w:hint="default"/>
          <w:spacing w:val="3"/>
          <w:sz w:val="28"/>
          <w:szCs w:val="28"/>
        </w:rPr>
      </w:r>
    </w:p>
    <w:p>
      <w:pPr>
        <w:spacing w:line="408" w:lineRule="auto" w:before="17"/>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软件服务行业发展趋势变化的影响外，还受后续提供的移动支付软件服务的市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场认可程度、自身运营能力等因素的影响。若后续服务未能延续目前得到的市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场认可，用户体验度降低，威富通自身的资源整合和运营能力及市场地位出现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不利变化的因素都将对威富通的盈利能力产生直接影响。提请投资者关注威富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通未来业绩可能较历史业绩产生较大变化的风险。</w:t>
      </w:r>
      <w:r>
        <w:rPr>
          <w:rFonts w:ascii="宋体" w:hAnsi="宋体" w:cs="宋体" w:eastAsia="宋体" w:hint="default"/>
          <w:sz w:val="28"/>
          <w:szCs w:val="28"/>
        </w:rPr>
      </w:r>
    </w:p>
    <w:p>
      <w:pPr>
        <w:spacing w:before="161"/>
        <w:ind w:left="716" w:right="103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1,135,835,710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0.35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162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17"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超纤</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2"/>
              <w:jc w:val="both"/>
              <w:rPr>
                <w:rFonts w:ascii="宋体" w:hAnsi="宋体" w:cs="宋体" w:eastAsia="宋体" w:hint="default"/>
                <w:sz w:val="18"/>
                <w:szCs w:val="18"/>
              </w:rPr>
            </w:pPr>
            <w:r>
              <w:rPr>
                <w:rFonts w:ascii="宋体" w:hAnsi="宋体" w:cs="宋体" w:eastAsia="宋体" w:hint="default"/>
                <w:spacing w:val="-2"/>
                <w:sz w:val="18"/>
                <w:szCs w:val="18"/>
              </w:rPr>
              <w:t>指超细纤维聚氨酯合成材料，是以拥有三维立体构造的超细纤维无纺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布作为基布，以聚氨酯（</w:t>
            </w:r>
            <w:r>
              <w:rPr>
                <w:rFonts w:ascii="Times New Roman" w:hAnsi="Times New Roman" w:cs="Times New Roman" w:eastAsia="Times New Roman" w:hint="default"/>
                <w:spacing w:val="-3"/>
                <w:sz w:val="18"/>
                <w:szCs w:val="18"/>
              </w:rPr>
              <w:t>PU</w:t>
            </w:r>
            <w:r>
              <w:rPr>
                <w:rFonts w:ascii="宋体" w:hAnsi="宋体" w:cs="宋体" w:eastAsia="宋体" w:hint="default"/>
                <w:spacing w:val="-3"/>
                <w:sz w:val="18"/>
                <w:szCs w:val="18"/>
              </w:rPr>
              <w:t>）树脂涂覆表层的具有束状超细纤维结构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新型材料</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威富通科技有限公司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032"/>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r>
        <w:rPr/>
        <w:pict>
          <v:group style="position:absolute;margin-left:172.339996pt;margin-top:114.735596pt;width:361.5pt;height:19.6pt;mso-position-horizontal-relative:page;mso-position-vertical-relative:paragraph;z-index:-94710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华峰超纤</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华峰超纤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Huafon Microfibre (Shanghai) Co.,</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Huafon</w:t>
            </w:r>
            <w:r>
              <w:rPr>
                <w:rFonts w:ascii="Times New Roman"/>
                <w:spacing w:val="-2"/>
                <w:sz w:val="18"/>
              </w:rPr>
              <w:t> </w:t>
            </w:r>
            <w:r>
              <w:rPr>
                <w:rFonts w:ascii="Times New Roman"/>
                <w:sz w:val="18"/>
              </w:rPr>
              <w:t>Microfibre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尤小平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tabs>
                <w:tab w:pos="2555" w:val="left" w:leader="none"/>
              </w:tabs>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pacing w:val="-1"/>
                  <w:sz w:val="18"/>
                </w:rPr>
                <w:t>http://microfibre.huafeng.com</w:t>
              </w:r>
            </w:hyperlink>
            <w:r>
              <w:rPr>
                <w:rFonts w:ascii="Times New Roman"/>
                <w:spacing w:val="-1"/>
                <w:sz w:val="18"/>
              </w:rPr>
              <w:tab/>
            </w:r>
            <w:hyperlink r:id="rId10">
              <w:r>
                <w:rPr>
                  <w:rFonts w:ascii="Times New Roman"/>
                  <w:spacing w:val="-1"/>
                  <w:sz w:val="18"/>
                </w:rPr>
                <w:t>http://www.hfmicrofibre.com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符娟</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021-57243140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021-57243140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021-57245968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021-57245968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fu.juan@huafeng.com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朱伟、倪金林</w:t>
            </w:r>
          </w:p>
        </w:tc>
      </w:tr>
    </w:tbl>
    <w:p>
      <w:pPr>
        <w:pStyle w:val="BodyText"/>
        <w:spacing w:line="240" w:lineRule="auto" w:before="51"/>
        <w:ind w:right="1032"/>
        <w:jc w:val="left"/>
      </w:pPr>
      <w:r>
        <w:rPr/>
        <w:t>公司聘请的报告期内履行持续督导职责的保荐机构</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东海证券股份有限公司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上海市浦东新区东方路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盛玉照、江成祺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032"/>
        <w:jc w:val="left"/>
      </w:pPr>
      <w:r>
        <w:rPr/>
        <w:t>公司聘请的报告期内履行持续督导职责的财务顾问</w:t>
      </w:r>
    </w:p>
    <w:p>
      <w:pPr>
        <w:pStyle w:val="BodyText"/>
        <w:spacing w:line="240" w:lineRule="auto" w:before="11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姚翰、姚爽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年底</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公司是否需追溯调整或重述以前年度会计数据</w:t>
      </w:r>
    </w:p>
    <w:p>
      <w:pPr>
        <w:pStyle w:val="BodyText"/>
        <w:spacing w:line="240" w:lineRule="auto" w:before="116"/>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3,065,127,058.50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2,505,593,912.49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1,439,082,922.42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295,421,303.89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249,291,729.69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100,548,129.90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189,781,131.70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235,499,550.48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75,971,680.23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108,670,811.14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178,259,277.17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-176,574,928.64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7,539,574,490.71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6,621,061,858.52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3,842,902,917.90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5,129,389,055.44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4,864,742,156.12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2,632,180,177.98</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716,379,327.18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819,216,452.16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737,410,165.79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792,121,113.37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100,638,502.12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107,046,088.79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69,627,347.15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18,109,365.83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96,102,569.71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96,135,735.11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54,315,853.30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-56,773,026.42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-126,371,076.09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8,634,153.00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-30,966,594.58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257,374,328.81</w:t>
            </w:r>
          </w:p>
        </w:tc>
      </w:tr>
    </w:tbl>
    <w:p>
      <w:pPr>
        <w:pStyle w:val="BodyText"/>
        <w:spacing w:line="240" w:lineRule="auto" w:before="51"/>
        <w:ind w:right="1032"/>
        <w:jc w:val="left"/>
      </w:pPr>
      <w:r>
        <w:rPr/>
        <w:t>上述财务指标或其加总数是否与公司已披露季度报告、半年度报告相关财务指标存在重大差异</w:t>
      </w:r>
    </w:p>
    <w:p>
      <w:pPr>
        <w:pStyle w:val="BodyText"/>
        <w:spacing w:line="240" w:lineRule="auto" w:before="117"/>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032"/>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-1,048,177.66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214,759.98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-1,561,883.70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29,953,607.86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22,844,255.80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29,269,552.80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297,540.82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10,089,719.46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4,087,032.04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327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-8,557,345.25</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1,526,973.99</w:t>
            </w:r>
          </w:p>
        </w:tc>
        <w:tc>
          <w:tcPr>
            <w:tcW w:w="1710" w:type="dxa"/>
            <w:vMerge w:val="restart"/>
            <w:tcBorders>
              <w:top w:val="single" w:sz="4" w:space="0" w:color="000000"/>
              <w:left w:val="single" w:sz="4" w:space="0" w:color="000000"/>
              <w:right w:val="single" w:sz="4" w:space="0" w:color="000000"/>
            </w:tcBorders>
          </w:tcPr>
          <w:p>
            <w:pPr/>
          </w:p>
        </w:tc>
      </w:tr>
      <w:tr>
        <w:trPr>
          <w:trHeight w:val="392" w:hRule="exact"/>
        </w:trPr>
        <w:tc>
          <w:tcPr>
            <w:tcW w:w="3273" w:type="dxa"/>
            <w:vMerge/>
            <w:tcBorders>
              <w:left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20" w:type="dxa"/>
            <w:vMerge/>
            <w:tcBorders>
              <w:left w:val="single" w:sz="9" w:space="0" w:color="D2D2D2"/>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629" w:hRule="exact"/>
        </w:trPr>
        <w:tc>
          <w:tcPr>
            <w:tcW w:w="3273" w:type="dxa"/>
            <w:vMerge/>
            <w:tcBorders>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9" w:space="0" w:color="D2D2D2"/>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296" w:hRule="exact"/>
        </w:trPr>
        <w:tc>
          <w:tcPr>
            <w:tcW w:w="32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w:t>
            </w:r>
          </w:p>
        </w:tc>
        <w:tc>
          <w:tcPr>
            <w:tcW w:w="1532" w:type="dxa"/>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42" w:right="0"/>
              <w:jc w:val="left"/>
              <w:rPr>
                <w:rFonts w:ascii="Times New Roman" w:hAnsi="Times New Roman" w:cs="Times New Roman" w:eastAsia="Times New Roman" w:hint="default"/>
                <w:sz w:val="18"/>
                <w:szCs w:val="18"/>
              </w:rPr>
            </w:pPr>
            <w:r>
              <w:rPr>
                <w:rFonts w:ascii="Times New Roman"/>
                <w:sz w:val="18"/>
              </w:rPr>
              <w:t>1,371,034.90</w:t>
            </w:r>
          </w:p>
        </w:tc>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0" w:type="dxa"/>
            <w:vMerge w:val="restart"/>
            <w:tcBorders>
              <w:top w:val="single" w:sz="4" w:space="0" w:color="000000"/>
              <w:left w:val="single" w:sz="9" w:space="0" w:color="D2D2D2"/>
              <w:right w:val="single" w:sz="4" w:space="0" w:color="000000"/>
            </w:tcBorders>
          </w:tcPr>
          <w:p>
            <w:pPr/>
          </w:p>
        </w:tc>
      </w:tr>
      <w:tr>
        <w:trPr>
          <w:trHeight w:val="392" w:hRule="exact"/>
        </w:trPr>
        <w:tc>
          <w:tcPr>
            <w:tcW w:w="3273" w:type="dxa"/>
            <w:vMerge/>
            <w:tcBorders>
              <w:left w:val="single" w:sz="4" w:space="0" w:color="000000"/>
              <w:right w:val="single" w:sz="4" w:space="0" w:color="000000"/>
            </w:tcBorders>
            <w:shd w:val="clear" w:color="auto" w:fill="D2D2D2"/>
          </w:tcPr>
          <w:p>
            <w:pPr/>
          </w:p>
        </w:tc>
        <w:tc>
          <w:tcPr>
            <w:tcW w:w="1532" w:type="dxa"/>
            <w:vMerge/>
            <w:tcBorders>
              <w:left w:val="single" w:sz="13" w:space="0" w:color="D2D2D2"/>
              <w:right w:val="single" w:sz="9" w:space="0" w:color="D2D2D2"/>
            </w:tcBorders>
          </w:tcPr>
          <w:p>
            <w:pPr/>
          </w:p>
        </w:tc>
        <w:tc>
          <w:tcPr>
            <w:tcW w:w="1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10" w:type="dxa"/>
            <w:vMerge/>
            <w:tcBorders>
              <w:left w:val="single" w:sz="9" w:space="0" w:color="D2D2D2"/>
              <w:right w:val="single" w:sz="4" w:space="0" w:color="000000"/>
            </w:tcBorders>
          </w:tcPr>
          <w:p>
            <w:pPr/>
          </w:p>
        </w:tc>
      </w:tr>
      <w:tr>
        <w:trPr>
          <w:trHeight w:val="298" w:hRule="exact"/>
        </w:trPr>
        <w:tc>
          <w:tcPr>
            <w:tcW w:w="3273" w:type="dxa"/>
            <w:vMerge/>
            <w:tcBorders>
              <w:left w:val="single" w:sz="4" w:space="0" w:color="000000"/>
              <w:bottom w:val="single" w:sz="4" w:space="0" w:color="000000"/>
              <w:right w:val="single" w:sz="4" w:space="0" w:color="000000"/>
            </w:tcBorders>
            <w:shd w:val="clear" w:color="auto" w:fill="D2D2D2"/>
          </w:tcPr>
          <w:p>
            <w:pPr/>
          </w:p>
        </w:tc>
        <w:tc>
          <w:tcPr>
            <w:tcW w:w="1532" w:type="dxa"/>
            <w:vMerge/>
            <w:tcBorders>
              <w:left w:val="single" w:sz="13" w:space="0" w:color="D2D2D2"/>
              <w:bottom w:val="single" w:sz="4" w:space="0" w:color="000000"/>
              <w:right w:val="single" w:sz="9" w:space="0" w:color="D2D2D2"/>
            </w:tcBorders>
          </w:tcPr>
          <w:p>
            <w:pPr/>
          </w:p>
        </w:tc>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0"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29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产生的公允价值变动损益，以及处置交易 性金融资产、衍生金融资产、交易性金融 负债、衍生金融负债和其他债权投资取得 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222,905.05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-388,356.05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142,955.76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79,515,359.75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14,680,400.77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4,408,167.31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4,801,149.18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81,417.22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105,640,172.19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13,792,179.21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24,576,449.67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32"/>
        <w:jc w:val="left"/>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left="514" w:right="1162"/>
        <w:jc w:val="left"/>
      </w:pPr>
      <w:r>
        <w:rPr/>
        <w:t>（一）公司主要业务概要 公司自成立以来，一直专注于超纤材料的研发、生产和销售，拥有包括革用</w:t>
      </w:r>
      <w:r>
        <w:rPr>
          <w:rFonts w:ascii="Times New Roman" w:hAnsi="Times New Roman" w:cs="Times New Roman" w:eastAsia="Times New Roman" w:hint="default"/>
        </w:rPr>
        <w:t>PU</w:t>
      </w:r>
      <w:r>
        <w:rPr/>
        <w:t>树脂、超细束状纤维纺丝、无纺布、含</w:t>
      </w:r>
    </w:p>
    <w:p>
      <w:pPr>
        <w:pStyle w:val="BodyText"/>
        <w:spacing w:line="316" w:lineRule="auto"/>
        <w:ind w:left="514" w:right="1032" w:hanging="360"/>
        <w:jc w:val="left"/>
      </w:pPr>
      <w:r>
        <w:rPr/>
        <w:t>浸等以及贴面、染色等所有产品涉及的工艺研发、生产能力。公司目前超纤材料产能近一亿米。 </w:t>
      </w:r>
      <w:r>
        <w:rPr>
          <w:spacing w:val="-2"/>
        </w:rPr>
        <w:t>公司以绿色生态为企业的发展理念，以技术创新不断开拓产品应用的新领域，贴近现实生活，打破传统消费理念，提高</w:t>
      </w:r>
    </w:p>
    <w:p>
      <w:pPr>
        <w:pStyle w:val="BodyText"/>
        <w:spacing w:line="316" w:lineRule="auto" w:before="19"/>
        <w:ind w:right="1129"/>
        <w:jc w:val="both"/>
      </w:pPr>
      <w:r>
        <w:rPr>
          <w:spacing w:val="-2"/>
        </w:rPr>
        <w:t>人类生活质量。公司生产的超纤材料可以最大限度的还原真皮优良的触感和舒适度，并在回弹性、强度、防水、防霉变、耐</w:t>
      </w:r>
      <w:r>
        <w:rPr>
          <w:spacing w:val="-66"/>
        </w:rPr>
        <w:t> </w:t>
      </w:r>
      <w:r>
        <w:rPr>
          <w:spacing w:val="-66"/>
        </w:rPr>
      </w:r>
      <w:r>
        <w:rPr>
          <w:spacing w:val="-2"/>
        </w:rPr>
        <w:t>寒、耐磨等性能上全面超越真皮，目前已广泛应用于运动、休闲生活和工业产品等众多领域，未来我们将立足于超纤本身的</w:t>
      </w:r>
      <w:r>
        <w:rPr>
          <w:spacing w:val="-66"/>
        </w:rPr>
        <w:t> </w:t>
      </w:r>
      <w:r>
        <w:rPr>
          <w:spacing w:val="-66"/>
        </w:rPr>
      </w:r>
      <w:r>
        <w:rPr/>
        <w:t>特点和优势，开发更多新的功能性应用领域，超纤材料的市场需求总量也将持续稳定增长。</w:t>
      </w:r>
    </w:p>
    <w:p>
      <w:pPr>
        <w:pStyle w:val="BodyText"/>
        <w:spacing w:line="314" w:lineRule="auto" w:before="19"/>
        <w:ind w:right="1032" w:firstLine="360"/>
        <w:jc w:val="left"/>
      </w:pPr>
      <w:r>
        <w:rPr>
          <w:spacing w:val="-2"/>
        </w:rPr>
        <w:t>报告期内，公司凭借已经具备的生产技术、客户资源以及质量品牌方面的优势，通过不断优化产品结构、通过不断优化</w:t>
      </w:r>
      <w:r>
        <w:rPr/>
        <w:t> </w:t>
      </w:r>
      <w:r>
        <w:rPr>
          <w:spacing w:val="-2"/>
        </w:rPr>
        <w:t>产品结构、完善产业链、拓展产业布局的方式实现了营业收入稳步增长。启东基地</w:t>
      </w:r>
      <w:r>
        <w:rPr>
          <w:rFonts w:ascii="Times New Roman" w:hAnsi="Times New Roman" w:cs="Times New Roman" w:eastAsia="Times New Roman" w:hint="default"/>
          <w:spacing w:val="-2"/>
        </w:rPr>
        <w:t>7500</w:t>
      </w:r>
      <w:r>
        <w:rPr>
          <w:spacing w:val="-2"/>
        </w:rPr>
        <w:t>万米项目已全部建成投产，产能逐步</w:t>
      </w:r>
      <w:r>
        <w:rPr>
          <w:spacing w:val="-62"/>
        </w:rPr>
        <w:t> </w:t>
      </w:r>
      <w:r>
        <w:rPr>
          <w:spacing w:val="-62"/>
        </w:rPr>
      </w:r>
      <w:r>
        <w:rPr/>
        <w:t>释放。同时，公司进一步优化渠道，内外结合创造新的市场格局，不仅更多地走出去参加国外展会，大大拉近公司与客户、 </w:t>
      </w:r>
      <w:r>
        <w:rPr>
          <w:spacing w:val="-2"/>
        </w:rPr>
        <w:t>与市场的距离，还特别重点加强了对终端品牌工厂、同行合作伙伴等新型营销渠道的构建，在超纤市场的市场占有率进一步</w:t>
      </w:r>
      <w:r>
        <w:rPr>
          <w:spacing w:val="-66"/>
        </w:rPr>
        <w:t> </w:t>
      </w:r>
      <w:r>
        <w:rPr>
          <w:spacing w:val="-66"/>
        </w:rPr>
      </w:r>
      <w:r>
        <w:rPr/>
        <w:t>提升，龙头优势凸显。</w:t>
      </w:r>
    </w:p>
    <w:p>
      <w:pPr>
        <w:spacing w:line="240" w:lineRule="auto" w:before="6"/>
        <w:rPr>
          <w:rFonts w:ascii="宋体" w:hAnsi="宋体" w:cs="宋体" w:eastAsia="宋体" w:hint="default"/>
          <w:sz w:val="25"/>
          <w:szCs w:val="25"/>
        </w:rPr>
      </w:pPr>
    </w:p>
    <w:p>
      <w:pPr>
        <w:pStyle w:val="BodyText"/>
        <w:spacing w:line="316" w:lineRule="auto"/>
        <w:ind w:left="514" w:right="1032"/>
        <w:jc w:val="left"/>
      </w:pPr>
      <w:r>
        <w:rPr/>
        <w:t>（二）威富通的业务概要 威富通作为移动支付领域的技术服务提供商及增值业务服务商，业务范围涵盖移动支付接入服务、移动支付系统开发、</w:t>
      </w:r>
    </w:p>
    <w:p>
      <w:pPr>
        <w:pStyle w:val="BodyText"/>
        <w:spacing w:line="300" w:lineRule="auto" w:before="19"/>
        <w:ind w:right="1131"/>
        <w:jc w:val="both"/>
      </w:pPr>
      <w:r>
        <w:rPr>
          <w:spacing w:val="-2"/>
        </w:rPr>
        <w:t>移动运营、移动商城以及行业定制化移动支付解决方案等，以其自主开发的云平台软件系统结合</w:t>
      </w:r>
      <w:r>
        <w:rPr>
          <w:rFonts w:ascii="Times New Roman" w:hAnsi="Times New Roman" w:cs="Times New Roman" w:eastAsia="Times New Roman" w:hint="default"/>
          <w:spacing w:val="-2"/>
        </w:rPr>
        <w:t>SaaS</w:t>
      </w:r>
      <w:r>
        <w:rPr>
          <w:spacing w:val="-2"/>
        </w:rPr>
        <w:t>商业模式，向银行、第</w:t>
      </w:r>
      <w:r>
        <w:rPr>
          <w:spacing w:val="-63"/>
        </w:rPr>
        <w:t> </w:t>
      </w:r>
      <w:r>
        <w:rPr>
          <w:spacing w:val="-63"/>
        </w:rPr>
      </w:r>
      <w:r>
        <w:rPr/>
        <w:t>三方支付公司、商户等移动支付行业的主要参与方提供技术加营销的一站式行业解决方案。</w:t>
      </w:r>
    </w:p>
    <w:p>
      <w:pPr>
        <w:pStyle w:val="BodyText"/>
        <w:spacing w:line="307" w:lineRule="auto" w:before="31"/>
        <w:ind w:right="1030" w:firstLine="360"/>
        <w:jc w:val="left"/>
      </w:pPr>
      <w:r>
        <w:rPr>
          <w:spacing w:val="-2"/>
        </w:rPr>
        <w:t>威富通是微信支付首批签约受理机构、支付宝首批签约</w:t>
      </w:r>
      <w:r>
        <w:rPr>
          <w:rFonts w:ascii="Times New Roman" w:hAnsi="Times New Roman" w:cs="Times New Roman" w:eastAsia="Times New Roman" w:hint="default"/>
          <w:spacing w:val="-2"/>
        </w:rPr>
        <w:t>ISV</w:t>
      </w:r>
      <w:r>
        <w:rPr>
          <w:spacing w:val="-2"/>
        </w:rPr>
        <w:t>（独立软件开发商）合作伙伴、京东钱包签约支付合作伙伴、</w:t>
      </w:r>
      <w:r>
        <w:rPr/>
        <w:t> </w:t>
      </w:r>
      <w:r>
        <w:rPr>
          <w:rFonts w:ascii="Times New Roman" w:hAnsi="Times New Roman" w:cs="Times New Roman" w:eastAsia="Times New Roman" w:hint="default"/>
        </w:rPr>
        <w:t>QQ</w:t>
      </w:r>
      <w:r>
        <w:rPr/>
        <w:t>钱包首批签约受理机构等第三方支付公司签约合作伙伴，其合作的第三方支付公司已经覆盖目前国内主流移动支付软件 </w:t>
      </w:r>
      <w:r>
        <w:rPr>
          <w:spacing w:val="-2"/>
        </w:rPr>
        <w:t>客户端。威富通利用自身商户拓展团队和合作的渠道团队向银行、第三方支付公司导入商户资源，并且负责相关拓展商户的</w:t>
      </w:r>
      <w:r>
        <w:rPr>
          <w:spacing w:val="-66"/>
        </w:rPr>
        <w:t> </w:t>
      </w:r>
      <w:r>
        <w:rPr>
          <w:spacing w:val="-66"/>
        </w:rPr>
      </w:r>
      <w:r>
        <w:rPr/>
        <w:t>移动支付接入技术服务、交易系统的开发维护和后续营销增值服务。</w:t>
      </w:r>
    </w:p>
    <w:p>
      <w:pPr>
        <w:pStyle w:val="BodyText"/>
        <w:spacing w:line="309" w:lineRule="auto" w:before="26"/>
        <w:ind w:right="1032" w:firstLine="360"/>
        <w:jc w:val="left"/>
      </w:pPr>
      <w:r>
        <w:rPr/>
        <w:t>根据中国证监会</w:t>
      </w:r>
      <w:r>
        <w:rPr>
          <w:rFonts w:ascii="Times New Roman" w:hAnsi="Times New Roman" w:cs="Times New Roman" w:eastAsia="Times New Roman" w:hint="default"/>
        </w:rPr>
        <w:t>2012</w:t>
      </w:r>
      <w:r>
        <w:rPr/>
        <w:t>年发布的《上市公司行业分类指引》，威富通所处行业属于软件和信息技术服务业（</w:t>
      </w:r>
      <w:r>
        <w:rPr>
          <w:rFonts w:ascii="Times New Roman" w:hAnsi="Times New Roman" w:cs="Times New Roman" w:eastAsia="Times New Roman" w:hint="default"/>
        </w:rPr>
        <w:t>I65</w:t>
      </w:r>
      <w:r>
        <w:rPr/>
        <w:t>）。威富 </w:t>
      </w:r>
      <w:r>
        <w:rPr>
          <w:spacing w:val="-2"/>
        </w:rPr>
        <w:t>通作为移动支付领域的云服务技术提供商及增值业务服务商，一方面处于第三方移动支付产业链中，其发展得益于行业近年</w:t>
      </w:r>
      <w:r>
        <w:rPr>
          <w:spacing w:val="-64"/>
        </w:rPr>
        <w:t> </w:t>
      </w:r>
      <w:r>
        <w:rPr>
          <w:spacing w:val="-64"/>
        </w:rPr>
      </w:r>
      <w:r>
        <w:rPr>
          <w:spacing w:val="-2"/>
        </w:rPr>
        <w:t>来的爆发式增长。另一方面，威富通同时属于行业垂直型</w:t>
      </w:r>
      <w:r>
        <w:rPr>
          <w:rFonts w:ascii="Times New Roman" w:hAnsi="Times New Roman" w:cs="Times New Roman" w:eastAsia="Times New Roman" w:hint="default"/>
          <w:spacing w:val="-2"/>
        </w:rPr>
        <w:t>SaaS</w:t>
      </w:r>
      <w:r>
        <w:rPr>
          <w:spacing w:val="-2"/>
        </w:rPr>
        <w:t>，通过自主研发的移动支付云平台软件系统为银行、第三方移</w:t>
      </w:r>
      <w:r>
        <w:rPr>
          <w:spacing w:val="-65"/>
        </w:rPr>
        <w:t> </w:t>
      </w:r>
      <w:r>
        <w:rPr>
          <w:spacing w:val="-65"/>
        </w:rPr>
      </w:r>
      <w:r>
        <w:rPr/>
        <w:t>动支付公司、终端商户等提供移动支付解决方案。因此威富通主营业务的发展不仅受到移动支付行业的影响，同时也受到 </w:t>
      </w:r>
      <w:r>
        <w:rPr>
          <w:rFonts w:ascii="Times New Roman" w:hAnsi="Times New Roman" w:cs="Times New Roman" w:eastAsia="Times New Roman" w:hint="default"/>
        </w:rPr>
        <w:t>SaaS</w:t>
      </w:r>
      <w:r>
        <w:rPr/>
        <w:t>行业的发展趋势与技术变迁的影响。</w:t>
      </w:r>
    </w:p>
    <w:p>
      <w:pPr>
        <w:pStyle w:val="BodyText"/>
        <w:spacing w:line="316" w:lineRule="auto" w:before="5"/>
        <w:ind w:right="1032" w:firstLine="360"/>
        <w:jc w:val="left"/>
      </w:pPr>
      <w:r>
        <w:rPr>
          <w:spacing w:val="-4"/>
        </w:rPr>
        <w:t>威富通在移动支付软件服务行业具有品牌影响力，是细分行业内的优势企业，在移动支付软件服务业方面具有技术优势。</w:t>
      </w:r>
      <w:r>
        <w:rPr/>
        <w:t> 由于威富通的先发优势和技术优势较为明显，威富通的在该细分市场的领先地位明显。</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2"/>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00" w:lineRule="auto" w:before="25"/>
        <w:ind w:left="514" w:right="1032"/>
        <w:jc w:val="left"/>
      </w:pPr>
      <w:r>
        <w:rPr>
          <w:rFonts w:ascii="Times New Roman" w:hAnsi="Times New Roman" w:cs="Times New Roman" w:eastAsia="Times New Roman" w:hint="default"/>
        </w:rPr>
        <w:t>1</w:t>
      </w:r>
      <w:r>
        <w:rPr/>
        <w:t>、领先的技术优势和持续的创新能力 多年的持续技术创新成就了公司领先的技术水平。公司拥有</w:t>
      </w:r>
      <w:r>
        <w:rPr>
          <w:rFonts w:ascii="Times New Roman" w:hAnsi="Times New Roman" w:cs="Times New Roman" w:eastAsia="Times New Roman" w:hint="default"/>
        </w:rPr>
        <w:t>30</w:t>
      </w:r>
      <w:r>
        <w:rPr/>
        <w:t>余项发明专利及多项专有技术，</w:t>
      </w:r>
      <w:r>
        <w:rPr>
          <w:rFonts w:ascii="Times New Roman" w:hAnsi="Times New Roman" w:cs="Times New Roman" w:eastAsia="Times New Roman" w:hint="default"/>
        </w:rPr>
        <w:t>2018</w:t>
      </w:r>
      <w:r>
        <w:rPr/>
        <w:t>年，江苏华峰超纤、</w:t>
      </w:r>
    </w:p>
    <w:p>
      <w:pPr>
        <w:pStyle w:val="BodyText"/>
        <w:spacing w:line="300" w:lineRule="auto" w:before="13"/>
        <w:ind w:right="1139"/>
        <w:jc w:val="both"/>
      </w:pPr>
      <w:r>
        <w:rPr/>
        <w:t>上海华峰超纤分别自主申请了</w:t>
      </w:r>
      <w:r>
        <w:rPr>
          <w:rFonts w:ascii="Times New Roman" w:hAnsi="Times New Roman" w:cs="Times New Roman" w:eastAsia="Times New Roman" w:hint="default"/>
        </w:rPr>
        <w:t>8</w:t>
      </w:r>
      <w:r>
        <w:rPr/>
        <w:t>项专利；上海华峰超纤参与制定了多项国家标准、行业标准；江苏华峰超纤被认定为</w:t>
      </w:r>
      <w:r>
        <w:rPr>
          <w:rFonts w:ascii="Times New Roman" w:hAnsi="Times New Roman" w:cs="Times New Roman" w:eastAsia="Times New Roman" w:hint="default"/>
        </w:rPr>
        <w:t>2018</w:t>
      </w:r>
      <w:r>
        <w:rPr/>
        <w:t>年 省级高新技术企业，南通市工程技术研究中心（中心名称：南通市（华峰）超纤材料工程技术研究中心）。</w:t>
      </w:r>
      <w:r>
        <w:rPr>
          <w:rFonts w:ascii="Times New Roman" w:hAnsi="Times New Roman" w:cs="Times New Roman" w:eastAsia="Times New Roman" w:hint="default"/>
        </w:rPr>
        <w:t>“</w:t>
      </w:r>
      <w:r>
        <w:rPr/>
        <w:t>定岛超细纤维 材料高效制备技术</w:t>
      </w:r>
      <w:r>
        <w:rPr>
          <w:rFonts w:ascii="Times New Roman" w:hAnsi="Times New Roman" w:cs="Times New Roman" w:eastAsia="Times New Roman" w:hint="default"/>
        </w:rPr>
        <w:t>”</w:t>
      </w:r>
      <w:r>
        <w:rPr/>
        <w:t>获得中国纺织工业联合会科学技术奖</w:t>
      </w:r>
      <w:r>
        <w:rPr>
          <w:rFonts w:ascii="Times New Roman" w:hAnsi="Times New Roman" w:cs="Times New Roman" w:eastAsia="Times New Roman" w:hint="default"/>
        </w:rPr>
        <w:t>“</w:t>
      </w:r>
      <w:r>
        <w:rPr/>
        <w:t>三等奖</w:t>
      </w:r>
      <w:r>
        <w:rPr>
          <w:rFonts w:ascii="Times New Roman" w:hAnsi="Times New Roman" w:cs="Times New Roman" w:eastAsia="Times New Roman" w:hint="default"/>
        </w:rPr>
        <w:t>”</w:t>
      </w:r>
      <w:r>
        <w:rPr/>
        <w:t>。</w:t>
      </w:r>
    </w:p>
    <w:p>
      <w:pPr>
        <w:pStyle w:val="BodyText"/>
        <w:spacing w:line="319" w:lineRule="auto" w:before="13"/>
        <w:ind w:right="1131" w:firstLine="360"/>
        <w:jc w:val="both"/>
      </w:pPr>
      <w:r>
        <w:rPr>
          <w:spacing w:val="-2"/>
        </w:rPr>
        <w:t>公司管理层非常重视技术研发工作，在多方面对公司技术研发给予充分的支持，同时，各部门也积极配合，使公司的研</w:t>
      </w:r>
      <w:r>
        <w:rPr/>
        <w:t> </w:t>
      </w:r>
      <w:r>
        <w:rPr>
          <w:spacing w:val="-2"/>
        </w:rPr>
        <w:t>发团队在准确把握市场需求、调整产品研发思路方面具有领先优势，对国内外同行业的技术发展动态拥有较强的敏锐度和前</w:t>
      </w:r>
      <w:r>
        <w:rPr>
          <w:spacing w:val="-64"/>
        </w:rPr>
        <w:t> </w:t>
      </w:r>
      <w:r>
        <w:rPr>
          <w:spacing w:val="-64"/>
        </w:rPr>
      </w:r>
      <w:r>
        <w:rPr/>
        <w:t>瞻性。</w:t>
      </w:r>
    </w:p>
    <w:p>
      <w:pPr>
        <w:pStyle w:val="BodyText"/>
        <w:spacing w:line="240" w:lineRule="auto" w:before="17"/>
        <w:ind w:left="514" w:right="1032"/>
        <w:jc w:val="left"/>
      </w:pPr>
      <w:r>
        <w:rPr>
          <w:rFonts w:ascii="Times New Roman" w:hAnsi="Times New Roman" w:cs="Times New Roman" w:eastAsia="Times New Roman" w:hint="default"/>
        </w:rPr>
        <w:t>2018</w:t>
      </w:r>
      <w:r>
        <w:rPr/>
        <w:t>年，公司专利授权情况如下表：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622"/>
        <w:gridCol w:w="2790"/>
        <w:gridCol w:w="1689"/>
        <w:gridCol w:w="1262"/>
        <w:gridCol w:w="1431"/>
        <w:gridCol w:w="1051"/>
      </w:tblGrid>
      <w:tr>
        <w:trPr>
          <w:trHeight w:val="427"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专利号</w:t>
            </w:r>
            <w:r>
              <w:rPr>
                <w:rFonts w:ascii="宋体" w:hAnsi="宋体" w:cs="宋体" w:eastAsia="宋体" w:hint="default"/>
                <w:sz w:val="18"/>
                <w:szCs w:val="18"/>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1" w:right="0"/>
              <w:jc w:val="left"/>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r>
      <w:tr>
        <w:trPr>
          <w:trHeight w:val="73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57" w:right="36" w:hanging="720"/>
              <w:jc w:val="left"/>
              <w:rPr>
                <w:rFonts w:ascii="宋体" w:hAnsi="宋体" w:cs="宋体" w:eastAsia="宋体" w:hint="default"/>
                <w:sz w:val="18"/>
                <w:szCs w:val="18"/>
              </w:rPr>
            </w:pPr>
            <w:r>
              <w:rPr>
                <w:rFonts w:ascii="宋体" w:hAnsi="宋体" w:cs="宋体" w:eastAsia="宋体" w:hint="default"/>
                <w:sz w:val="18"/>
                <w:szCs w:val="18"/>
              </w:rPr>
              <w:t>超细纤维合成革用易染色聚氨酯树 脂及其制备方法</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ZL201510971522.0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Times New Roman" w:hAnsi="Times New Roman" w:cs="Times New Roman" w:eastAsia="Times New Roman" w:hint="default"/>
                <w:sz w:val="18"/>
                <w:szCs w:val="18"/>
              </w:rPr>
            </w:pPr>
            <w:r>
              <w:rPr>
                <w:rFonts w:ascii="Times New Roman"/>
                <w:sz w:val="18"/>
              </w:rPr>
              <w:t>2015.12.22</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2018.2.27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73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67" w:right="36" w:hanging="630"/>
              <w:jc w:val="left"/>
              <w:rPr>
                <w:rFonts w:ascii="宋体" w:hAnsi="宋体" w:cs="宋体" w:eastAsia="宋体" w:hint="default"/>
                <w:sz w:val="18"/>
                <w:szCs w:val="18"/>
              </w:rPr>
            </w:pPr>
            <w:r>
              <w:rPr>
                <w:rFonts w:ascii="宋体" w:hAnsi="宋体" w:cs="宋体" w:eastAsia="宋体" w:hint="default"/>
                <w:sz w:val="18"/>
                <w:szCs w:val="18"/>
              </w:rPr>
              <w:t>用于绒面超细纤维合成革的环保型 防虹吸后整理方法</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ZL201510785711.9</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Times New Roman" w:hAnsi="Times New Roman" w:cs="Times New Roman" w:eastAsia="Times New Roman" w:hint="default"/>
                <w:sz w:val="18"/>
                <w:szCs w:val="18"/>
              </w:rPr>
            </w:pPr>
            <w:r>
              <w:rPr>
                <w:rFonts w:ascii="Times New Roman"/>
                <w:sz w:val="18"/>
              </w:rPr>
              <w:t>2015.11.16</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2018.1.19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6"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仿牛皮超纤合成革及其制造方法</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ZL201510974675.0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2015.12.22</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2018.1.19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73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937" w:right="36" w:hanging="900"/>
              <w:jc w:val="left"/>
              <w:rPr>
                <w:rFonts w:ascii="宋体" w:hAnsi="宋体" w:cs="宋体" w:eastAsia="宋体" w:hint="default"/>
                <w:sz w:val="18"/>
                <w:szCs w:val="18"/>
              </w:rPr>
            </w:pPr>
            <w:r>
              <w:rPr>
                <w:rFonts w:ascii="宋体" w:hAnsi="宋体" w:cs="宋体" w:eastAsia="宋体" w:hint="default"/>
                <w:sz w:val="18"/>
                <w:szCs w:val="18"/>
              </w:rPr>
              <w:t>户外用防水抗菌超细纤维合成革及 其整理方法</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ZL201611039253.5</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Times New Roman" w:hAnsi="Times New Roman" w:cs="Times New Roman" w:eastAsia="Times New Roman" w:hint="default"/>
                <w:sz w:val="18"/>
                <w:szCs w:val="18"/>
              </w:rPr>
            </w:pPr>
            <w:r>
              <w:rPr>
                <w:rFonts w:ascii="Times New Roman"/>
                <w:sz w:val="18"/>
              </w:rPr>
              <w:t>2016.11.21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2018.10.26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739"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937" w:right="36" w:hanging="900"/>
              <w:jc w:val="left"/>
              <w:rPr>
                <w:rFonts w:ascii="宋体" w:hAnsi="宋体" w:cs="宋体" w:eastAsia="宋体" w:hint="default"/>
                <w:sz w:val="18"/>
                <w:szCs w:val="18"/>
              </w:rPr>
            </w:pPr>
            <w:r>
              <w:rPr>
                <w:rFonts w:ascii="宋体" w:hAnsi="宋体" w:cs="宋体" w:eastAsia="宋体" w:hint="default"/>
                <w:sz w:val="18"/>
                <w:szCs w:val="18"/>
              </w:rPr>
              <w:t>柔软耐刮的定岛超细纤维绒面革及 其制备方法</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ZL201610832544.3</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2" w:right="0"/>
              <w:jc w:val="left"/>
              <w:rPr>
                <w:rFonts w:ascii="Times New Roman" w:hAnsi="Times New Roman" w:cs="Times New Roman" w:eastAsia="Times New Roman" w:hint="default"/>
                <w:sz w:val="18"/>
                <w:szCs w:val="18"/>
              </w:rPr>
            </w:pPr>
            <w:r>
              <w:rPr>
                <w:rFonts w:ascii="Times New Roman"/>
                <w:sz w:val="18"/>
              </w:rPr>
              <w:t>2016.9.19</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2018.10.19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7" w:hRule="exact"/>
        </w:trPr>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婴幼儿防湿保暖肚兜</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ZL201721355535.6</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Times New Roman" w:hAnsi="Times New Roman" w:cs="Times New Roman" w:eastAsia="Times New Roman" w:hint="default"/>
                <w:sz w:val="18"/>
                <w:szCs w:val="18"/>
              </w:rPr>
            </w:pPr>
            <w:r>
              <w:rPr>
                <w:rFonts w:ascii="Times New Roman"/>
                <w:sz w:val="18"/>
              </w:rPr>
              <w:t>2017.10.20</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2018.6.1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bl>
    <w:p>
      <w:pPr>
        <w:pStyle w:val="BodyText"/>
        <w:spacing w:line="300" w:lineRule="auto" w:before="10"/>
        <w:ind w:left="514" w:right="1032"/>
        <w:jc w:val="left"/>
      </w:pPr>
      <w:r>
        <w:rPr>
          <w:rFonts w:ascii="Times New Roman" w:hAnsi="Times New Roman" w:cs="Times New Roman" w:eastAsia="Times New Roman" w:hint="default"/>
        </w:rPr>
        <w:t>2</w:t>
      </w:r>
      <w:r>
        <w:rPr/>
        <w:t>、稳定可靠的产品品质和品牌竞争力 </w:t>
      </w:r>
      <w:r>
        <w:rPr>
          <w:spacing w:val="-2"/>
        </w:rPr>
        <w:t>在多年的发展中，公司产品品质稳定可靠，并已在行业内树立起了具有影响力的企业品牌形象，品牌优势带来市场竞争</w:t>
      </w:r>
    </w:p>
    <w:p>
      <w:pPr>
        <w:pStyle w:val="BodyText"/>
        <w:spacing w:line="309" w:lineRule="auto" w:before="32"/>
        <w:ind w:left="514" w:right="1032" w:hanging="360"/>
        <w:jc w:val="left"/>
      </w:pPr>
      <w:r>
        <w:rPr/>
        <w:t>力，近年来，公司产销量逐年增长，市场占有率不断提高，充分体现了客户对公司产品的认可程度。 </w:t>
      </w:r>
      <w:r>
        <w:rPr>
          <w:rFonts w:ascii="Times New Roman" w:hAnsi="Times New Roman" w:cs="Times New Roman" w:eastAsia="Times New Roman" w:hint="default"/>
        </w:rPr>
        <w:t>3</w:t>
      </w:r>
      <w:r>
        <w:rPr/>
        <w:t>、科学合理的经营管理体系 </w:t>
      </w:r>
      <w:r>
        <w:rPr>
          <w:spacing w:val="-4"/>
        </w:rPr>
        <w:t>通过多年的持续发展，公司已建立了适应公司发展的经营管理体系，并不断借鉴国内外先进的企业管理经验，营造和谐、</w:t>
      </w:r>
    </w:p>
    <w:p>
      <w:pPr>
        <w:pStyle w:val="BodyText"/>
        <w:spacing w:line="240" w:lineRule="auto" w:before="24"/>
        <w:ind w:right="0"/>
        <w:jc w:val="left"/>
      </w:pPr>
      <w:r>
        <w:rPr/>
        <w:t>高效的企业氛围，积极实施精益生产、目标管理等先进的管理方法和现代化的管理技术，促进公司经营管理体系人性化、科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t>学化、规范化。通过信息化手段和实干能干的管理理念，有效提高内部信息反馈速度，优化业务流程，提高快速反应能力， 充分有效地组织全公司资源为客户服务，提高客户满意度。</w:t>
      </w:r>
    </w:p>
    <w:p>
      <w:pPr>
        <w:pStyle w:val="BodyText"/>
        <w:spacing w:line="300" w:lineRule="auto" w:before="19"/>
        <w:ind w:left="514" w:right="1122"/>
        <w:jc w:val="left"/>
        <w:rPr>
          <w:rFonts w:ascii="宋体" w:hAnsi="宋体" w:cs="宋体" w:eastAsia="宋体" w:hint="default"/>
        </w:rPr>
      </w:pPr>
      <w:r>
        <w:rPr>
          <w:rFonts w:ascii="Times New Roman" w:hAnsi="Times New Roman" w:cs="Times New Roman" w:eastAsia="Times New Roman" w:hint="default"/>
        </w:rPr>
        <w:t>4</w:t>
      </w:r>
      <w:r>
        <w:rPr/>
        <w:t>、威富通的竞争优势 威富通是全球领先的移动支付综合解决方案供应商，先后为国内包括兴业银行、中信银行、招商银行、光大银行等</w:t>
      </w:r>
      <w:r>
        <w:rPr>
          <w:rFonts w:ascii="宋体" w:hAnsi="宋体" w:cs="宋体" w:eastAsia="宋体" w:hint="default"/>
        </w:rPr>
        <w:t>200</w:t>
      </w:r>
    </w:p>
    <w:p>
      <w:pPr>
        <w:pStyle w:val="BodyText"/>
        <w:spacing w:line="316" w:lineRule="auto" w:before="32"/>
        <w:ind w:right="1032"/>
        <w:jc w:val="left"/>
      </w:pPr>
      <w:r>
        <w:rPr>
          <w:spacing w:val="-2"/>
        </w:rPr>
        <w:t>多家银行以及海外</w:t>
      </w:r>
      <w:r>
        <w:rPr>
          <w:rFonts w:ascii="宋体" w:hAnsi="宋体" w:cs="宋体" w:eastAsia="宋体" w:hint="default"/>
          <w:spacing w:val="-2"/>
        </w:rPr>
        <w:t>5</w:t>
      </w:r>
      <w:r>
        <w:rPr>
          <w:spacing w:val="-2"/>
        </w:rPr>
        <w:t>大洲</w:t>
      </w:r>
      <w:r>
        <w:rPr>
          <w:rFonts w:ascii="宋体" w:hAnsi="宋体" w:cs="宋体" w:eastAsia="宋体" w:hint="default"/>
          <w:spacing w:val="-2"/>
        </w:rPr>
        <w:t>40</w:t>
      </w:r>
      <w:r>
        <w:rPr>
          <w:spacing w:val="-2"/>
        </w:rPr>
        <w:t>多个国家与地区的银行或收单机构提供移动支付系统开发及运营解决方案，同时提供电子会员卡、</w:t>
      </w:r>
      <w:r>
        <w:rPr>
          <w:spacing w:val="-60"/>
        </w:rPr>
        <w:t> </w:t>
      </w:r>
      <w:r>
        <w:rPr>
          <w:spacing w:val="-60"/>
        </w:rPr>
      </w:r>
      <w:r>
        <w:rPr>
          <w:spacing w:val="-2"/>
        </w:rPr>
        <w:t>电子发票、移动广告等基于支付的增值服务及行业应用解决方案。</w:t>
      </w:r>
      <w:r>
        <w:rPr>
          <w:rFonts w:ascii="宋体" w:hAnsi="宋体" w:cs="宋体" w:eastAsia="宋体" w:hint="default"/>
          <w:spacing w:val="-2"/>
        </w:rPr>
        <w:t>2016</w:t>
      </w:r>
      <w:r>
        <w:rPr>
          <w:spacing w:val="-2"/>
        </w:rPr>
        <w:t>年以来陆续被评为是国家级高新技术企业、双软认证</w:t>
      </w:r>
      <w:r>
        <w:rPr>
          <w:spacing w:val="-61"/>
        </w:rPr>
        <w:t> </w:t>
      </w:r>
      <w:r>
        <w:rPr>
          <w:spacing w:val="-61"/>
        </w:rPr>
      </w:r>
      <w:r>
        <w:rPr>
          <w:spacing w:val="-2"/>
        </w:rPr>
        <w:t>企业，深圳市软件收入百强企业，南山区纳税百强企业。</w:t>
      </w:r>
      <w:r>
        <w:rPr>
          <w:rFonts w:ascii="宋体" w:hAnsi="宋体" w:cs="宋体" w:eastAsia="宋体" w:hint="default"/>
          <w:spacing w:val="-2"/>
        </w:rPr>
        <w:t>2018</w:t>
      </w:r>
      <w:r>
        <w:rPr>
          <w:spacing w:val="-2"/>
        </w:rPr>
        <w:t>年，威富通共有近</w:t>
      </w:r>
      <w:r>
        <w:rPr>
          <w:rFonts w:ascii="宋体" w:hAnsi="宋体" w:cs="宋体" w:eastAsia="宋体" w:hint="default"/>
          <w:spacing w:val="-2"/>
        </w:rPr>
        <w:t>20</w:t>
      </w:r>
      <w:r>
        <w:rPr>
          <w:spacing w:val="-2"/>
        </w:rPr>
        <w:t>项软件著作权证完成开发认证，并申请</w:t>
      </w:r>
      <w:r>
        <w:rPr>
          <w:rFonts w:ascii="宋体" w:hAnsi="宋体" w:cs="宋体" w:eastAsia="宋体" w:hint="default"/>
          <w:spacing w:val="-2"/>
        </w:rPr>
        <w:t>10</w:t>
      </w:r>
      <w:r>
        <w:rPr>
          <w:rFonts w:ascii="宋体" w:hAnsi="宋体" w:cs="宋体" w:eastAsia="宋体" w:hint="default"/>
          <w:spacing w:val="-58"/>
        </w:rPr>
        <w:t> </w:t>
      </w:r>
      <w:r>
        <w:rPr/>
        <w:t>余项国家发明专利、</w:t>
      </w:r>
      <w:r>
        <w:rPr>
          <w:rFonts w:ascii="宋体" w:hAnsi="宋体" w:cs="宋体" w:eastAsia="宋体" w:hint="default"/>
        </w:rPr>
        <w:t>7</w:t>
      </w:r>
      <w:r>
        <w:rPr/>
        <w:t>项</w:t>
      </w:r>
      <w:r>
        <w:rPr>
          <w:rFonts w:ascii="宋体" w:hAnsi="宋体" w:cs="宋体" w:eastAsia="宋体" w:hint="default"/>
        </w:rPr>
        <w:t>PCT</w:t>
      </w:r>
      <w:r>
        <w:rPr/>
        <w:t>国际专利。</w:t>
      </w:r>
    </w:p>
    <w:p>
      <w:pPr>
        <w:pStyle w:val="BodyText"/>
        <w:spacing w:line="316" w:lineRule="auto" w:before="19"/>
        <w:ind w:right="1024" w:firstLine="360"/>
        <w:jc w:val="left"/>
      </w:pPr>
      <w:r>
        <w:rPr/>
        <w:t>威富通专注于移动支付服务平台建设，平台已达到了金融级别的安全和处理能力。</w:t>
      </w:r>
      <w:r>
        <w:rPr>
          <w:rFonts w:ascii="宋体" w:hAnsi="宋体" w:cs="宋体" w:eastAsia="宋体" w:hint="default"/>
        </w:rPr>
        <w:t>2017</w:t>
      </w:r>
      <w:r>
        <w:rPr/>
        <w:t>年</w:t>
      </w:r>
      <w:r>
        <w:rPr>
          <w:rFonts w:ascii="宋体" w:hAnsi="宋体" w:cs="宋体" w:eastAsia="宋体" w:hint="default"/>
        </w:rPr>
        <w:t>6</w:t>
      </w:r>
      <w:r>
        <w:rPr/>
        <w:t>月，威富通移动支付云平台 获得</w:t>
      </w:r>
      <w:r>
        <w:rPr>
          <w:rFonts w:ascii="宋体" w:hAnsi="宋体" w:cs="宋体" w:eastAsia="宋体" w:hint="default"/>
        </w:rPr>
        <w:t>PCI</w:t>
      </w:r>
      <w:r>
        <w:rPr>
          <w:rFonts w:ascii="宋体" w:hAnsi="宋体" w:cs="宋体" w:eastAsia="宋体" w:hint="default"/>
          <w:spacing w:val="-41"/>
        </w:rPr>
        <w:t> </w:t>
      </w:r>
      <w:r>
        <w:rPr>
          <w:rFonts w:ascii="宋体" w:hAnsi="宋体" w:cs="宋体" w:eastAsia="宋体" w:hint="default"/>
        </w:rPr>
        <w:t>DSS</w:t>
      </w:r>
      <w:r>
        <w:rPr>
          <w:rFonts w:ascii="宋体" w:hAnsi="宋体" w:cs="宋体" w:eastAsia="宋体" w:hint="default"/>
          <w:spacing w:val="-41"/>
        </w:rPr>
        <w:t> </w:t>
      </w:r>
      <w:r>
        <w:rPr>
          <w:rFonts w:ascii="宋体" w:hAnsi="宋体" w:cs="宋体" w:eastAsia="宋体" w:hint="default"/>
        </w:rPr>
        <w:t>V3.2</w:t>
      </w:r>
      <w:r>
        <w:rPr/>
        <w:t>认证，并于</w:t>
      </w:r>
      <w:r>
        <w:rPr>
          <w:rFonts w:ascii="宋体" w:hAnsi="宋体" w:cs="宋体" w:eastAsia="宋体" w:hint="default"/>
        </w:rPr>
        <w:t>2018</w:t>
      </w:r>
      <w:r>
        <w:rPr/>
        <w:t>年通过复审，该项认证由全球知名的数据安全评估机构艾特赛克（</w:t>
      </w:r>
      <w:r>
        <w:rPr>
          <w:rFonts w:ascii="宋体" w:hAnsi="宋体" w:cs="宋体" w:eastAsia="宋体" w:hint="default"/>
        </w:rPr>
        <w:t>ATSEC</w:t>
      </w:r>
      <w:r>
        <w:rPr/>
        <w:t>）公司评估通过。 </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月，专业服务机构毕马威（</w:t>
      </w:r>
      <w:r>
        <w:rPr>
          <w:rFonts w:ascii="宋体" w:hAnsi="宋体" w:cs="宋体" w:eastAsia="宋体" w:hint="default"/>
          <w:spacing w:val="-3"/>
        </w:rPr>
        <w:t>KPMG</w:t>
      </w:r>
      <w:r>
        <w:rPr>
          <w:spacing w:val="-3"/>
        </w:rPr>
        <w:t>）发布中国金融科技</w:t>
      </w:r>
      <w:r>
        <w:rPr>
          <w:rFonts w:ascii="宋体" w:hAnsi="宋体" w:cs="宋体" w:eastAsia="宋体" w:hint="default"/>
          <w:spacing w:val="-3"/>
        </w:rPr>
        <w:t>50</w:t>
      </w:r>
      <w:r>
        <w:rPr>
          <w:spacing w:val="-3"/>
        </w:rPr>
        <w:t>强榜单及报告，该榜单系金融科技行业内极具影响力的奖项，</w:t>
      </w:r>
      <w:r>
        <w:rPr>
          <w:spacing w:val="-83"/>
        </w:rPr>
        <w:t> </w:t>
      </w:r>
      <w:r>
        <w:rPr>
          <w:spacing w:val="-83"/>
        </w:rPr>
      </w:r>
      <w:r>
        <w:rPr>
          <w:spacing w:val="-2"/>
        </w:rPr>
        <w:t>受到业界的广泛关注。威富通凭借在移动支付领域的智能创新和服务能力，荣登</w:t>
      </w:r>
      <w:r>
        <w:rPr>
          <w:rFonts w:ascii="宋体" w:hAnsi="宋体" w:cs="宋体" w:eastAsia="宋体" w:hint="default"/>
          <w:spacing w:val="-2"/>
        </w:rPr>
        <w:t>50</w:t>
      </w:r>
      <w:r>
        <w:rPr>
          <w:spacing w:val="-2"/>
        </w:rPr>
        <w:t>强企业榜单。同年，威富通“区块链电子</w:t>
      </w:r>
      <w:r>
        <w:rPr>
          <w:spacing w:val="-64"/>
        </w:rPr>
        <w:t> </w:t>
      </w:r>
      <w:r>
        <w:rPr>
          <w:spacing w:val="-64"/>
        </w:rPr>
      </w:r>
      <w:r>
        <w:rPr>
          <w:spacing w:val="-4"/>
        </w:rPr>
        <w:t>发票平台”项目还获得了深圳市软件行业协会颁发的“</w:t>
      </w:r>
      <w:r>
        <w:rPr>
          <w:rFonts w:ascii="宋体" w:hAnsi="宋体" w:cs="宋体" w:eastAsia="宋体" w:hint="default"/>
          <w:spacing w:val="-4"/>
        </w:rPr>
        <w:t>2018</w:t>
      </w:r>
      <w:r>
        <w:rPr>
          <w:spacing w:val="-4"/>
        </w:rPr>
        <w:t>年度软件行业创新产品奖”。作为国内金融科技行业的杰出代表，</w:t>
      </w:r>
      <w:r>
        <w:rPr>
          <w:spacing w:val="-37"/>
        </w:rPr>
        <w:t> </w:t>
      </w:r>
      <w:r>
        <w:rPr>
          <w:spacing w:val="-37"/>
        </w:rPr>
      </w:r>
      <w:r>
        <w:rPr/>
        <w:t>威富通强大以及不断外延的金融科技创新能力受到了行业一致肯定。</w:t>
      </w:r>
    </w:p>
    <w:p>
      <w:pPr>
        <w:pStyle w:val="BodyText"/>
        <w:spacing w:line="316" w:lineRule="auto" w:before="19"/>
        <w:ind w:right="1035" w:firstLine="360"/>
        <w:jc w:val="left"/>
      </w:pPr>
      <w:r>
        <w:rPr>
          <w:spacing w:val="-2"/>
        </w:rPr>
        <w:t>除了拥有自主知识产权与专利的移动支付云服务平台软件系统外，威富通还在腾讯云的基础上，投入巨资建设了自己的</w:t>
      </w:r>
      <w:r>
        <w:rPr/>
        <w:t> 三地四中心的数据云服务中心，数据库分别部署在北京、上海、广州三个机房，系统使用了超过</w:t>
      </w:r>
      <w:r>
        <w:rPr>
          <w:rFonts w:ascii="宋体" w:hAnsi="宋体" w:cs="宋体" w:eastAsia="宋体" w:hint="default"/>
        </w:rPr>
        <w:t>300</w:t>
      </w:r>
      <w:r>
        <w:rPr/>
        <w:t>台高性能服务器。目前 </w:t>
      </w:r>
      <w:r>
        <w:rPr>
          <w:spacing w:val="-3"/>
        </w:rPr>
        <w:t>系统容量每秒最高订单处理量理论峰值达到</w:t>
      </w:r>
      <w:r>
        <w:rPr>
          <w:rFonts w:ascii="宋体" w:hAnsi="宋体" w:cs="宋体" w:eastAsia="宋体" w:hint="default"/>
          <w:spacing w:val="-3"/>
        </w:rPr>
        <w:t>10,000</w:t>
      </w:r>
      <w:r>
        <w:rPr>
          <w:spacing w:val="-3"/>
        </w:rPr>
        <w:t>笔，日订单处理量理论峰值可达到</w:t>
      </w:r>
      <w:r>
        <w:rPr>
          <w:rFonts w:ascii="宋体" w:hAnsi="宋体" w:cs="宋体" w:eastAsia="宋体" w:hint="default"/>
          <w:spacing w:val="-3"/>
        </w:rPr>
        <w:t>1</w:t>
      </w:r>
      <w:r>
        <w:rPr>
          <w:spacing w:val="-3"/>
        </w:rPr>
        <w:t>亿笔，并提供</w:t>
      </w:r>
      <w:r>
        <w:rPr>
          <w:rFonts w:ascii="宋体" w:hAnsi="宋体" w:cs="宋体" w:eastAsia="宋体" w:hint="default"/>
          <w:spacing w:val="-3"/>
        </w:rPr>
        <w:t>T</w:t>
      </w:r>
      <w:r>
        <w:rPr>
          <w:spacing w:val="-3"/>
        </w:rPr>
        <w:t>级高防防护</w:t>
      </w:r>
      <w:r>
        <w:rPr>
          <w:rFonts w:ascii="宋体" w:hAnsi="宋体" w:cs="宋体" w:eastAsia="宋体" w:hint="default"/>
          <w:spacing w:val="-3"/>
        </w:rPr>
        <w:t>DD0S</w:t>
      </w:r>
      <w:r>
        <w:rPr>
          <w:spacing w:val="-3"/>
        </w:rPr>
        <w:t>等攻击。</w:t>
      </w:r>
      <w:r>
        <w:rPr>
          <w:spacing w:val="-81"/>
        </w:rPr>
        <w:t> </w:t>
      </w:r>
      <w:r>
        <w:rPr/>
        <w:t>未来随着业务的快速发展，威富通还将继续加大投入，扩充数据中心的交易处理能力。</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032"/>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2"/>
        <w:jc w:val="both"/>
      </w:pPr>
      <w:r>
        <w:rPr>
          <w:rFonts w:ascii="Times New Roman" w:hAnsi="Times New Roman" w:cs="Times New Roman" w:eastAsia="Times New Roman" w:hint="default"/>
          <w:spacing w:val="-2"/>
        </w:rPr>
        <w:t>2018</w:t>
      </w:r>
      <w:r>
        <w:rPr>
          <w:spacing w:val="-2"/>
        </w:rPr>
        <w:t>年，面对中美贸易战持续发酵、国内宏观经济持续走弱等严峻形势下，我们在逆境中攻坚克难，取得了来之不易的</w:t>
      </w:r>
      <w:r>
        <w:rPr/>
        <w:t> 成绩。</w:t>
      </w:r>
      <w:r>
        <w:rPr>
          <w:rFonts w:ascii="Times New Roman" w:hAnsi="Times New Roman" w:cs="Times New Roman" w:eastAsia="Times New Roman" w:hint="default"/>
        </w:rPr>
        <w:t>2018</w:t>
      </w:r>
      <w:r>
        <w:rPr/>
        <w:t>年，实现主营业务收入</w:t>
      </w:r>
      <w:r>
        <w:rPr>
          <w:rFonts w:ascii="Times New Roman" w:hAnsi="Times New Roman" w:cs="Times New Roman" w:eastAsia="Times New Roman" w:hint="default"/>
        </w:rPr>
        <w:t>3,065,127,058.50</w:t>
      </w:r>
      <w:r>
        <w:rPr/>
        <w:t>元，同比增长</w:t>
      </w:r>
      <w:r>
        <w:rPr>
          <w:rFonts w:ascii="Times New Roman" w:hAnsi="Times New Roman" w:cs="Times New Roman" w:eastAsia="Times New Roman" w:hint="default"/>
        </w:rPr>
        <w:t>22.33%</w:t>
      </w:r>
      <w:r>
        <w:rPr/>
        <w:t>；实现归属上市公司股东净利润</w:t>
      </w:r>
      <w:r>
        <w:rPr>
          <w:rFonts w:ascii="Times New Roman" w:hAnsi="Times New Roman" w:cs="Times New Roman" w:eastAsia="Times New Roman" w:hint="default"/>
        </w:rPr>
        <w:t>295,421,303.89</w:t>
      </w:r>
      <w:r>
        <w:rPr/>
        <w:t>元， 同比增长约</w:t>
      </w:r>
      <w:r>
        <w:rPr>
          <w:rFonts w:ascii="Times New Roman" w:hAnsi="Times New Roman" w:cs="Times New Roman" w:eastAsia="Times New Roman" w:hint="default"/>
        </w:rPr>
        <w:t>18.50%</w:t>
      </w:r>
      <w:r>
        <w:rPr/>
        <w:t>。</w:t>
      </w:r>
    </w:p>
    <w:p>
      <w:pPr>
        <w:pStyle w:val="BodyText"/>
        <w:spacing w:line="300" w:lineRule="auto" w:before="13"/>
        <w:ind w:right="1041" w:firstLine="360"/>
        <w:jc w:val="both"/>
      </w:pPr>
      <w:r>
        <w:rPr>
          <w:spacing w:val="-1"/>
        </w:rPr>
        <w:t>华峰超纤自成立以来，一直专注于超纤材料的研发、生产和销售，拥有包括革用</w:t>
      </w:r>
      <w:r>
        <w:rPr>
          <w:rFonts w:ascii="Times New Roman" w:hAnsi="Times New Roman" w:cs="Times New Roman" w:eastAsia="Times New Roman" w:hint="default"/>
          <w:spacing w:val="-1"/>
        </w:rPr>
        <w:t>PU</w:t>
      </w:r>
      <w:r>
        <w:rPr>
          <w:spacing w:val="-1"/>
        </w:rPr>
        <w:t>树脂、超细束状纤维纺丝、无纺布、</w:t>
      </w:r>
      <w:r>
        <w:rPr/>
        <w:t> 含浸等以及贴面、染色等所有产品涉及的工艺研发、生产能力。</w:t>
      </w:r>
    </w:p>
    <w:p>
      <w:pPr>
        <w:pStyle w:val="BodyText"/>
        <w:spacing w:line="300" w:lineRule="auto" w:before="31"/>
        <w:ind w:right="1130" w:firstLine="360"/>
        <w:jc w:val="both"/>
      </w:pPr>
      <w:r>
        <w:rPr/>
        <w:t>作为制造业单项冠军示范企业（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年），我们始终专注于超纤材料这一细分市场，多年来精耕细作，坚守主 </w:t>
      </w:r>
      <w:r>
        <w:rPr>
          <w:spacing w:val="-2"/>
        </w:rPr>
        <w:t>业。</w:t>
      </w:r>
      <w:r>
        <w:rPr>
          <w:rFonts w:ascii="Times New Roman" w:hAnsi="Times New Roman" w:cs="Times New Roman" w:eastAsia="Times New Roman" w:hint="default"/>
          <w:spacing w:val="-2"/>
        </w:rPr>
        <w:t>2018</w:t>
      </w:r>
      <w:r>
        <w:rPr>
          <w:spacing w:val="-2"/>
        </w:rPr>
        <w:t>年，上游原材料价格一直居高不下，下游企业又频频遭遇到安监、环保等的严查，同时，又遇到中美贸易战持续发</w:t>
      </w:r>
      <w:r>
        <w:rPr>
          <w:spacing w:val="-63"/>
        </w:rPr>
        <w:t> </w:t>
      </w:r>
      <w:r>
        <w:rPr>
          <w:spacing w:val="-63"/>
        </w:rPr>
      </w:r>
      <w:r>
        <w:rPr>
          <w:spacing w:val="-2"/>
        </w:rPr>
        <w:t>酵、国内宏观经济持续走弱等严峻形势，超纤市场在</w:t>
      </w:r>
      <w:r>
        <w:rPr>
          <w:rFonts w:ascii="Times New Roman" w:hAnsi="Times New Roman" w:cs="Times New Roman" w:eastAsia="Times New Roman" w:hint="default"/>
          <w:spacing w:val="-2"/>
        </w:rPr>
        <w:t>2018</w:t>
      </w:r>
      <w:r>
        <w:rPr>
          <w:spacing w:val="-2"/>
        </w:rPr>
        <w:t>年下半年出现了下滑，</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月，超纤下游行业开始补库存，公</w:t>
      </w:r>
      <w:r>
        <w:rPr>
          <w:spacing w:val="-56"/>
        </w:rPr>
        <w:t> </w:t>
      </w:r>
      <w:r>
        <w:rPr>
          <w:spacing w:val="-56"/>
        </w:rPr>
      </w:r>
      <w:r>
        <w:rPr/>
        <w:t>司的产销量回升并达到了历史最高水平，实现了全年生产经营目标的较好完成，经营业绩稳中有升。</w:t>
      </w:r>
    </w:p>
    <w:p>
      <w:pPr>
        <w:pStyle w:val="BodyText"/>
        <w:spacing w:line="316" w:lineRule="auto" w:before="31"/>
        <w:ind w:left="514" w:right="1032"/>
        <w:jc w:val="left"/>
      </w:pPr>
      <w:r>
        <w:rPr/>
        <w:t>经营业绩方面： </w:t>
      </w:r>
      <w:r>
        <w:rPr>
          <w:spacing w:val="-2"/>
        </w:rPr>
        <w:t>公司注重加强与终端品牌的直接沟通、合作，提高华峰超纤的品牌形象和市场影响力；同时，在新产品的推进方面持续</w:t>
      </w:r>
    </w:p>
    <w:p>
      <w:pPr>
        <w:pStyle w:val="BodyText"/>
        <w:spacing w:line="316" w:lineRule="auto" w:before="19"/>
        <w:ind w:left="514" w:right="4632" w:hanging="360"/>
        <w:jc w:val="left"/>
      </w:pPr>
      <w:r>
        <w:rPr/>
        <w:t>发力，积极拓展市场应用新领域，为未来超纤市场整体容量的增长打下基础。 技术创新方面：</w:t>
      </w:r>
    </w:p>
    <w:p>
      <w:pPr>
        <w:pStyle w:val="BodyText"/>
        <w:spacing w:line="314" w:lineRule="auto" w:before="19"/>
        <w:ind w:right="1042" w:firstLine="360"/>
        <w:jc w:val="left"/>
      </w:pPr>
      <w:r>
        <w:rPr>
          <w:spacing w:val="-2"/>
        </w:rPr>
        <w:t>公司经过十几年的发展，特别是在江苏启东建成投产后，在规模、量产上我们都已遥遥领先国内外同行，公司将在做大</w:t>
      </w:r>
      <w:r>
        <w:rPr/>
        <w:t> </w:t>
      </w:r>
      <w:r>
        <w:rPr>
          <w:spacing w:val="-2"/>
        </w:rPr>
        <w:t>做强企业的基础上进一步将企业做优做精。报告期内，一方面，对现有的生产工艺上进行了优化提升，提高生产效率、降低</w:t>
      </w:r>
      <w:r>
        <w:rPr>
          <w:spacing w:val="-66"/>
        </w:rPr>
        <w:t> </w:t>
      </w:r>
      <w:r>
        <w:rPr>
          <w:spacing w:val="-66"/>
        </w:rPr>
      </w:r>
      <w:r>
        <w:rPr>
          <w:spacing w:val="-1"/>
        </w:rPr>
        <w:t>生产成本，同时提高产品的差异化水平，并计划在未来</w:t>
      </w:r>
      <w:r>
        <w:rPr>
          <w:rFonts w:ascii="Times New Roman" w:hAnsi="Times New Roman" w:cs="Times New Roman" w:eastAsia="Times New Roman" w:hint="default"/>
          <w:spacing w:val="-1"/>
        </w:rPr>
        <w:t>2-3</w:t>
      </w:r>
      <w:r>
        <w:rPr>
          <w:spacing w:val="-1"/>
        </w:rPr>
        <w:t>年逐步扩大新生产工艺的应用规模，以提高经济效益；另一方面，</w:t>
      </w:r>
      <w:r>
        <w:rPr/>
        <w:t> </w:t>
      </w:r>
      <w:r>
        <w:rPr>
          <w:spacing w:val="-2"/>
        </w:rPr>
        <w:t>以低碳、环保、功能性、可回收的发展方向为指导，原创开发新的工艺技术，在报告期内已取得了突破性的进展，这大大提</w:t>
      </w:r>
      <w:r>
        <w:rPr>
          <w:spacing w:val="-68"/>
        </w:rPr>
        <w:t> </w:t>
      </w:r>
      <w:r>
        <w:rPr>
          <w:spacing w:val="-68"/>
        </w:rPr>
      </w:r>
      <w:r>
        <w:rPr/>
        <w:t>升了公司的技术领先优势，我们计划在未来</w:t>
      </w:r>
      <w:r>
        <w:rPr>
          <w:rFonts w:ascii="Times New Roman" w:hAnsi="Times New Roman" w:cs="Times New Roman" w:eastAsia="Times New Roman" w:hint="default"/>
        </w:rPr>
        <w:t>2-3</w:t>
      </w:r>
      <w:r>
        <w:rPr/>
        <w:t>年里使这一新技术使之实现量产，并投放市场。</w:t>
      </w:r>
    </w:p>
    <w:p>
      <w:pPr>
        <w:pStyle w:val="BodyText"/>
        <w:spacing w:line="309" w:lineRule="auto" w:before="1"/>
        <w:ind w:right="1131" w:firstLine="360"/>
        <w:jc w:val="both"/>
      </w:pPr>
      <w:r>
        <w:rPr>
          <w:spacing w:val="-2"/>
        </w:rPr>
        <w:t>公司坚持实施以市场为主导的开发模式和技术领先战略，建立项目为主，全过程改善，全员创新的研发体系。公司高度</w:t>
      </w:r>
      <w:r>
        <w:rPr/>
        <w:t> </w:t>
      </w:r>
      <w:r>
        <w:rPr>
          <w:spacing w:val="-2"/>
        </w:rPr>
        <w:t>重视知识产权的申请和积淀工作，现拥有授权专利</w:t>
      </w:r>
      <w:r>
        <w:rPr>
          <w:rFonts w:ascii="Times New Roman" w:hAnsi="Times New Roman" w:cs="Times New Roman" w:eastAsia="Times New Roman" w:hint="default"/>
          <w:spacing w:val="-2"/>
        </w:rPr>
        <w:t>51</w:t>
      </w:r>
      <w:r>
        <w:rPr>
          <w:spacing w:val="-2"/>
        </w:rPr>
        <w:t>项，其中发明专利</w:t>
      </w:r>
      <w:r>
        <w:rPr>
          <w:rFonts w:ascii="Times New Roman" w:hAnsi="Times New Roman" w:cs="Times New Roman" w:eastAsia="Times New Roman" w:hint="default"/>
          <w:spacing w:val="-2"/>
        </w:rPr>
        <w:t>41</w:t>
      </w:r>
      <w:r>
        <w:rPr>
          <w:spacing w:val="-2"/>
        </w:rPr>
        <w:t>项，实用新型专利</w:t>
      </w:r>
      <w:r>
        <w:rPr>
          <w:rFonts w:ascii="Times New Roman" w:hAnsi="Times New Roman" w:cs="Times New Roman" w:eastAsia="Times New Roman" w:hint="default"/>
          <w:spacing w:val="-2"/>
        </w:rPr>
        <w:t>10</w:t>
      </w:r>
      <w:r>
        <w:rPr>
          <w:spacing w:val="-2"/>
        </w:rPr>
        <w:t>项。同时，公司还及主持和参</w:t>
      </w:r>
      <w:r>
        <w:rPr>
          <w:spacing w:val="-61"/>
        </w:rPr>
        <w:t> </w:t>
      </w:r>
      <w:r>
        <w:rPr>
          <w:spacing w:val="-61"/>
        </w:rPr>
      </w:r>
      <w:r>
        <w:rPr/>
        <w:t>与制定行业标准</w:t>
      </w:r>
      <w:r>
        <w:rPr>
          <w:rFonts w:ascii="Times New Roman" w:hAnsi="Times New Roman" w:cs="Times New Roman" w:eastAsia="Times New Roman" w:hint="default"/>
        </w:rPr>
        <w:t>14</w:t>
      </w:r>
      <w:r>
        <w:rPr/>
        <w:t>项，国家标准</w:t>
      </w:r>
      <w:r>
        <w:rPr>
          <w:rFonts w:ascii="Times New Roman" w:hAnsi="Times New Roman" w:cs="Times New Roman" w:eastAsia="Times New Roman" w:hint="default"/>
        </w:rPr>
        <w:t>3</w:t>
      </w:r>
      <w:r>
        <w:rPr/>
        <w:t>项。</w:t>
      </w:r>
    </w:p>
    <w:p>
      <w:pPr>
        <w:pStyle w:val="BodyText"/>
        <w:spacing w:line="240" w:lineRule="auto" w:before="5"/>
        <w:ind w:left="514" w:right="1032"/>
        <w:jc w:val="left"/>
      </w:pPr>
      <w:r>
        <w:rPr/>
        <w:t>项目建设方面：</w:t>
      </w:r>
    </w:p>
    <w:p>
      <w:pPr>
        <w:pStyle w:val="BodyText"/>
        <w:spacing w:line="240" w:lineRule="auto" w:before="76"/>
        <w:ind w:left="514" w:right="1032"/>
        <w:jc w:val="left"/>
      </w:pPr>
      <w:r>
        <w:rPr/>
        <w:t>（</w:t>
      </w:r>
      <w:r>
        <w:rPr>
          <w:rFonts w:ascii="Times New Roman" w:hAnsi="Times New Roman" w:cs="Times New Roman" w:eastAsia="Times New Roman" w:hint="default"/>
        </w:rPr>
        <w:t>1</w:t>
      </w:r>
      <w:r>
        <w:rPr/>
        <w:t>）江苏启东项目稳步推进，</w:t>
      </w:r>
      <w:r>
        <w:rPr>
          <w:rFonts w:ascii="Times New Roman" w:hAnsi="Times New Roman" w:cs="Times New Roman" w:eastAsia="Times New Roman" w:hint="default"/>
        </w:rPr>
        <w:t>2018</w:t>
      </w:r>
      <w:r>
        <w:rPr/>
        <w:t>年已如期完成</w:t>
      </w:r>
      <w:r>
        <w:rPr>
          <w:rFonts w:ascii="Times New Roman" w:hAnsi="Times New Roman" w:cs="Times New Roman" w:eastAsia="Times New Roman" w:hint="default"/>
        </w:rPr>
        <w:t>7500</w:t>
      </w:r>
      <w:r>
        <w:rPr/>
        <w:t>万米项目建设，并已逐步投产。</w:t>
      </w:r>
    </w:p>
    <w:p>
      <w:pPr>
        <w:pStyle w:val="BodyText"/>
        <w:spacing w:line="309" w:lineRule="auto" w:before="63"/>
        <w:ind w:right="1131" w:firstLine="360"/>
        <w:jc w:val="both"/>
      </w:pPr>
      <w:r>
        <w:rPr/>
        <w:t>（</w:t>
      </w:r>
      <w:r>
        <w:rPr>
          <w:rFonts w:ascii="Times New Roman" w:hAnsi="Times New Roman" w:cs="Times New Roman" w:eastAsia="Times New Roman" w:hint="default"/>
        </w:rPr>
        <w:t>2</w:t>
      </w:r>
      <w:r>
        <w:rPr/>
        <w:t>）信息化建设持续推进，</w:t>
      </w:r>
      <w:r>
        <w:rPr>
          <w:rFonts w:ascii="Times New Roman" w:hAnsi="Times New Roman" w:cs="Times New Roman" w:eastAsia="Times New Roman" w:hint="default"/>
        </w:rPr>
        <w:t>MES</w:t>
      </w:r>
      <w:r>
        <w:rPr/>
        <w:t>系统的使用已覆盖上海金山、江苏启东两地三厂的生产全过程，</w:t>
      </w:r>
      <w:r>
        <w:rPr>
          <w:rFonts w:ascii="Times New Roman" w:hAnsi="Times New Roman" w:cs="Times New Roman" w:eastAsia="Times New Roman" w:hint="default"/>
        </w:rPr>
        <w:t>SAP</w:t>
      </w:r>
      <w:r>
        <w:rPr/>
        <w:t>系统在报告期内 </w:t>
      </w:r>
      <w:r>
        <w:rPr>
          <w:spacing w:val="-2"/>
        </w:rPr>
        <w:t>也已正式上线，有效地提高了公司的生产经营管理水平和效率。此外，公司牵头推进的《超纤维新材料行业供应链管理标识</w:t>
      </w:r>
      <w:r>
        <w:rPr>
          <w:spacing w:val="-66"/>
        </w:rPr>
        <w:t> </w:t>
      </w:r>
      <w:r>
        <w:rPr>
          <w:spacing w:val="-66"/>
        </w:rPr>
      </w:r>
      <w:r>
        <w:rPr/>
        <w:t>解析集成应用》项目，获批为工信部</w:t>
      </w:r>
      <w:r>
        <w:rPr>
          <w:rFonts w:ascii="Times New Roman" w:hAnsi="Times New Roman" w:cs="Times New Roman" w:eastAsia="Times New Roman" w:hint="default"/>
        </w:rPr>
        <w:t>2018</w:t>
      </w:r>
      <w:r>
        <w:rPr/>
        <w:t>年工业互联网创新发展工程支持项目，有助于推动公司的高质量发展。</w:t>
      </w:r>
    </w:p>
    <w:p>
      <w:pPr>
        <w:pStyle w:val="BodyText"/>
        <w:spacing w:line="300" w:lineRule="auto" w:before="5"/>
        <w:ind w:right="1130" w:firstLine="360"/>
        <w:jc w:val="both"/>
      </w:pPr>
      <w:r>
        <w:rPr>
          <w:rFonts w:ascii="Times New Roman" w:hAnsi="Times New Roman" w:cs="Times New Roman" w:eastAsia="Times New Roman" w:hint="default"/>
          <w:spacing w:val="-2"/>
        </w:rPr>
        <w:t>2019</w:t>
      </w:r>
      <w:r>
        <w:rPr>
          <w:spacing w:val="-2"/>
        </w:rPr>
        <w:t>年，公司将继续深耕主业促发展，聚焦超纤产业，提升市场占有率。同时，我们将以技术创新支撑产业发展，依靠</w:t>
      </w:r>
      <w:r>
        <w:rPr/>
        <w:t> 技术创新推动产业改造，以期形成自己独有的主导产品和名优产品，牢牢抢占未来产业的制高点。</w:t>
      </w:r>
    </w:p>
    <w:p>
      <w:pPr>
        <w:spacing w:line="240" w:lineRule="auto" w:before="3"/>
        <w:rPr>
          <w:rFonts w:ascii="宋体" w:hAnsi="宋体" w:cs="宋体" w:eastAsia="宋体" w:hint="default"/>
          <w:sz w:val="26"/>
          <w:szCs w:val="26"/>
        </w:rPr>
      </w:pPr>
    </w:p>
    <w:p>
      <w:pPr>
        <w:pStyle w:val="BodyText"/>
        <w:spacing w:line="309" w:lineRule="auto"/>
        <w:ind w:right="1131" w:firstLine="360"/>
        <w:jc w:val="both"/>
      </w:pPr>
      <w:r>
        <w:rPr>
          <w:spacing w:val="-2"/>
        </w:rPr>
        <w:t>威富通作为一家移动支付解决方案提供商，业务遍及全球五大洲，超过</w:t>
      </w:r>
      <w:r>
        <w:rPr>
          <w:rFonts w:ascii="Times New Roman" w:hAnsi="Times New Roman" w:cs="Times New Roman" w:eastAsia="Times New Roman" w:hint="default"/>
          <w:spacing w:val="-2"/>
        </w:rPr>
        <w:t>40</w:t>
      </w:r>
      <w:r>
        <w:rPr>
          <w:spacing w:val="-2"/>
        </w:rPr>
        <w:t>个多家和地区。威富通的主营业务及收入主要</w:t>
      </w:r>
      <w:r>
        <w:rPr/>
        <w:t> </w:t>
      </w:r>
      <w:r>
        <w:rPr>
          <w:spacing w:val="-2"/>
        </w:rPr>
        <w:t>包括：通过为银行及非金机构提供移动支付系统，收取技术服务费；通过为商户提供移动支付接入服务和产品，收取商户服</w:t>
      </w:r>
      <w:r>
        <w:rPr>
          <w:spacing w:val="-66"/>
        </w:rPr>
        <w:t> </w:t>
      </w:r>
      <w:r>
        <w:rPr>
          <w:spacing w:val="-66"/>
        </w:rPr>
      </w:r>
      <w:r>
        <w:rPr/>
        <w:t>务费；基于支付为银行、商户等提供增值服务及整体解决方案，收取技术服务费。</w:t>
      </w:r>
    </w:p>
    <w:p>
      <w:pPr>
        <w:pStyle w:val="BodyText"/>
        <w:spacing w:line="309" w:lineRule="auto" w:before="24"/>
        <w:ind w:right="1032" w:firstLine="360"/>
        <w:jc w:val="left"/>
      </w:pPr>
      <w:r>
        <w:rPr/>
        <w:t>报告期内，</w:t>
      </w:r>
      <w:r>
        <w:rPr>
          <w:rFonts w:ascii="Times New Roman" w:hAnsi="Times New Roman" w:cs="Times New Roman" w:eastAsia="Times New Roman" w:hint="default"/>
        </w:rPr>
        <w:t>“</w:t>
      </w:r>
      <w:r>
        <w:rPr/>
        <w:t>断直连</w:t>
      </w:r>
      <w:r>
        <w:rPr>
          <w:rFonts w:ascii="Times New Roman" w:hAnsi="Times New Roman" w:cs="Times New Roman" w:eastAsia="Times New Roman" w:hint="default"/>
        </w:rPr>
        <w:t>”</w:t>
      </w:r>
      <w:r>
        <w:rPr/>
        <w:t>及相关工作对威富通原有的银行业务模式产生了较大影响，并直接影响到了威富通的营收。基于威 </w:t>
      </w:r>
      <w:r>
        <w:rPr>
          <w:spacing w:val="-4"/>
        </w:rPr>
        <w:t>富通前期的技术、资源、渠道储备，面对行业变化，威富通积极应对，开发银联等大客户、开拓新的业务模式和盈利增长点，</w:t>
      </w:r>
      <w:r>
        <w:rPr>
          <w:spacing w:val="-44"/>
        </w:rPr>
        <w:t> </w:t>
      </w:r>
      <w:r>
        <w:rPr>
          <w:spacing w:val="-44"/>
        </w:rPr>
      </w:r>
      <w:r>
        <w:rPr/>
        <w:t>确保了第四季度交易量和流水的回升。</w:t>
      </w:r>
    </w:p>
    <w:p>
      <w:pPr>
        <w:pStyle w:val="BodyText"/>
        <w:spacing w:line="240" w:lineRule="auto" w:before="24"/>
        <w:ind w:left="514" w:right="1032"/>
        <w:jc w:val="left"/>
      </w:pPr>
      <w:r>
        <w:rPr/>
        <w:t>报告期内，威富通的业务开展情况：</w:t>
      </w:r>
    </w:p>
    <w:p>
      <w:pPr>
        <w:pStyle w:val="BodyText"/>
        <w:spacing w:line="240" w:lineRule="auto" w:before="76"/>
        <w:ind w:left="424" w:right="1032"/>
        <w:jc w:val="left"/>
      </w:pPr>
      <w:r>
        <w:rPr/>
        <w:t>（</w:t>
      </w:r>
      <w:r>
        <w:rPr>
          <w:rFonts w:ascii="Times New Roman" w:hAnsi="Times New Roman" w:cs="Times New Roman" w:eastAsia="Times New Roman" w:hint="default"/>
        </w:rPr>
        <w:t>1</w:t>
      </w:r>
      <w:r>
        <w:rPr/>
        <w:t>）同银联全方位展开合作</w:t>
      </w:r>
    </w:p>
    <w:p>
      <w:pPr>
        <w:pStyle w:val="BodyText"/>
        <w:spacing w:line="240" w:lineRule="auto" w:before="63"/>
        <w:ind w:left="514" w:right="1032"/>
        <w:jc w:val="left"/>
      </w:pPr>
      <w:r>
        <w:rPr>
          <w:rFonts w:ascii="Times New Roman" w:hAnsi="Times New Roman" w:cs="Times New Roman" w:eastAsia="Times New Roman" w:hint="default"/>
        </w:rPr>
        <w:t>“</w:t>
      </w:r>
      <w:r>
        <w:rPr/>
        <w:t>断直连</w:t>
      </w:r>
      <w:r>
        <w:rPr>
          <w:rFonts w:ascii="Times New Roman" w:hAnsi="Times New Roman" w:cs="Times New Roman" w:eastAsia="Times New Roman" w:hint="default"/>
        </w:rPr>
        <w:t>”</w:t>
      </w:r>
      <w:r>
        <w:rPr/>
        <w:t>政策在一定程度上影响到了威富通的交易流水，但同时也打破了移动支付市场的双寡头格局。威富通提前做出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32"/>
        <w:jc w:val="left"/>
      </w:pPr>
      <w:r>
        <w:rPr/>
        <w:t>了战略调整，通过寻求与银联在多个层面、多个领域开展深度合作，在产业链上游进一步巩固市场地位。</w:t>
      </w:r>
    </w:p>
    <w:p>
      <w:pPr>
        <w:pStyle w:val="BodyText"/>
        <w:spacing w:line="300" w:lineRule="auto" w:before="76"/>
        <w:ind w:left="514" w:right="1032"/>
        <w:jc w:val="left"/>
      </w:pPr>
      <w:r>
        <w:rPr/>
        <w:t>（</w:t>
      </w:r>
      <w:r>
        <w:rPr>
          <w:rFonts w:ascii="Times New Roman" w:hAnsi="Times New Roman" w:cs="Times New Roman" w:eastAsia="Times New Roman" w:hint="default"/>
        </w:rPr>
        <w:t>2</w:t>
      </w:r>
      <w:r>
        <w:rPr/>
        <w:t>）全面铺开并落地行业解决方案 </w:t>
      </w:r>
      <w:r>
        <w:rPr>
          <w:spacing w:val="-2"/>
        </w:rPr>
        <w:t>威富通在零售领域、校园领域、加油站领域等不同行业的多个领域，为其量身定制、输出相应的解决方案，以提升用户</w:t>
      </w:r>
    </w:p>
    <w:p>
      <w:pPr>
        <w:pStyle w:val="BodyText"/>
        <w:spacing w:line="240" w:lineRule="auto" w:before="31"/>
        <w:ind w:right="1032"/>
        <w:jc w:val="left"/>
      </w:pPr>
      <w:r>
        <w:rPr/>
        <w:t>粘性，为未来交易流水的攀升奠定运营基础。</w:t>
      </w:r>
    </w:p>
    <w:p>
      <w:pPr>
        <w:pStyle w:val="BodyText"/>
        <w:spacing w:line="309" w:lineRule="auto" w:before="77"/>
        <w:ind w:right="1131" w:firstLine="360"/>
        <w:jc w:val="both"/>
      </w:pPr>
      <w:r>
        <w:rPr>
          <w:rFonts w:ascii="Times New Roman" w:hAnsi="Times New Roman" w:cs="Times New Roman" w:eastAsia="Times New Roman" w:hint="default"/>
          <w:spacing w:val="-2"/>
        </w:rPr>
        <w:t>2019</w:t>
      </w:r>
      <w:r>
        <w:rPr>
          <w:spacing w:val="-2"/>
        </w:rPr>
        <w:t>年，威富通一方面将结合前期的技术积淀、运营经验和行业基础，在产业链上游进一步巩固市场地位，并挖掘更多</w:t>
      </w:r>
      <w:r>
        <w:rPr/>
        <w:t> </w:t>
      </w:r>
      <w:r>
        <w:rPr>
          <w:spacing w:val="-2"/>
        </w:rPr>
        <w:t>的业务模式和盈利增长点；另一方面，将对银行业务进一步细分，有针对性地对银行各细分业务领域进行差异化运营，以确</w:t>
      </w:r>
      <w:r>
        <w:rPr>
          <w:spacing w:val="-66"/>
        </w:rPr>
        <w:t> </w:t>
      </w:r>
      <w:r>
        <w:rPr>
          <w:spacing w:val="-66"/>
        </w:rPr>
      </w:r>
      <w:r>
        <w:rPr/>
        <w:t>保其在银行业务方面的收入实现稳定增长；此外，威富通还将进一步渗透到更多的行业中，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1032"/>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32"/>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2"/>
        <w:jc w:val="left"/>
      </w:pPr>
      <w:r>
        <w:rPr/>
        <w:t>公司是否需要遵守光伏产业链相关业的披露要求 否</w:t>
      </w:r>
    </w:p>
    <w:p>
      <w:pPr>
        <w:pStyle w:val="BodyText"/>
        <w:spacing w:line="338" w:lineRule="auto" w:before="26"/>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3"/>
        <w:ind w:right="1664"/>
        <w:jc w:val="left"/>
      </w:pPr>
      <w:r>
        <w:rPr/>
        <w:t>公司是否需遵守《深圳证券交易所行业信息披露指引第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spacing w:line="240" w:lineRule="auto" w:before="4"/>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5"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2"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716,379,327.</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18</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819,216,452.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16</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737,410,165.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79</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792,121,113.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37</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433,492,099.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566,229,173.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732,083,415.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773,789,223.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100,638,502.</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12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107,046,088.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69,627,347.1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18,109,365.8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26,505,495.2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59,768,571.8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109,244,728.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53,772,933.7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6"/>
        <w:rPr>
          <w:rFonts w:ascii="宋体" w:hAnsi="宋体" w:cs="宋体" w:eastAsia="宋体" w:hint="default"/>
          <w:sz w:val="27"/>
          <w:szCs w:val="27"/>
        </w:rPr>
      </w:pPr>
    </w:p>
    <w:p>
      <w:pPr>
        <w:pStyle w:val="BodyText"/>
        <w:spacing w:line="357" w:lineRule="auto" w:before="44"/>
        <w:ind w:right="6612"/>
        <w:jc w:val="left"/>
      </w:pPr>
      <w:r>
        <w:rPr/>
        <w:t>说明经营季节性（或周期性）发生的原因及波动风险 营业收入整体情况</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3,065,127,058.50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2,505,593,912.49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2,741,820,677.88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2,290,149,769.19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91.40%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323,306,380.62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215,444,143.30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367,608,795.48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514,939,056.44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1,599,543,580.84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1,051,948,306.87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41.98%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572,857,116.51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567,406,035.34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22.65%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201,811,185.05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155,856,370.54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323,306,380.62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215,444,143.30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2,298,967,685.96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1,902,346,845.71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75.92%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442,852,991.92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387,802,923.48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15.48%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323,306,380.62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215,444,143.30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50.07%</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70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2,540,009,492.83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2,060,288,542.93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323,306,380.62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62,122,196.73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367,608,795.48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328,295,254.95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1,599,543,580.84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1,333,690,805.37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572,857,116.51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398,302,482.61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323,306,380.62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62,122,196.73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2,097,156,500.91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1,892,990,889.40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442,852,991.92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295,122,356.99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25.84%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4" w:right="0"/>
              <w:jc w:val="left"/>
              <w:rPr>
                <w:rFonts w:ascii="Times New Roman" w:hAnsi="Times New Roman" w:cs="Times New Roman" w:eastAsia="Times New Roman" w:hint="default"/>
                <w:sz w:val="18"/>
                <w:szCs w:val="18"/>
              </w:rPr>
            </w:pPr>
            <w:r>
              <w:rPr>
                <w:rFonts w:ascii="Times New Roman"/>
                <w:sz w:val="18"/>
              </w:rPr>
              <w:t>-6.17%</w:t>
            </w:r>
          </w:p>
        </w:tc>
      </w:tr>
    </w:tbl>
    <w:p>
      <w:pPr>
        <w:pStyle w:val="BodyText"/>
        <w:spacing w:line="240" w:lineRule="auto" w:before="51"/>
        <w:ind w:right="1032"/>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2,542,962,779.47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2,132,583,820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2,040,514,946.94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2,329,464,310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195,106,228.8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152,642,820.1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27.82%</w:t>
            </w:r>
          </w:p>
        </w:tc>
      </w:tr>
    </w:tbl>
    <w:p>
      <w:pPr>
        <w:pStyle w:val="BodyText"/>
        <w:spacing w:line="240" w:lineRule="auto" w:before="51"/>
        <w:ind w:right="103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移动支付分润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56,395,946.52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39,057,332.51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5,473,634.23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1,055,045.08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418.81%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252,615.98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440,253.92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-42.62%</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1,549,390,527.96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1,132,617,104.50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209,546,403.03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289,775,803.53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100,628,506.22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70,509,945.03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42.72%</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200,723,105.72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189,153,888.13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w:t>
            </w:r>
          </w:p>
        </w:tc>
      </w:tr>
    </w:tbl>
    <w:p>
      <w:pPr>
        <w:pStyle w:val="BodyText"/>
        <w:spacing w:line="240" w:lineRule="auto" w:before="51"/>
        <w:ind w:right="1032"/>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left="868" w:right="1038"/>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月，威富通成立威富通（香港）科技有限公司，投资总额为港币</w:t>
      </w:r>
      <w:r>
        <w:rPr>
          <w:rFonts w:ascii="Times New Roman" w:hAnsi="Times New Roman" w:cs="Times New Roman" w:eastAsia="Times New Roman" w:hint="default"/>
          <w:spacing w:val="-3"/>
        </w:rPr>
        <w:t>5000</w:t>
      </w:r>
      <w:r>
        <w:rPr>
          <w:spacing w:val="-3"/>
        </w:rPr>
        <w:t>万元。本公司持有威富通香港</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12"/>
        </w:rPr>
        <w:t> </w:t>
      </w:r>
      <w:r>
        <w:rPr/>
        <w:t>的股权。公司从威富通香港设立之日起将其纳入合并会计报表范围。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月，威富通与深圳市微智投资咨询中心合伙企业共同投资成立联银通富，投资总额为人民币</w:t>
      </w:r>
      <w:r>
        <w:rPr>
          <w:rFonts w:ascii="Times New Roman" w:hAnsi="Times New Roman" w:cs="Times New Roman" w:eastAsia="Times New Roman" w:hint="default"/>
        </w:rPr>
        <w:t>3250</w:t>
      </w:r>
      <w:r>
        <w:rPr/>
        <w:t>万元。 本公司认购并持有联银通富</w:t>
      </w:r>
      <w:r>
        <w:rPr>
          <w:rFonts w:ascii="Times New Roman" w:hAnsi="Times New Roman" w:cs="Times New Roman" w:eastAsia="Times New Roman" w:hint="default"/>
        </w:rPr>
        <w:t>53.85%</w:t>
      </w:r>
      <w:r>
        <w:rPr/>
        <w:t>的股权。公司从联银通富设立之日起将其纳入合并会计报表范围。</w:t>
      </w:r>
    </w:p>
    <w:p>
      <w:pPr>
        <w:spacing w:line="240" w:lineRule="auto" w:before="8"/>
        <w:rPr>
          <w:rFonts w:ascii="宋体" w:hAnsi="宋体" w:cs="宋体" w:eastAsia="宋体" w:hint="default"/>
          <w:sz w:val="21"/>
          <w:szCs w:val="21"/>
        </w:rPr>
      </w:pPr>
    </w:p>
    <w:p>
      <w:pPr>
        <w:pStyle w:val="Heading3"/>
        <w:spacing w:line="240" w:lineRule="auto"/>
        <w:ind w:right="1032"/>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616,671,343.69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147,883,340.24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133,583,351.48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119,385,248.81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108,220,360.11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107,599,043.05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616,671,343.69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20.12%</w:t>
            </w:r>
          </w:p>
        </w:tc>
      </w:tr>
    </w:tbl>
    <w:p>
      <w:pPr>
        <w:pStyle w:val="BodyText"/>
        <w:spacing w:line="240" w:lineRule="auto" w:before="51"/>
        <w:ind w:right="1032"/>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780,361,939.80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202,124,085.67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156,316,237.23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154,873,476.34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152,935,443.32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114,112,697.24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780,361,939.80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34.53%</w:t>
            </w:r>
          </w:p>
        </w:tc>
      </w:tr>
    </w:tbl>
    <w:p>
      <w:pPr>
        <w:pStyle w:val="BodyText"/>
        <w:spacing w:line="240" w:lineRule="auto" w:before="51"/>
        <w:ind w:right="1032"/>
        <w:jc w:val="left"/>
      </w:pPr>
      <w:r>
        <w:rPr/>
        <w:t>主要供应商其他情况说明</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62,073,736.07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49,533,616.69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202,420,674.62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165,427,248.45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22.36%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39,964,712.89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30,483,884.74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140,104,207.57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3" w:right="0"/>
              <w:jc w:val="left"/>
              <w:rPr>
                <w:rFonts w:ascii="Times New Roman" w:hAnsi="Times New Roman" w:cs="Times New Roman" w:eastAsia="Times New Roman" w:hint="default"/>
                <w:sz w:val="18"/>
                <w:szCs w:val="18"/>
              </w:rPr>
            </w:pPr>
            <w:r>
              <w:rPr>
                <w:rFonts w:ascii="Times New Roman"/>
                <w:sz w:val="18"/>
              </w:rPr>
              <w:t>118,333,115.40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华峰超纤经过十几年的发展，特别是启东基地建成投产后，在规模、量产上都已遥遥领先国内外同行，现亟待解决的问</w:t>
      </w:r>
    </w:p>
    <w:p>
      <w:pPr>
        <w:pStyle w:val="BodyText"/>
        <w:spacing w:line="316" w:lineRule="auto" w:before="2"/>
        <w:ind w:left="514" w:right="1194" w:hanging="360"/>
        <w:jc w:val="left"/>
      </w:pPr>
      <w:r>
        <w:rPr/>
        <w:t>题是提高核心技术竞争力，在做大企业的基础上做强企业。 报告期内，公司研发投入</w:t>
      </w:r>
      <w:r>
        <w:rPr>
          <w:rFonts w:ascii="Times New Roman" w:hAnsi="Times New Roman" w:cs="Times New Roman" w:eastAsia="Times New Roman" w:hint="default"/>
          <w:sz w:val="13"/>
          <w:szCs w:val="13"/>
        </w:rPr>
        <w:t>140,104,207.57</w:t>
      </w:r>
      <w:r>
        <w:rPr/>
        <w:t>元，占营业收入的</w:t>
      </w:r>
      <w:r>
        <w:rPr>
          <w:rFonts w:ascii="Times New Roman" w:hAnsi="Times New Roman" w:cs="Times New Roman" w:eastAsia="Times New Roman" w:hint="default"/>
        </w:rPr>
        <w:t>4.57%</w:t>
      </w:r>
      <w:r>
        <w:rPr/>
        <w:t>。</w:t>
      </w:r>
      <w:r>
        <w:rPr>
          <w:rFonts w:ascii="Times New Roman" w:hAnsi="Times New Roman" w:cs="Times New Roman" w:eastAsia="Times New Roman" w:hint="default"/>
        </w:rPr>
        <w:t>2018</w:t>
      </w:r>
      <w:r>
        <w:rPr/>
        <w:t>年，我们在现有生产工艺的优化提升方面取得了较</w:t>
      </w:r>
    </w:p>
    <w:p>
      <w:pPr>
        <w:pStyle w:val="BodyText"/>
        <w:spacing w:line="319" w:lineRule="auto"/>
        <w:ind w:right="1129"/>
        <w:jc w:val="both"/>
      </w:pPr>
      <w:r>
        <w:rPr>
          <w:spacing w:val="-2"/>
        </w:rPr>
        <w:t>大突破，不仅提高了生产效率、降低了生产成本，同时还提高了产品的差异化水平，形成了公司的技术领先优势。此外，还</w:t>
      </w:r>
      <w:r>
        <w:rPr>
          <w:spacing w:val="-66"/>
        </w:rPr>
        <w:t> </w:t>
      </w:r>
      <w:r>
        <w:rPr>
          <w:spacing w:val="-66"/>
        </w:rPr>
      </w:r>
      <w:r>
        <w:rPr>
          <w:spacing w:val="-2"/>
        </w:rPr>
        <w:t>在新一代产品的开发方面取得了突破性的成绩，为公司的可持续发展储备了全球领先的技术和工艺路线。报告期内，公司各</w:t>
      </w:r>
      <w:r>
        <w:rPr>
          <w:spacing w:val="-65"/>
        </w:rPr>
        <w:t> </w:t>
      </w:r>
      <w:r>
        <w:rPr>
          <w:spacing w:val="-65"/>
        </w:rPr>
      </w:r>
      <w:r>
        <w:rPr>
          <w:spacing w:val="-2"/>
        </w:rPr>
        <w:t>个项目研发基本实现了预期目标，提高了现有产品品质，还在各个技术应用领域均取得了一定的突破，为公司业务的发展打</w:t>
      </w:r>
      <w:r>
        <w:rPr>
          <w:spacing w:val="-66"/>
        </w:rPr>
        <w:t> </w:t>
      </w:r>
      <w:r>
        <w:rPr>
          <w:spacing w:val="-66"/>
        </w:rPr>
      </w:r>
      <w:r>
        <w:rPr/>
        <w:t>下了良好的基础。</w:t>
      </w:r>
    </w:p>
    <w:p>
      <w:pPr>
        <w:spacing w:line="240" w:lineRule="auto" w:before="0"/>
        <w:rPr>
          <w:rFonts w:ascii="宋体" w:hAnsi="宋体" w:cs="宋体" w:eastAsia="宋体" w:hint="default"/>
          <w:sz w:val="18"/>
          <w:szCs w:val="18"/>
        </w:rPr>
      </w:pPr>
    </w:p>
    <w:p>
      <w:pPr>
        <w:pStyle w:val="BodyText"/>
        <w:spacing w:line="240" w:lineRule="auto" w:before="134"/>
        <w:ind w:right="1032"/>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140,104,207.57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118,333,115.40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39,869,588.19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15,646,642.26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1,802,331,008.90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1,711,612,636.41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1,693,660,197.76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1,533,353,359.24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108,670,811.14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178,259,277.17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1,509,172,161.90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1,031,165,812.97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2,156,722,422.94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1,822,866,452.39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-647,550,261.04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-791,700,639.42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2,011,341,885.00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1,417,211,526.36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1,389,331,567.95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674,072,533.89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106.11%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622,010,317.05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743,138,992.47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87,767,959.11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121,072,444.76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-27.51%</w:t>
            </w:r>
          </w:p>
        </w:tc>
      </w:tr>
    </w:tbl>
    <w:p>
      <w:pPr>
        <w:pStyle w:val="BodyText"/>
        <w:spacing w:line="240" w:lineRule="auto" w:before="51"/>
        <w:ind w:right="1032"/>
        <w:jc w:val="left"/>
      </w:pPr>
      <w:r>
        <w:rPr/>
        <w:t>相关数据同比发生重大变动的主要影响因素说明</w:t>
      </w:r>
    </w:p>
    <w:p>
      <w:pPr>
        <w:pStyle w:val="BodyText"/>
        <w:spacing w:line="350" w:lineRule="auto" w:before="116"/>
        <w:ind w:right="40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筹资活动现金流入流出变动较大，主要是公司及子公司本期向集团拆借资金金额较大 报告期内公司经营活动产生的现金净流量与本年度净利润存在重大差异的原因说明</w:t>
      </w:r>
    </w:p>
    <w:p>
      <w:pPr>
        <w:pStyle w:val="BodyText"/>
        <w:spacing w:line="240" w:lineRule="auto" w:before="3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2"/>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6,386,958.95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82,714,270.60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22.32%</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业绩补偿股份公允价值变 动</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103,562,451.03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商誉减值</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729,000.17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1,108,188.76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32"/>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316,788,918.8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303,846,223.57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4.59%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-0.39%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402,120,840.0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5.33%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281,096,178.64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1.08%</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486,753,017.3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464,157,537.19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-0.55%</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9,168,279.25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7,171,268.81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3,100,324,727.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2,292,372,679.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34.62%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6.50%</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江苏超纤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 </w:t>
            </w:r>
            <w:r>
              <w:rPr>
                <w:rFonts w:ascii="宋体" w:hAnsi="宋体" w:cs="宋体" w:eastAsia="宋体" w:hint="default"/>
                <w:sz w:val="18"/>
                <w:szCs w:val="18"/>
              </w:rPr>
              <w:t>万米项目建成转固</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177,412,312.8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2.35%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291,968,437.54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-2.06%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597,511,960.7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602,086,000.00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9.09%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-1.16%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224,460,000.0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268,325,000.00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4.05%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-1.07%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69"/>
        <w:gridCol w:w="1167"/>
        <w:gridCol w:w="1149"/>
        <w:gridCol w:w="1153"/>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3"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79,195,735.70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79,195,735.70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79,195,735.70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79,195,735.70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86"/>
        <w:gridCol w:w="1156"/>
        <w:gridCol w:w="1155"/>
        <w:gridCol w:w="1153"/>
        <w:gridCol w:w="1154"/>
        <w:gridCol w:w="1155"/>
        <w:gridCol w:w="1153"/>
        <w:gridCol w:w="1154"/>
      </w:tblGrid>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报告期内公司主要资产计量属性是否发生重大变化</w:t>
      </w:r>
    </w:p>
    <w:p>
      <w:pPr>
        <w:pStyle w:val="BodyText"/>
        <w:spacing w:line="240" w:lineRule="auto" w:before="117"/>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430" w:right="1151"/>
        <w:jc w:val="left"/>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日，公司以原值为</w:t>
      </w:r>
      <w:r>
        <w:rPr>
          <w:rFonts w:ascii="Times New Roman" w:hAnsi="Times New Roman" w:cs="Times New Roman" w:eastAsia="Times New Roman" w:hint="default"/>
        </w:rPr>
        <w:t>86,494,119.90</w:t>
      </w:r>
      <w:r>
        <w:rPr/>
        <w:t>元、净值为</w:t>
      </w:r>
      <w:r>
        <w:rPr>
          <w:rFonts w:ascii="Times New Roman" w:hAnsi="Times New Roman" w:cs="Times New Roman" w:eastAsia="Times New Roman" w:hint="default"/>
        </w:rPr>
        <w:t>30,880,862.21</w:t>
      </w:r>
      <w:r>
        <w:rPr/>
        <w:t>元的房屋、建筑物及原值 为</w:t>
      </w:r>
      <w:r>
        <w:rPr>
          <w:rFonts w:ascii="Times New Roman" w:hAnsi="Times New Roman" w:cs="Times New Roman" w:eastAsia="Times New Roman" w:hint="default"/>
        </w:rPr>
        <w:t>9,165,650.01</w:t>
      </w:r>
      <w:r>
        <w:rPr/>
        <w:t>元、净值为</w:t>
      </w:r>
      <w:r>
        <w:rPr>
          <w:rFonts w:ascii="Times New Roman" w:hAnsi="Times New Roman" w:cs="Times New Roman" w:eastAsia="Times New Roman" w:hint="default"/>
        </w:rPr>
        <w:t>6,441,698.43</w:t>
      </w:r>
      <w:r>
        <w:rPr/>
        <w:t>元的土地使用权为公司在中国银行上海市金山支行自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 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日发生的不高于人民币</w:t>
      </w:r>
      <w:r>
        <w:rPr>
          <w:rFonts w:ascii="Times New Roman" w:hAnsi="Times New Roman" w:cs="Times New Roman" w:eastAsia="Times New Roman" w:hint="default"/>
        </w:rPr>
        <w:t>380,000,000.00</w:t>
      </w:r>
      <w:r>
        <w:rPr/>
        <w:t>元的全部债务提供抵押担保。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日，公司在上述抵押合同下已开立未到期的信用证金额为</w:t>
      </w:r>
      <w:r>
        <w:rPr>
          <w:rFonts w:ascii="Times New Roman" w:hAnsi="Times New Roman" w:cs="Times New Roman" w:eastAsia="Times New Roman" w:hint="default"/>
        </w:rPr>
        <w:t>2,086,660.00</w:t>
      </w:r>
      <w:r>
        <w:rPr/>
        <w:t>美元；已开具未到 期的银行承兑汇票金额为</w:t>
      </w:r>
      <w:r>
        <w:rPr>
          <w:rFonts w:ascii="Times New Roman" w:hAnsi="Times New Roman" w:cs="Times New Roman" w:eastAsia="Times New Roman" w:hint="default"/>
        </w:rPr>
        <w:t>8,661,299.97</w:t>
      </w:r>
      <w:r>
        <w:rPr/>
        <w:t>元，期限为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日，公司在上述抵押合同项下借款总金额为</w:t>
      </w:r>
      <w:r>
        <w:rPr>
          <w:rFonts w:ascii="Times New Roman" w:hAnsi="Times New Roman" w:cs="Times New Roman" w:eastAsia="Times New Roman" w:hint="default"/>
        </w:rPr>
        <w:t>170,000,000.00</w:t>
      </w:r>
      <w:r>
        <w:rPr/>
        <w:t>元，其中</w:t>
      </w:r>
      <w:r>
        <w:rPr>
          <w:rFonts w:ascii="Times New Roman" w:hAnsi="Times New Roman" w:cs="Times New Roman" w:eastAsia="Times New Roman" w:hint="default"/>
        </w:rPr>
        <w:t>50,000,000.00</w:t>
      </w:r>
      <w:r>
        <w:rPr/>
        <w:t>元的借 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w:t>
      </w:r>
      <w:r>
        <w:rPr>
          <w:spacing w:val="-2"/>
        </w:rPr>
        <w:t> </w:t>
      </w:r>
      <w:r>
        <w:rPr>
          <w:rFonts w:ascii="Times New Roman" w:hAnsi="Times New Roman" w:cs="Times New Roman" w:eastAsia="Times New Roman" w:hint="default"/>
        </w:rPr>
        <w:t>40,000,000.00</w:t>
      </w:r>
      <w:r>
        <w:rPr/>
        <w:t>元的借款期限为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 </w:t>
      </w:r>
      <w:r>
        <w:rPr>
          <w:rFonts w:ascii="Times New Roman" w:hAnsi="Times New Roman" w:cs="Times New Roman" w:eastAsia="Times New Roman" w:hint="default"/>
        </w:rPr>
        <w:t>30,000,000.00</w:t>
      </w:r>
      <w:r>
        <w:rPr/>
        <w:t>元的借款期限为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15,000,000.00</w:t>
      </w:r>
      <w:r>
        <w:rPr/>
        <w:t>元的借款期限为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 </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w:t>
      </w:r>
      <w:r>
        <w:rPr>
          <w:spacing w:val="-3"/>
        </w:rPr>
        <w:t> </w:t>
      </w:r>
      <w:r>
        <w:rPr>
          <w:rFonts w:ascii="Times New Roman" w:hAnsi="Times New Roman" w:cs="Times New Roman" w:eastAsia="Times New Roman" w:hint="default"/>
        </w:rPr>
        <w:t>25,000,000.00</w:t>
      </w:r>
      <w:r>
        <w:rPr/>
        <w:t>元的借款期限为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w:t>
      </w:r>
    </w:p>
    <w:p>
      <w:pPr>
        <w:pStyle w:val="BodyText"/>
        <w:spacing w:line="300" w:lineRule="auto" w:before="13"/>
        <w:ind w:left="1430" w:right="1032"/>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日，公司以原值为</w:t>
      </w:r>
      <w:r>
        <w:rPr>
          <w:rFonts w:ascii="Times New Roman" w:hAnsi="Times New Roman" w:cs="Times New Roman" w:eastAsia="Times New Roman" w:hint="default"/>
        </w:rPr>
        <w:t>86,494,119.90</w:t>
      </w:r>
      <w:r>
        <w:rPr/>
        <w:t>元、净值为</w:t>
      </w:r>
      <w:r>
        <w:rPr>
          <w:rFonts w:ascii="Times New Roman" w:hAnsi="Times New Roman" w:cs="Times New Roman" w:eastAsia="Times New Roman" w:hint="default"/>
        </w:rPr>
        <w:t>35,032,579.88</w:t>
      </w:r>
      <w:r>
        <w:rPr/>
        <w:t>元的房屋、建筑物及原值 </w:t>
      </w:r>
      <w:r>
        <w:rPr>
          <w:spacing w:val="-1"/>
        </w:rPr>
        <w:t>为</w:t>
      </w:r>
      <w:r>
        <w:rPr>
          <w:rFonts w:ascii="Times New Roman" w:hAnsi="Times New Roman" w:cs="Times New Roman" w:eastAsia="Times New Roman" w:hint="default"/>
          <w:spacing w:val="-1"/>
        </w:rPr>
        <w:t>9,165,650.01</w:t>
      </w:r>
      <w:r>
        <w:rPr>
          <w:spacing w:val="-1"/>
        </w:rPr>
        <w:t>元、净值为</w:t>
      </w:r>
      <w:r>
        <w:rPr>
          <w:rFonts w:ascii="Times New Roman" w:hAnsi="Times New Roman" w:cs="Times New Roman" w:eastAsia="Times New Roman" w:hint="default"/>
          <w:spacing w:val="-1"/>
        </w:rPr>
        <w:t>6,618,387.49</w:t>
      </w:r>
      <w:r>
        <w:rPr>
          <w:spacing w:val="-1"/>
        </w:rPr>
        <w:t>元的土地使用权为公司在中国银行上海市金山支行自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6</w:t>
      </w:r>
      <w:r>
        <w:rPr>
          <w:spacing w:val="-1"/>
        </w:rPr>
        <w:t>日起</w:t>
      </w:r>
      <w:r>
        <w:rPr>
          <w:spacing w:val="-40"/>
        </w:rPr>
        <w:t> </w:t>
      </w:r>
      <w:r>
        <w:rPr/>
        <w:t>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日发生的不高于人民币</w:t>
      </w:r>
      <w:r>
        <w:rPr>
          <w:rFonts w:ascii="Times New Roman" w:hAnsi="Times New Roman" w:cs="Times New Roman" w:eastAsia="Times New Roman" w:hint="default"/>
        </w:rPr>
        <w:t>400,000,000.00</w:t>
      </w:r>
      <w:r>
        <w:rPr/>
        <w:t>元的全部债务提供抵押担保。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日，公司在上述抵押合同项下借款总金额为</w:t>
      </w:r>
      <w:r>
        <w:rPr>
          <w:rFonts w:ascii="Times New Roman" w:hAnsi="Times New Roman" w:cs="Times New Roman" w:eastAsia="Times New Roman" w:hint="default"/>
        </w:rPr>
        <w:t>10,000,000.00</w:t>
      </w:r>
      <w:r>
        <w:rPr/>
        <w:t>元，其中</w:t>
      </w:r>
      <w:r>
        <w:rPr>
          <w:spacing w:val="-5"/>
        </w:rPr>
        <w:t> </w:t>
      </w:r>
      <w:r>
        <w:rPr>
          <w:rFonts w:ascii="Times New Roman" w:hAnsi="Times New Roman" w:cs="Times New Roman" w:eastAsia="Times New Roman" w:hint="default"/>
        </w:rPr>
        <w:t>10,000,000.00</w:t>
      </w:r>
      <w:r>
        <w:rPr/>
        <w:t>元的借 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p>
    <w:p>
      <w:pPr>
        <w:pStyle w:val="BodyText"/>
        <w:spacing w:line="300" w:lineRule="auto" w:before="13"/>
        <w:ind w:left="1430" w:right="1032"/>
        <w:jc w:val="left"/>
      </w:pPr>
      <w:r>
        <w:rPr>
          <w:spacing w:val="-1"/>
        </w:rPr>
        <w:t>（</w:t>
      </w:r>
      <w:r>
        <w:rPr>
          <w:rFonts w:ascii="Times New Roman" w:hAnsi="Times New Roman" w:cs="Times New Roman" w:eastAsia="Times New Roman" w:hint="default"/>
          <w:spacing w:val="-1"/>
        </w:rPr>
        <w:t>3</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日，公司以原值为</w:t>
      </w:r>
      <w:r>
        <w:rPr>
          <w:rFonts w:ascii="Times New Roman" w:hAnsi="Times New Roman" w:cs="Times New Roman" w:eastAsia="Times New Roman" w:hint="default"/>
          <w:spacing w:val="-1"/>
        </w:rPr>
        <w:t>114,784,109.46</w:t>
      </w:r>
      <w:r>
        <w:rPr>
          <w:spacing w:val="-1"/>
        </w:rPr>
        <w:t>元、净值为</w:t>
      </w:r>
      <w:r>
        <w:rPr>
          <w:rFonts w:ascii="Times New Roman" w:hAnsi="Times New Roman" w:cs="Times New Roman" w:eastAsia="Times New Roman" w:hint="default"/>
          <w:spacing w:val="-1"/>
        </w:rPr>
        <w:t>81,995,390.03</w:t>
      </w:r>
      <w:r>
        <w:rPr>
          <w:spacing w:val="-1"/>
        </w:rPr>
        <w:t>元的房屋、建筑物及原值</w:t>
      </w:r>
      <w:r>
        <w:rPr>
          <w:spacing w:val="-39"/>
        </w:rPr>
        <w:t> </w:t>
      </w:r>
      <w:r>
        <w:rPr>
          <w:spacing w:val="-39"/>
        </w:rPr>
      </w:r>
      <w:r>
        <w:rPr/>
        <w:t>为</w:t>
      </w:r>
      <w:r>
        <w:rPr>
          <w:rFonts w:ascii="Times New Roman" w:hAnsi="Times New Roman" w:cs="Times New Roman" w:eastAsia="Times New Roman" w:hint="default"/>
        </w:rPr>
        <w:t>51,324,774.00</w:t>
      </w:r>
      <w:r>
        <w:rPr/>
        <w:t>元、净值为</w:t>
      </w:r>
      <w:r>
        <w:rPr>
          <w:rFonts w:ascii="Times New Roman" w:hAnsi="Times New Roman" w:cs="Times New Roman" w:eastAsia="Times New Roman" w:hint="default"/>
        </w:rPr>
        <w:t>42,770,645.00</w:t>
      </w:r>
      <w:r>
        <w:rPr/>
        <w:t>元的土地使用权为公司在中国工商银行上海市金山支行自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日发生的不高于人民币</w:t>
      </w:r>
      <w:r>
        <w:rPr>
          <w:rFonts w:ascii="Times New Roman" w:hAnsi="Times New Roman" w:cs="Times New Roman" w:eastAsia="Times New Roman" w:hint="default"/>
        </w:rPr>
        <w:t>168,490,000.00</w:t>
      </w:r>
      <w:r>
        <w:rPr/>
        <w:t>元的全部债务提供抵押担保。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日，公司在上述抵押合同项下借款总金额为</w:t>
      </w:r>
      <w:r>
        <w:rPr>
          <w:rFonts w:ascii="Times New Roman" w:hAnsi="Times New Roman" w:cs="Times New Roman" w:eastAsia="Times New Roman" w:hint="default"/>
        </w:rPr>
        <w:t>100,000,000.00</w:t>
      </w:r>
      <w:r>
        <w:rPr/>
        <w:t>元，其中</w:t>
      </w:r>
      <w:r>
        <w:rPr>
          <w:rFonts w:ascii="Times New Roman" w:hAnsi="Times New Roman" w:cs="Times New Roman" w:eastAsia="Times New Roman" w:hint="default"/>
        </w:rPr>
        <w:t>25,000,000.00</w:t>
      </w:r>
      <w:r>
        <w:rPr/>
        <w:t>元的借 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20,000,000.00</w:t>
      </w:r>
      <w:r>
        <w:rPr/>
        <w:t>元的借款期限为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 </w:t>
      </w:r>
      <w:r>
        <w:rPr>
          <w:rFonts w:ascii="Times New Roman" w:hAnsi="Times New Roman" w:cs="Times New Roman" w:eastAsia="Times New Roman" w:hint="default"/>
        </w:rPr>
        <w:t>25,000,000.00</w:t>
      </w:r>
      <w:r>
        <w:rPr/>
        <w:t>元的借款期限为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30,000,000.00</w:t>
      </w:r>
      <w:r>
        <w:rPr/>
        <w:t>元的借款期限为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 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w:t>
      </w:r>
    </w:p>
    <w:p>
      <w:pPr>
        <w:pStyle w:val="BodyText"/>
        <w:spacing w:line="240" w:lineRule="auto" w:before="13"/>
        <w:ind w:left="1430" w:right="1032"/>
        <w:jc w:val="left"/>
      </w:pPr>
      <w:r>
        <w:rPr/>
        <w:t>（</w:t>
      </w:r>
      <w:r>
        <w:rPr>
          <w:rFonts w:ascii="Times New Roman" w:hAnsi="Times New Roman" w:cs="Times New Roman" w:eastAsia="Times New Roman" w:hint="default"/>
        </w:rPr>
        <w:t>4</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日，江苏超纤货币资金中使用受限制的金额有</w:t>
      </w:r>
      <w:r>
        <w:rPr>
          <w:rFonts w:ascii="Times New Roman" w:hAnsi="Times New Roman" w:cs="Times New Roman" w:eastAsia="Times New Roman" w:hint="default"/>
        </w:rPr>
        <w:t>6,029,766.12</w:t>
      </w:r>
      <w:r>
        <w:rPr/>
        <w:t>元；其中：信用证保证金</w:t>
      </w:r>
    </w:p>
    <w:p>
      <w:pPr>
        <w:pStyle w:val="BodyText"/>
        <w:spacing w:line="240" w:lineRule="auto" w:before="63"/>
        <w:ind w:left="1430" w:right="1032"/>
        <w:jc w:val="left"/>
      </w:pPr>
      <w:r>
        <w:rPr>
          <w:rFonts w:ascii="Times New Roman" w:hAnsi="Times New Roman" w:cs="Times New Roman" w:eastAsia="Times New Roman" w:hint="default"/>
        </w:rPr>
        <w:t>6,029,766.12</w:t>
      </w:r>
      <w:r>
        <w:rPr/>
        <w:t>元。</w:t>
      </w:r>
    </w:p>
    <w:p>
      <w:pPr>
        <w:pStyle w:val="BodyText"/>
        <w:spacing w:line="300" w:lineRule="auto" w:before="63"/>
        <w:ind w:left="1430" w:right="1119"/>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日，江苏超纤以原值为</w:t>
      </w:r>
      <w:r>
        <w:rPr>
          <w:rFonts w:ascii="Times New Roman" w:hAnsi="Times New Roman" w:cs="Times New Roman" w:eastAsia="Times New Roman" w:hint="default"/>
        </w:rPr>
        <w:t>130,692,296.91</w:t>
      </w:r>
      <w:r>
        <w:rPr/>
        <w:t>元，净值为</w:t>
      </w:r>
      <w:r>
        <w:rPr>
          <w:rFonts w:ascii="Times New Roman" w:hAnsi="Times New Roman" w:cs="Times New Roman" w:eastAsia="Times New Roman" w:hint="default"/>
        </w:rPr>
        <w:t>119,552,280.22</w:t>
      </w:r>
      <w:r>
        <w:rPr/>
        <w:t>元的土地使用权为 本公司与中国工商银行股份有限公司启东支行签订的自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2021</w:t>
      </w:r>
      <w:r>
        <w:rPr/>
        <w:t>至</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日不高于 </w:t>
      </w:r>
      <w:r>
        <w:rPr>
          <w:rFonts w:ascii="Times New Roman" w:hAnsi="Times New Roman" w:cs="Times New Roman" w:eastAsia="Times New Roman" w:hint="default"/>
          <w:spacing w:val="-1"/>
        </w:rPr>
        <w:t>126,800,000.00</w:t>
      </w:r>
      <w:r>
        <w:rPr>
          <w:spacing w:val="-1"/>
        </w:rPr>
        <w:t>元的全部债务提供抵押担保。同时经上海华峰超纤</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日召开的第二届董事会第二十</w:t>
      </w:r>
      <w:r>
        <w:rPr>
          <w:spacing w:val="-88"/>
        </w:rPr>
        <w:t> </w:t>
      </w:r>
      <w:r>
        <w:rPr/>
        <w:t>三次会议审议通过，上海华峰超纤为本公司向中国工商银行启东市支行申请的</w:t>
      </w:r>
      <w:r>
        <w:rPr>
          <w:rFonts w:ascii="Times New Roman" w:hAnsi="Times New Roman" w:cs="Times New Roman" w:eastAsia="Times New Roman" w:hint="default"/>
        </w:rPr>
        <w:t>500,000,000.00</w:t>
      </w:r>
      <w:r>
        <w:rPr/>
        <w:t>元银行授信提 供连带责任担保，期限为</w:t>
      </w:r>
      <w:r>
        <w:rPr>
          <w:rFonts w:ascii="Times New Roman" w:hAnsi="Times New Roman" w:cs="Times New Roman" w:eastAsia="Times New Roman" w:hint="default"/>
        </w:rPr>
        <w:t>5</w:t>
      </w:r>
      <w:r>
        <w:rPr/>
        <w:t>年。在上述担保合同项下，本公司与中国工商银行启东支行签订了提款额度为 </w:t>
      </w:r>
      <w:r>
        <w:rPr>
          <w:rFonts w:ascii="Times New Roman" w:hAnsi="Times New Roman" w:cs="Times New Roman" w:eastAsia="Times New Roman" w:hint="default"/>
        </w:rPr>
        <w:t>272,500,000.00</w:t>
      </w:r>
      <w:r>
        <w:rPr/>
        <w:t>元固定资产借款合同。 在上述担保协议项下，截至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日，公司借款总额为</w:t>
      </w:r>
      <w:r>
        <w:rPr>
          <w:rFonts w:ascii="Times New Roman" w:hAnsi="Times New Roman" w:cs="Times New Roman" w:eastAsia="Times New Roman" w:hint="default"/>
        </w:rPr>
        <w:t>268,325,000.00</w:t>
      </w:r>
      <w:r>
        <w:rPr/>
        <w:t>元；其中</w:t>
      </w:r>
      <w:r>
        <w:rPr>
          <w:rFonts w:ascii="Times New Roman" w:hAnsi="Times New Roman" w:cs="Times New Roman" w:eastAsia="Times New Roman" w:hint="default"/>
        </w:rPr>
        <w:t>19,700,000.00</w:t>
      </w:r>
      <w:r>
        <w:rPr/>
        <w:t>元的借 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5,900,000.00</w:t>
      </w:r>
      <w:r>
        <w:rPr/>
        <w:t>元的借款期限为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 </w:t>
      </w:r>
      <w:r>
        <w:rPr>
          <w:spacing w:val="-2"/>
        </w:rPr>
        <w:t>日；</w:t>
      </w:r>
      <w:r>
        <w:rPr>
          <w:rFonts w:ascii="Times New Roman" w:hAnsi="Times New Roman" w:cs="Times New Roman" w:eastAsia="Times New Roman" w:hint="default"/>
          <w:spacing w:val="-2"/>
        </w:rPr>
        <w:t>14,100,000.00</w:t>
      </w:r>
      <w:r>
        <w:rPr>
          <w:spacing w:val="-2"/>
        </w:rPr>
        <w:t>元的借款期限为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11,840,000.00</w:t>
      </w:r>
      <w:r>
        <w:rPr>
          <w:spacing w:val="-2"/>
        </w:rPr>
        <w:t>元的借款期限为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8,160,000.00</w:t>
      </w:r>
      <w:r>
        <w:rPr/>
        <w:t>元的借款期限为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10,105,000.00</w:t>
      </w:r>
      <w:r>
        <w:rPr/>
        <w:t>元的 </w:t>
      </w:r>
      <w:r>
        <w:rPr>
          <w:spacing w:val="-1"/>
        </w:rPr>
        <w:t>借款期限为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w:t>
      </w:r>
      <w:r>
        <w:rPr>
          <w:rFonts w:ascii="Times New Roman" w:hAnsi="Times New Roman" w:cs="Times New Roman" w:eastAsia="Times New Roman" w:hint="default"/>
          <w:spacing w:val="-1"/>
        </w:rPr>
        <w:t>2,540,000.00</w:t>
      </w:r>
      <w:r>
        <w:rPr>
          <w:spacing w:val="-1"/>
        </w:rPr>
        <w:t>元的借款期限为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32"/>
        </w:rPr>
        <w:t> </w:t>
      </w:r>
      <w:r>
        <w:rPr>
          <w:spacing w:val="-1"/>
        </w:rPr>
        <w:t>日；</w:t>
      </w:r>
      <w:r>
        <w:rPr>
          <w:rFonts w:ascii="Times New Roman" w:hAnsi="Times New Roman" w:cs="Times New Roman" w:eastAsia="Times New Roman" w:hint="default"/>
          <w:spacing w:val="-1"/>
        </w:rPr>
        <w:t>11,520,000.00</w:t>
      </w:r>
      <w:r>
        <w:rPr>
          <w:spacing w:val="-1"/>
        </w:rPr>
        <w:t>元的借款期限为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w:t>
      </w:r>
      <w:r>
        <w:rPr>
          <w:rFonts w:ascii="Times New Roman" w:hAnsi="Times New Roman" w:cs="Times New Roman" w:eastAsia="Times New Roman" w:hint="default"/>
          <w:spacing w:val="-1"/>
        </w:rPr>
        <w:t>14,060,000.00</w:t>
      </w:r>
      <w:r>
        <w:rPr>
          <w:spacing w:val="-1"/>
        </w:rPr>
        <w:t>元的借款期限为</w:t>
      </w:r>
      <w:r>
        <w:rPr>
          <w:rFonts w:ascii="Times New Roman" w:hAnsi="Times New Roman" w:cs="Times New Roman" w:eastAsia="Times New Roman" w:hint="default"/>
          <w:spacing w:val="-1"/>
        </w:rPr>
        <w:t>2016</w:t>
      </w:r>
      <w:r>
        <w:rPr>
          <w:spacing w:val="-1"/>
        </w:rPr>
        <w:t>年</w:t>
      </w:r>
      <w:r>
        <w:rPr>
          <w:spacing w:val="-34"/>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14,060,000.00</w:t>
      </w:r>
      <w:r>
        <w:rPr>
          <w:spacing w:val="-1"/>
        </w:rPr>
        <w:t>元的借款期限为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14,060,000.00</w:t>
      </w:r>
    </w:p>
    <w:p>
      <w:pPr>
        <w:pStyle w:val="BodyText"/>
        <w:spacing w:line="300" w:lineRule="auto" w:before="13"/>
        <w:ind w:left="1430" w:right="1196"/>
        <w:jc w:val="left"/>
      </w:pPr>
      <w:r>
        <w:rPr/>
        <w:t>元的借款期限为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14,060,000.00</w:t>
      </w:r>
      <w:r>
        <w:rPr/>
        <w:t>元的借款期限为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2020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2,220,000.00</w:t>
      </w:r>
      <w:r>
        <w:rPr/>
        <w:t>元的借款期限为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60,000,000.00</w:t>
      </w:r>
      <w:r>
        <w:rPr/>
        <w:t>元的借款期限为</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430" w:right="1781"/>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66,000,000.00</w:t>
      </w:r>
      <w:r>
        <w:rPr/>
        <w:t>元的借款期限为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日，江苏超纤在上述担保协议下已开出未到期信用证金额为</w:t>
      </w:r>
      <w:r>
        <w:rPr>
          <w:rFonts w:ascii="Times New Roman" w:hAnsi="Times New Roman" w:cs="Times New Roman" w:eastAsia="Times New Roman" w:hint="default"/>
        </w:rPr>
        <w:t>7,150,310</w:t>
      </w:r>
      <w:r>
        <w:rPr/>
        <w:t>美元。</w:t>
      </w:r>
    </w:p>
    <w:p>
      <w:pPr>
        <w:spacing w:line="240" w:lineRule="auto" w:before="4"/>
        <w:rPr>
          <w:rFonts w:ascii="宋体" w:hAnsi="宋体" w:cs="宋体" w:eastAsia="宋体" w:hint="default"/>
          <w:sz w:val="20"/>
          <w:szCs w:val="20"/>
        </w:rPr>
      </w:pPr>
    </w:p>
    <w:p>
      <w:pPr>
        <w:pStyle w:val="Heading2"/>
        <w:spacing w:line="240" w:lineRule="auto"/>
        <w:ind w:right="1032"/>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824,876,098.63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2,475,733,500.59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-66.68%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1650"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49"/>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米产业用非织 造布超纤材料 项目二期</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824,876,</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098.63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1,068,30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0,134.70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0"/>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395,451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刚建成</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21</w:t>
            </w:r>
          </w:p>
        </w:tc>
      </w:tr>
      <w:tr>
        <w:trPr>
          <w:trHeight w:val="714"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824,876,</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098.63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1,068,30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0,134.70</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395,451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center"/>
              <w:rPr>
                <w:rFonts w:ascii="Times New Roman" w:hAnsi="Times New Roman" w:cs="Times New Roman" w:eastAsia="Times New Roman" w:hint="default"/>
                <w:sz w:val="18"/>
                <w:szCs w:val="18"/>
              </w:rPr>
            </w:pPr>
            <w:r>
              <w:rPr>
                <w:rFonts w:ascii="Times New Roman"/>
                <w:sz w:val="18"/>
              </w:rPr>
              <w:t>102,046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center"/>
              <w:rPr>
                <w:rFonts w:ascii="Times New Roman" w:hAnsi="Times New Roman" w:cs="Times New Roman" w:eastAsia="Times New Roman" w:hint="default"/>
                <w:sz w:val="18"/>
                <w:szCs w:val="18"/>
              </w:rPr>
            </w:pPr>
            <w:r>
              <w:rPr>
                <w:rFonts w:ascii="Times New Roman"/>
                <w:sz w:val="18"/>
              </w:rPr>
              <w:t>102,080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重大资产 重组配套 募集资金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23,910.5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23,910.5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125,956.5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125,990.5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6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96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 </w:t>
            </w:r>
            <w:r>
              <w:rPr>
                <w:rFonts w:ascii="宋体" w:hAnsi="宋体" w:cs="宋体" w:eastAsia="宋体" w:hint="default"/>
                <w:sz w:val="18"/>
                <w:szCs w:val="18"/>
              </w:rPr>
              <w:t>万米产业 用非织造布超纤材 料项目中的一期 </w:t>
            </w:r>
            <w:r>
              <w:rPr>
                <w:rFonts w:ascii="Times New Roman" w:hAnsi="Times New Roman" w:cs="Times New Roman" w:eastAsia="Times New Roman" w:hint="default"/>
                <w:sz w:val="18"/>
                <w:szCs w:val="18"/>
              </w:rPr>
              <w:t>3,750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万米产业用非 织造布超纤材料项 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150,000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102,046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102,080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100.03%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7,479.27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发行股份及支付现 金购买威富通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23,910.5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23,910.5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23,910.5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14,266.4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48,337.6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125,956.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125,990.</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62,744.5</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125,956.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62,744.5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6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公司募投项目本年度未达到预计效益，主要系募投项目产能未充分释放所致威富通本年度未</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达到预期效益，主要系受央行移动支付监管政策影响所致</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18"/>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6"/>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2"/>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超纤产品生 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1500000000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4,062,986,47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1,594,635,60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1,745,843,46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86,812,331.4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73,564,009.3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13,963,200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580,435,795.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531,964,801.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323,306,380.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162,396,515.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148,757,414.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r>
    </w:tbl>
    <w:p>
      <w:pPr>
        <w:pStyle w:val="BodyText"/>
        <w:spacing w:line="240" w:lineRule="auto" w:before="51"/>
        <w:ind w:right="0"/>
        <w:jc w:val="both"/>
      </w:pPr>
      <w:r>
        <w:rPr/>
        <w:t>报告期内取得和处置子公司的情况</w:t>
      </w:r>
    </w:p>
    <w:p>
      <w:pPr>
        <w:pStyle w:val="BodyText"/>
        <w:spacing w:line="338" w:lineRule="auto" w:before="117"/>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302" w:lineRule="auto" w:before="42"/>
        <w:ind w:right="1148" w:firstLine="360"/>
        <w:jc w:val="both"/>
      </w:pPr>
      <w:r>
        <w:rPr/>
        <w:t>根据中国证监会发布的《上市公司行业分类指引（</w:t>
      </w:r>
      <w:r>
        <w:rPr>
          <w:rFonts w:ascii="Times New Roman" w:hAnsi="Times New Roman" w:cs="Times New Roman" w:eastAsia="Times New Roman" w:hint="default"/>
        </w:rPr>
        <w:t>2012</w:t>
      </w:r>
      <w:r>
        <w:rPr/>
        <w:t>年修订稿）》，威富通所处行业属于</w:t>
      </w:r>
      <w:r>
        <w:rPr>
          <w:rFonts w:ascii="Times New Roman" w:hAnsi="Times New Roman" w:cs="Times New Roman" w:eastAsia="Times New Roman" w:hint="default"/>
        </w:rPr>
        <w:t>“</w:t>
      </w:r>
      <w:r>
        <w:rPr/>
        <w:t>信息传输、软件和信息技 术服务业</w:t>
      </w:r>
      <w:r>
        <w:rPr>
          <w:rFonts w:ascii="Times New Roman" w:hAnsi="Times New Roman" w:cs="Times New Roman" w:eastAsia="Times New Roman" w:hint="default"/>
        </w:rPr>
        <w:t>”</w:t>
      </w:r>
      <w:r>
        <w:rPr/>
        <w:t>项下的</w:t>
      </w:r>
      <w:r>
        <w:rPr>
          <w:rFonts w:ascii="Times New Roman" w:hAnsi="Times New Roman" w:cs="Times New Roman" w:eastAsia="Times New Roman" w:hint="default"/>
        </w:rPr>
        <w:t>“I65</w:t>
      </w:r>
      <w:r>
        <w:rPr/>
        <w:t>软件和信息技术服务业</w:t>
      </w:r>
      <w:r>
        <w:rPr>
          <w:rFonts w:ascii="Times New Roman" w:hAnsi="Times New Roman" w:cs="Times New Roman" w:eastAsia="Times New Roman" w:hint="default"/>
        </w:rPr>
        <w:t>”</w:t>
      </w:r>
      <w:r>
        <w:rPr/>
        <w:t>。主要监管部门为工业与信息化部。</w:t>
      </w:r>
    </w:p>
    <w:p>
      <w:pPr>
        <w:pStyle w:val="BodyText"/>
        <w:spacing w:line="319" w:lineRule="auto" w:before="49"/>
        <w:ind w:right="1131" w:firstLine="360"/>
        <w:jc w:val="both"/>
      </w:pPr>
      <w:r>
        <w:rPr>
          <w:spacing w:val="-2"/>
        </w:rPr>
        <w:t>上市公司将在原有的超细纤维合成革的研制开发、生产、销售与服务业务的基础上，新增移动支付软件服务业务。尝试</w:t>
      </w:r>
      <w:r>
        <w:rPr/>
        <w:t> 搭建传统产业与新兴产业的多元发展格局，初步实现公司双轮驱动的战略发展目标。</w:t>
      </w:r>
    </w:p>
    <w:p>
      <w:pPr>
        <w:pStyle w:val="BodyText"/>
        <w:spacing w:line="319" w:lineRule="auto" w:before="55"/>
        <w:ind w:right="1131" w:firstLine="360"/>
        <w:jc w:val="both"/>
      </w:pPr>
      <w:r>
        <w:rPr>
          <w:spacing w:val="-2"/>
        </w:rPr>
        <w:t>作为上市公司传统主业的超细纤维合成革的研制开发、生产、销售与服务业务，公司凭借已经具备的生产技术、客户资</w:t>
      </w:r>
      <w:r>
        <w:rPr/>
        <w:t> 源及质量品牌方面的优势，通过不断优化产品结构、完善产业链、拓展产业布局的方式实现了营业收入稳步增长的局面。</w:t>
      </w:r>
    </w:p>
    <w:p>
      <w:pPr>
        <w:pStyle w:val="BodyText"/>
        <w:spacing w:line="319" w:lineRule="auto" w:before="56"/>
        <w:ind w:right="1133"/>
        <w:jc w:val="both"/>
      </w:pPr>
      <w:r>
        <w:rPr>
          <w:spacing w:val="-2"/>
        </w:rPr>
        <w:t>作为上市公司新兴主业的移动支付软件服务业务。移动支付技术不断完善、人们支付习惯的逐渐改变、移动支付市场需求的</w:t>
      </w:r>
      <w:r>
        <w:rPr>
          <w:spacing w:val="-66"/>
        </w:rPr>
        <w:t> </w:t>
      </w:r>
      <w:r>
        <w:rPr>
          <w:spacing w:val="-66"/>
        </w:rPr>
      </w:r>
      <w:r>
        <w:rPr>
          <w:spacing w:val="-2"/>
        </w:rPr>
        <w:t>快速增加，将带来威富通所在的移动支付软件服务行业的快速发展，并使得威富通的业绩迅速提升，从而驱动上市公司新兴</w:t>
      </w:r>
      <w:r>
        <w:rPr>
          <w:spacing w:val="-66"/>
        </w:rPr>
        <w:t> </w:t>
      </w:r>
      <w:r>
        <w:rPr>
          <w:spacing w:val="-66"/>
        </w:rPr>
      </w:r>
      <w:r>
        <w:rPr/>
        <w:t>主业的业绩快速增长。</w:t>
      </w:r>
    </w:p>
    <w:p>
      <w:pPr>
        <w:pStyle w:val="BodyText"/>
        <w:spacing w:line="302" w:lineRule="auto" w:before="55"/>
        <w:ind w:right="1147" w:firstLine="360"/>
        <w:jc w:val="both"/>
      </w:pPr>
      <w:r>
        <w:rPr/>
        <w:t>威富通可推动上市公司现有经营模式的拓展，向</w:t>
      </w:r>
      <w:r>
        <w:rPr>
          <w:rFonts w:ascii="Times New Roman" w:hAnsi="Times New Roman" w:cs="Times New Roman" w:eastAsia="Times New Roman" w:hint="default"/>
        </w:rPr>
        <w:t>“</w:t>
      </w:r>
      <w:r>
        <w:rPr/>
        <w:t>制造业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发展模式迈进，有助于提升上市公司的综合竞争力、 品牌影响力和行业地位。</w:t>
      </w:r>
    </w:p>
    <w:p>
      <w:pPr>
        <w:pStyle w:val="BodyText"/>
        <w:spacing w:line="314" w:lineRule="auto" w:before="68"/>
        <w:ind w:right="1131" w:firstLine="360"/>
        <w:jc w:val="both"/>
      </w:pPr>
      <w:r>
        <w:rPr>
          <w:spacing w:val="-2"/>
        </w:rPr>
        <w:t>威富通资产是盈利状况良好的优质资产，将提升上市公司的盈利能力，维护上市公司全体股东的利益。公司合并口径资</w:t>
      </w:r>
      <w:r>
        <w:rPr/>
        <w:t> </w:t>
      </w:r>
      <w:r>
        <w:rPr>
          <w:spacing w:val="-2"/>
        </w:rPr>
        <w:t>产总额和净资产规模将得到提高，收入规模将进一步提升，有利于增强公司持续经营能力和抗风险能力。上市公司在传统主</w:t>
      </w:r>
      <w:r>
        <w:rPr>
          <w:spacing w:val="-66"/>
        </w:rPr>
        <w:t> </w:t>
      </w:r>
      <w:r>
        <w:rPr>
          <w:spacing w:val="-66"/>
        </w:rPr>
      </w:r>
      <w:r>
        <w:rPr>
          <w:spacing w:val="-2"/>
        </w:rPr>
        <w:t>业方面具有技术优势，威富通在移动支付软件服务业方面具有技术优势。收购威富通，将移动支付服务融入上市公司传统主</w:t>
      </w:r>
      <w:r>
        <w:rPr>
          <w:spacing w:val="-66"/>
        </w:rPr>
        <w:t> </w:t>
      </w:r>
      <w:r>
        <w:rPr>
          <w:spacing w:val="-66"/>
        </w:rPr>
      </w:r>
      <w:r>
        <w:rPr/>
        <w:t>业，形成的传统主业</w:t>
      </w:r>
      <w:r>
        <w:rPr>
          <w:rFonts w:ascii="Times New Roman" w:hAnsi="Times New Roman" w:cs="Times New Roman" w:eastAsia="Times New Roman" w:hint="default"/>
        </w:rPr>
        <w:t>+</w:t>
      </w:r>
      <w:r>
        <w:rPr/>
        <w:t>移动支付软件服务业可实现有效的整合、协同，可以在保持公司行业优势的前提下，为上市公司拓宽 </w:t>
      </w:r>
      <w:r>
        <w:rPr>
          <w:spacing w:val="-2"/>
        </w:rPr>
        <w:t>新市场，最大限度地挖掘客户，满足客户需求，提升客户体验和满意度，增强客户粘性，有利于上市公司进一步优化市场营</w:t>
      </w:r>
      <w:r>
        <w:rPr>
          <w:spacing w:val="-66"/>
        </w:rPr>
        <w:t> </w:t>
      </w:r>
      <w:r>
        <w:rPr>
          <w:spacing w:val="-66"/>
        </w:rPr>
      </w:r>
      <w:r>
        <w:rPr/>
        <w:t>销，提高上市公司的风险防控水平。</w:t>
      </w:r>
    </w:p>
    <w:p>
      <w:pPr>
        <w:pStyle w:val="BodyText"/>
        <w:spacing w:line="319" w:lineRule="auto" w:before="60"/>
        <w:ind w:right="1133" w:firstLine="360"/>
        <w:jc w:val="both"/>
      </w:pPr>
      <w:r>
        <w:rPr>
          <w:spacing w:val="-2"/>
        </w:rPr>
        <w:t>移动支付软件服务业务将成为上市公司新的业绩增长点，提高业务多元化程度，有助于提高上市公司盈利能力，提升上</w:t>
      </w:r>
      <w:r>
        <w:rPr/>
        <w:t> 市公司价值，进而实现股东价值最大化。</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type w:val="continuous"/>
          <w:pgSz w:w="11910" w:h="16840"/>
          <w:pgMar w:top="1060" w:bottom="70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2"/>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032"/>
        <w:jc w:val="left"/>
      </w:pPr>
      <w:r>
        <w:rPr/>
        <w:t>（一）行业发展趋势</w:t>
      </w:r>
    </w:p>
    <w:p>
      <w:pPr>
        <w:pStyle w:val="BodyText"/>
        <w:spacing w:line="338" w:lineRule="auto" w:before="116"/>
        <w:ind w:left="514" w:right="1032"/>
        <w:jc w:val="left"/>
      </w:pPr>
      <w:r>
        <w:rPr>
          <w:rFonts w:ascii="Times New Roman" w:hAnsi="Times New Roman" w:cs="Times New Roman" w:eastAsia="Times New Roman" w:hint="default"/>
        </w:rPr>
        <w:t>1</w:t>
      </w:r>
      <w:r>
        <w:rPr/>
        <w:t>、超纤行业发展趋势 </w:t>
      </w:r>
      <w:r>
        <w:rPr>
          <w:spacing w:val="-2"/>
        </w:rPr>
        <w:t>随着我国国民经济的迅速发展和人民生活水平的不断提高，人们对皮革制品的需求量日益增长。与此同时，光鲜亮丽的</w:t>
      </w:r>
    </w:p>
    <w:p>
      <w:pPr>
        <w:pStyle w:val="BodyText"/>
        <w:spacing w:line="309" w:lineRule="auto" w:before="2"/>
        <w:ind w:right="1052"/>
        <w:jc w:val="left"/>
      </w:pPr>
      <w:r>
        <w:rPr>
          <w:spacing w:val="-2"/>
        </w:rPr>
        <w:t>天然皮革制品背后是血淋淋的虐杀以及皮革加工过程中所带来的环境负荷和健康危险。当我们不断追求时尚的时候，传统的</w:t>
      </w:r>
      <w:r>
        <w:rPr>
          <w:spacing w:val="-64"/>
        </w:rPr>
        <w:t> </w:t>
      </w:r>
      <w:r>
        <w:rPr>
          <w:spacing w:val="-64"/>
        </w:rPr>
      </w:r>
      <w:r>
        <w:rPr/>
        <w:t>天然皮革由于资源有限、生态平衡、环境保护、</w:t>
      </w:r>
      <w:r>
        <w:rPr>
          <w:rFonts w:ascii="Times New Roman" w:hAnsi="Times New Roman" w:cs="Times New Roman" w:eastAsia="Times New Roman" w:hint="default"/>
        </w:rPr>
        <w:t>“</w:t>
      </w:r>
      <w:r>
        <w:rPr/>
        <w:t>无需伤害</w:t>
      </w:r>
      <w:r>
        <w:rPr>
          <w:rFonts w:ascii="Times New Roman" w:hAnsi="Times New Roman" w:cs="Times New Roman" w:eastAsia="Times New Roman" w:hint="default"/>
        </w:rPr>
        <w:t>”</w:t>
      </w:r>
      <w:r>
        <w:rPr/>
        <w:t>的消费观等原因，已远远不能满足工业和人们消费增长的需要， 取而代之的将是超纤材料。</w:t>
      </w:r>
    </w:p>
    <w:p>
      <w:pPr>
        <w:pStyle w:val="BodyText"/>
        <w:spacing w:line="319" w:lineRule="auto" w:before="62"/>
        <w:ind w:right="1032" w:firstLine="360"/>
        <w:jc w:val="left"/>
      </w:pPr>
      <w:r>
        <w:rPr>
          <w:spacing w:val="-2"/>
        </w:rPr>
        <w:t>超纤材料从外观和性能上极似天然皮革，具有柔软、手感丰满、吸湿性高、穿着舒适等特点，而且在机械强度、耐化学</w:t>
      </w:r>
      <w:r>
        <w:rPr/>
        <w:t> </w:t>
      </w:r>
      <w:r>
        <w:rPr>
          <w:spacing w:val="-4"/>
        </w:rPr>
        <w:t>性、质量稳定性、自动化剪裁、加工适应性等方面更优于天然皮革，被广泛应用于制鞋、箱包、沙发、汽车内饰、服装用革、</w:t>
      </w:r>
      <w:r>
        <w:rPr>
          <w:spacing w:val="-46"/>
        </w:rPr>
        <w:t> </w:t>
      </w:r>
      <w:r>
        <w:rPr>
          <w:spacing w:val="-46"/>
        </w:rPr>
      </w:r>
      <w:r>
        <w:rPr>
          <w:spacing w:val="-2"/>
        </w:rPr>
        <w:t>精密仪器及镜头、手机的擦拭布等领域，随着新技术和新生产工艺的不断应用，未来，超纤材料将能满足更多个性化、多样</w:t>
      </w:r>
      <w:r>
        <w:rPr>
          <w:spacing w:val="-64"/>
        </w:rPr>
        <w:t> </w:t>
      </w:r>
      <w:r>
        <w:rPr>
          <w:spacing w:val="-64"/>
        </w:rPr>
      </w:r>
      <w:r>
        <w:rPr/>
        <w:t>化需求，应用的广度和深度也将进一步拓展，替代天然皮革市场的空间和潜力仍然很大，市场前景极为广阔。</w:t>
      </w:r>
    </w:p>
    <w:p>
      <w:pPr>
        <w:pStyle w:val="BodyText"/>
        <w:spacing w:line="338" w:lineRule="auto" w:before="56"/>
        <w:ind w:left="514" w:right="1032"/>
        <w:jc w:val="left"/>
      </w:pPr>
      <w:r>
        <w:rPr>
          <w:rFonts w:ascii="Times New Roman" w:hAnsi="Times New Roman" w:cs="Times New Roman" w:eastAsia="Times New Roman" w:hint="default"/>
        </w:rPr>
        <w:t>2</w:t>
      </w:r>
      <w:r>
        <w:rPr/>
        <w:t>、威富通所处行业发展趋势 </w:t>
      </w:r>
      <w:r>
        <w:rPr>
          <w:spacing w:val="-2"/>
        </w:rPr>
        <w:t>报告期内，</w:t>
      </w:r>
      <w:r>
        <w:rPr>
          <w:rFonts w:ascii="Times New Roman" w:hAnsi="Times New Roman" w:cs="Times New Roman" w:eastAsia="Times New Roman" w:hint="default"/>
          <w:spacing w:val="-2"/>
        </w:rPr>
        <w:t>“</w:t>
      </w:r>
      <w:r>
        <w:rPr>
          <w:spacing w:val="-2"/>
        </w:rPr>
        <w:t>断直连</w:t>
      </w:r>
      <w:r>
        <w:rPr>
          <w:rFonts w:ascii="Times New Roman" w:hAnsi="Times New Roman" w:cs="Times New Roman" w:eastAsia="Times New Roman" w:hint="default"/>
          <w:spacing w:val="-2"/>
        </w:rPr>
        <w:t>”</w:t>
      </w:r>
      <w:r>
        <w:rPr>
          <w:spacing w:val="-2"/>
        </w:rPr>
        <w:t>及相关工作对威富通原有的银行业务模式产生了较大影响，并直接影响到了威富通的交易流水。但</w:t>
      </w:r>
    </w:p>
    <w:p>
      <w:pPr>
        <w:pStyle w:val="BodyText"/>
        <w:spacing w:line="217" w:lineRule="exact"/>
        <w:ind w:right="0"/>
        <w:jc w:val="left"/>
      </w:pPr>
      <w:r>
        <w:rPr/>
        <w:t>是，从移动支付的行业发展趋势来看，目前仍处于总体快速增长阶段。此外，威富通基于先期的技术积淀和市场布局，不断</w:t>
      </w:r>
    </w:p>
    <w:p>
      <w:pPr>
        <w:pStyle w:val="BodyText"/>
        <w:spacing w:line="319" w:lineRule="auto" w:before="76"/>
        <w:ind w:right="1032"/>
        <w:jc w:val="left"/>
      </w:pPr>
      <w:r>
        <w:rPr>
          <w:spacing w:val="-2"/>
        </w:rPr>
        <w:t>地对客户、行业及市场进行纵深挖掘，不断开辟更为广阔的行业市场。威富通在该行业的先发优势、技术优势、资源优势都</w:t>
      </w:r>
      <w:r>
        <w:rPr>
          <w:spacing w:val="-66"/>
        </w:rPr>
        <w:t> </w:t>
      </w:r>
      <w:r>
        <w:rPr>
          <w:spacing w:val="-66"/>
        </w:rPr>
      </w:r>
      <w:r>
        <w:rPr/>
        <w:t>较为明显，随着互联网及移动支付的进一步普及，预计威富通所处细分市场的潜在发展空间仍很巨大。</w:t>
      </w:r>
    </w:p>
    <w:p>
      <w:pPr>
        <w:pStyle w:val="BodyText"/>
        <w:spacing w:line="240" w:lineRule="auto" w:before="56"/>
        <w:ind w:left="514" w:right="1032"/>
        <w:jc w:val="left"/>
      </w:pPr>
      <w:r>
        <w:rPr/>
        <w:t>（二）公司未来发展战略规划及</w:t>
      </w:r>
      <w:r>
        <w:rPr>
          <w:rFonts w:ascii="Times New Roman" w:hAnsi="Times New Roman" w:cs="Times New Roman" w:eastAsia="Times New Roman" w:hint="default"/>
        </w:rPr>
        <w:t>2019</w:t>
      </w:r>
      <w:r>
        <w:rPr/>
        <w:t>年经营计划</w:t>
      </w:r>
    </w:p>
    <w:p>
      <w:pPr>
        <w:pStyle w:val="BodyText"/>
        <w:spacing w:line="338" w:lineRule="auto" w:before="102"/>
        <w:ind w:left="514" w:right="1032"/>
        <w:jc w:val="left"/>
      </w:pPr>
      <w:r>
        <w:rPr>
          <w:rFonts w:ascii="Times New Roman" w:hAnsi="Times New Roman" w:cs="Times New Roman" w:eastAsia="Times New Roman" w:hint="default"/>
        </w:rPr>
        <w:t>1</w:t>
      </w:r>
      <w:r>
        <w:rPr/>
        <w:t>、上市公司方面 </w:t>
      </w:r>
      <w:r>
        <w:rPr>
          <w:spacing w:val="-2"/>
        </w:rPr>
        <w:t>根据公司中长期发展战略，</w:t>
      </w:r>
      <w:r>
        <w:rPr>
          <w:rFonts w:ascii="Times New Roman" w:hAnsi="Times New Roman" w:cs="Times New Roman" w:eastAsia="Times New Roman" w:hint="default"/>
          <w:spacing w:val="-2"/>
        </w:rPr>
        <w:t>“</w:t>
      </w:r>
      <w:r>
        <w:rPr>
          <w:spacing w:val="-2"/>
        </w:rPr>
        <w:t>产业发展是基础，管理是发展的保障，人才是发展的支撑</w:t>
      </w:r>
      <w:r>
        <w:rPr>
          <w:rFonts w:ascii="Times New Roman" w:hAnsi="Times New Roman" w:cs="Times New Roman" w:eastAsia="Times New Roman" w:hint="default"/>
          <w:spacing w:val="-2"/>
        </w:rPr>
        <w:t>”</w:t>
      </w:r>
      <w:r>
        <w:rPr>
          <w:spacing w:val="-2"/>
        </w:rPr>
        <w:t>，公司将持续加大品牌投入，提</w:t>
      </w:r>
    </w:p>
    <w:p>
      <w:pPr>
        <w:pStyle w:val="BodyText"/>
        <w:spacing w:line="217" w:lineRule="exact"/>
        <w:ind w:right="0"/>
        <w:jc w:val="left"/>
      </w:pPr>
      <w:r>
        <w:rPr/>
        <w:t>升研发能力和自主创新能力，并打造高素质、高效率的人员团队，严格贯彻执行公司的发展战略。同时，抓住国家产业升级</w:t>
      </w:r>
    </w:p>
    <w:p>
      <w:pPr>
        <w:pStyle w:val="BodyText"/>
        <w:spacing w:line="240" w:lineRule="auto" w:before="78"/>
        <w:ind w:right="1032"/>
        <w:jc w:val="left"/>
      </w:pPr>
      <w:r>
        <w:rPr/>
        <w:t>的有利时机和</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的国家制造业蓝图，进一步完善产业布局，继续做大做强超纤材料产业。</w:t>
      </w:r>
    </w:p>
    <w:p>
      <w:pPr>
        <w:pStyle w:val="BodyText"/>
        <w:spacing w:line="302" w:lineRule="auto" w:before="101"/>
        <w:ind w:right="1032" w:firstLine="360"/>
        <w:jc w:val="left"/>
      </w:pPr>
      <w:r>
        <w:rPr>
          <w:rFonts w:ascii="Times New Roman" w:hAnsi="Times New Roman" w:cs="Times New Roman" w:eastAsia="Times New Roman" w:hint="default"/>
          <w:spacing w:val="-1"/>
        </w:rPr>
        <w:t>2019</w:t>
      </w:r>
      <w:r>
        <w:rPr>
          <w:spacing w:val="-1"/>
        </w:rPr>
        <w:t>年，是华峰超纤走向</w:t>
      </w:r>
      <w:r>
        <w:rPr>
          <w:rFonts w:ascii="Times New Roman" w:hAnsi="Times New Roman" w:cs="Times New Roman" w:eastAsia="Times New Roman" w:hint="default"/>
          <w:spacing w:val="-1"/>
        </w:rPr>
        <w:t>“</w:t>
      </w:r>
      <w:r>
        <w:rPr>
          <w:spacing w:val="-1"/>
        </w:rPr>
        <w:t>量增</w:t>
      </w:r>
      <w:r>
        <w:rPr>
          <w:rFonts w:ascii="Times New Roman" w:hAnsi="Times New Roman" w:cs="Times New Roman" w:eastAsia="Times New Roman" w:hint="default"/>
          <w:spacing w:val="-1"/>
        </w:rPr>
        <w:t>”</w:t>
      </w:r>
      <w:r>
        <w:rPr>
          <w:spacing w:val="-1"/>
        </w:rPr>
        <w:t>与</w:t>
      </w:r>
      <w:r>
        <w:rPr>
          <w:rFonts w:ascii="Times New Roman" w:hAnsi="Times New Roman" w:cs="Times New Roman" w:eastAsia="Times New Roman" w:hint="default"/>
          <w:spacing w:val="-1"/>
        </w:rPr>
        <w:t>“</w:t>
      </w:r>
      <w:r>
        <w:rPr>
          <w:spacing w:val="-1"/>
        </w:rPr>
        <w:t>质变</w:t>
      </w:r>
      <w:r>
        <w:rPr>
          <w:rFonts w:ascii="Times New Roman" w:hAnsi="Times New Roman" w:cs="Times New Roman" w:eastAsia="Times New Roman" w:hint="default"/>
          <w:spacing w:val="-1"/>
        </w:rPr>
        <w:t>”</w:t>
      </w:r>
      <w:r>
        <w:rPr>
          <w:spacing w:val="-1"/>
        </w:rPr>
        <w:t>共同发展的关键之年，未来，我们的竞争优势将更加明显。在</w:t>
      </w:r>
      <w:r>
        <w:rPr>
          <w:rFonts w:ascii="Times New Roman" w:hAnsi="Times New Roman" w:cs="Times New Roman" w:eastAsia="Times New Roman" w:hint="default"/>
          <w:spacing w:val="-1"/>
        </w:rPr>
        <w:t>2019</w:t>
      </w:r>
      <w:r>
        <w:rPr>
          <w:spacing w:val="-1"/>
        </w:rPr>
        <w:t>年及今后一</w:t>
      </w:r>
      <w:r>
        <w:rPr/>
        <w:t> 阶段，公司将根据发展战略的目标，着重抓好以下几项工作：</w:t>
      </w:r>
    </w:p>
    <w:p>
      <w:pPr>
        <w:pStyle w:val="BodyText"/>
        <w:spacing w:line="312" w:lineRule="auto" w:before="68"/>
        <w:ind w:right="1133" w:firstLine="360"/>
        <w:jc w:val="both"/>
      </w:pPr>
      <w:r>
        <w:rPr/>
        <w:t>（</w:t>
      </w:r>
      <w:r>
        <w:rPr>
          <w:rFonts w:ascii="Times New Roman" w:hAnsi="Times New Roman" w:cs="Times New Roman" w:eastAsia="Times New Roman" w:hint="default"/>
        </w:rPr>
        <w:t>1</w:t>
      </w:r>
      <w:r>
        <w:rPr/>
        <w:t>）继续深耕主业促发展。</w:t>
      </w:r>
      <w:r>
        <w:rPr>
          <w:rFonts w:ascii="Times New Roman" w:hAnsi="Times New Roman" w:cs="Times New Roman" w:eastAsia="Times New Roman" w:hint="default"/>
        </w:rPr>
        <w:t>2018</w:t>
      </w:r>
      <w:r>
        <w:rPr/>
        <w:t>年，公司根据启东基地项目建设需求，启动了再融资项目，我们将在</w:t>
      </w:r>
      <w:r>
        <w:rPr>
          <w:rFonts w:ascii="Times New Roman" w:hAnsi="Times New Roman" w:cs="Times New Roman" w:eastAsia="Times New Roman" w:hint="default"/>
        </w:rPr>
        <w:t>2019</w:t>
      </w:r>
      <w:r>
        <w:rPr/>
        <w:t>年继续推进 </w:t>
      </w:r>
      <w:r>
        <w:rPr>
          <w:spacing w:val="-2"/>
        </w:rPr>
        <w:t>该事项，这将对江苏超纤建设给予有力的资金支持，从而促进启东产能的持续释放，聚焦超纤产业，提升市场占有率，充分</w:t>
      </w:r>
      <w:r>
        <w:rPr>
          <w:spacing w:val="-66"/>
        </w:rPr>
        <w:t> </w:t>
      </w:r>
      <w:r>
        <w:rPr>
          <w:spacing w:val="-66"/>
        </w:rPr>
      </w:r>
      <w:r>
        <w:rPr>
          <w:spacing w:val="-2"/>
        </w:rPr>
        <w:t>发挥产能、质量、服务、品牌优势，提升市场竞争力，提升经营效益。同时，我们也必须进一步提升安全生产意识，如履薄</w:t>
      </w:r>
      <w:r>
        <w:rPr>
          <w:spacing w:val="-67"/>
        </w:rPr>
        <w:t> </w:t>
      </w:r>
      <w:r>
        <w:rPr>
          <w:spacing w:val="-67"/>
        </w:rPr>
      </w:r>
      <w:r>
        <w:rPr/>
        <w:t>冰抓规范，深入细致抓监管，严肃认真抓考核，全面提高安全管理工作水平。</w:t>
      </w:r>
    </w:p>
    <w:p>
      <w:pPr>
        <w:pStyle w:val="BodyText"/>
        <w:spacing w:line="302" w:lineRule="auto" w:before="62"/>
        <w:ind w:right="1122" w:firstLine="360"/>
        <w:jc w:val="left"/>
      </w:pPr>
      <w:r>
        <w:rPr/>
        <w:t>（</w:t>
      </w:r>
      <w:r>
        <w:rPr>
          <w:rFonts w:ascii="Times New Roman" w:hAnsi="Times New Roman" w:cs="Times New Roman" w:eastAsia="Times New Roman" w:hint="default"/>
        </w:rPr>
        <w:t>2</w:t>
      </w:r>
      <w:r>
        <w:rPr/>
        <w:t>）深化创新发展增活力。</w:t>
      </w:r>
      <w:r>
        <w:rPr>
          <w:rFonts w:ascii="Times New Roman" w:hAnsi="Times New Roman" w:cs="Times New Roman" w:eastAsia="Times New Roman" w:hint="default"/>
        </w:rPr>
        <w:t>2019</w:t>
      </w:r>
      <w:r>
        <w:rPr/>
        <w:t>年，公司将着重力提升企业的自主创新能力和核心竞争力，以求不断在关键核心技术 研发上取得新突破，不断涉新领域、推出新产品，为占据未来竞争制高点打下基础。</w:t>
      </w:r>
    </w:p>
    <w:p>
      <w:pPr>
        <w:pStyle w:val="BodyText"/>
        <w:spacing w:line="309" w:lineRule="auto" w:before="68"/>
        <w:ind w:right="1032" w:firstLine="360"/>
        <w:jc w:val="left"/>
      </w:pPr>
      <w:r>
        <w:rPr/>
        <w:t>（</w:t>
      </w:r>
      <w:r>
        <w:rPr>
          <w:rFonts w:ascii="Times New Roman" w:hAnsi="Times New Roman" w:cs="Times New Roman" w:eastAsia="Times New Roman" w:hint="default"/>
        </w:rPr>
        <w:t>3</w:t>
      </w:r>
      <w:r>
        <w:rPr/>
        <w:t>）坚持关爱员工凝聚人。关爱员工要在实事上见真诚。把员工的冷暖疾苦放在心上，真诚地关注、关心、关爱、关 怀员工的生活、工作、成长、安全，为员工办实事、解难事、做好事，让员工充分感受到华峰大家庭的温暖，增强获得感、 </w:t>
      </w:r>
      <w:r>
        <w:rPr>
          <w:spacing w:val="-2"/>
        </w:rPr>
        <w:t>幸福感、归属感、安全感。造福员工要在大事上有远见。常言道</w:t>
      </w:r>
      <w:r>
        <w:rPr>
          <w:rFonts w:ascii="Times New Roman" w:hAnsi="Times New Roman" w:cs="Times New Roman" w:eastAsia="Times New Roman" w:hint="default"/>
          <w:spacing w:val="-2"/>
        </w:rPr>
        <w:t>“</w:t>
      </w:r>
      <w:r>
        <w:rPr>
          <w:spacing w:val="-2"/>
        </w:rPr>
        <w:t>将帅无能累死三军</w:t>
      </w:r>
      <w:r>
        <w:rPr>
          <w:rFonts w:ascii="Times New Roman" w:hAnsi="Times New Roman" w:cs="Times New Roman" w:eastAsia="Times New Roman" w:hint="default"/>
          <w:spacing w:val="-2"/>
        </w:rPr>
        <w:t>”</w:t>
      </w:r>
      <w:r>
        <w:rPr>
          <w:spacing w:val="-2"/>
        </w:rPr>
        <w:t>，要求管理者们要有谋略、有远见，要</w:t>
      </w:r>
      <w:r>
        <w:rPr>
          <w:spacing w:val="-45"/>
        </w:rPr>
        <w:t> </w:t>
      </w:r>
      <w:r>
        <w:rPr>
          <w:spacing w:val="-45"/>
        </w:rPr>
      </w:r>
      <w:r>
        <w:rPr>
          <w:spacing w:val="-2"/>
        </w:rPr>
        <w:t>会做事，做正确的事，善于科学决策、守法合规、精于管理、提高效率，使我们的员工少付出一些不必要的代价，多分享一</w:t>
      </w:r>
      <w:r>
        <w:rPr>
          <w:spacing w:val="-71"/>
        </w:rPr>
        <w:t> </w:t>
      </w:r>
      <w:r>
        <w:rPr>
          <w:spacing w:val="-71"/>
        </w:rPr>
      </w:r>
      <w:r>
        <w:rPr/>
        <w:t>些企业发展的成果。</w:t>
      </w:r>
    </w:p>
    <w:p>
      <w:pPr>
        <w:pStyle w:val="BodyText"/>
        <w:spacing w:line="240" w:lineRule="auto" w:before="64"/>
        <w:ind w:left="514" w:right="1032"/>
        <w:jc w:val="left"/>
      </w:pPr>
      <w:r>
        <w:rPr/>
        <w:t>（</w:t>
      </w:r>
      <w:r>
        <w:rPr>
          <w:rFonts w:ascii="Times New Roman" w:hAnsi="Times New Roman" w:cs="Times New Roman" w:eastAsia="Times New Roman" w:hint="default"/>
        </w:rPr>
        <w:t>4</w:t>
      </w:r>
      <w:r>
        <w:rPr/>
        <w:t>）加强与威富通之间的协同发展，合理配置资源，实现</w:t>
      </w:r>
      <w:r>
        <w:rPr>
          <w:rFonts w:ascii="Times New Roman" w:hAnsi="Times New Roman" w:cs="Times New Roman" w:eastAsia="Times New Roman" w:hint="default"/>
        </w:rPr>
        <w:t>1+1</w:t>
      </w:r>
      <w:r>
        <w:rPr/>
        <w:t>＞</w:t>
      </w:r>
      <w:r>
        <w:rPr>
          <w:rFonts w:ascii="Times New Roman" w:hAnsi="Times New Roman" w:cs="Times New Roman" w:eastAsia="Times New Roman" w:hint="default"/>
        </w:rPr>
        <w:t>2</w:t>
      </w:r>
      <w:r>
        <w:rPr/>
        <w:t>。</w:t>
      </w:r>
    </w:p>
    <w:p>
      <w:pPr>
        <w:pStyle w:val="BodyText"/>
        <w:spacing w:line="240" w:lineRule="auto" w:before="103"/>
        <w:ind w:left="514" w:right="1032"/>
        <w:jc w:val="left"/>
      </w:pPr>
      <w:r>
        <w:rPr>
          <w:rFonts w:ascii="Times New Roman" w:hAnsi="Times New Roman" w:cs="Times New Roman" w:eastAsia="Times New Roman" w:hint="default"/>
        </w:rPr>
        <w:t>2</w:t>
      </w:r>
      <w:r>
        <w:rPr/>
        <w:t>、威富通方面</w:t>
      </w:r>
    </w:p>
    <w:p>
      <w:pPr>
        <w:pStyle w:val="BodyText"/>
        <w:spacing w:line="309" w:lineRule="auto" w:before="101"/>
        <w:ind w:right="1131" w:firstLine="360"/>
        <w:jc w:val="both"/>
      </w:pPr>
      <w:r>
        <w:rPr>
          <w:rFonts w:ascii="Times New Roman" w:hAnsi="Times New Roman" w:cs="Times New Roman" w:eastAsia="Times New Roman" w:hint="default"/>
          <w:spacing w:val="-2"/>
        </w:rPr>
        <w:t>2019</w:t>
      </w:r>
      <w:r>
        <w:rPr>
          <w:spacing w:val="-2"/>
        </w:rPr>
        <w:t>年，威富通一方面将结合前期的技术积淀、运营经验和行业基础，在产业链上游进一步巩固市场地位，并挖掘更多</w:t>
      </w:r>
      <w:r>
        <w:rPr/>
        <w:t> </w:t>
      </w:r>
      <w:r>
        <w:rPr>
          <w:spacing w:val="-2"/>
        </w:rPr>
        <w:t>的业务模式和盈利增长点；另一方面，将对银行业务进一步细分，有针对性地对银行各细分业务领域进行差异化运营，以确</w:t>
      </w:r>
      <w:r>
        <w:rPr>
          <w:spacing w:val="-66"/>
        </w:rPr>
        <w:t> </w:t>
      </w:r>
      <w:r>
        <w:rPr>
          <w:spacing w:val="-66"/>
        </w:rPr>
      </w:r>
      <w:r>
        <w:rPr/>
        <w:t>保其在银行业务方面的收入实现稳定增长；此外，威富通还将进一步渗透到更多的行业中，保持对客户持续的吸引力。</w:t>
      </w:r>
    </w:p>
    <w:p>
      <w:pPr>
        <w:spacing w:after="0" w:line="30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32"/>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377.799988pt;width:290.95pt;height:20.75pt;mso-position-horizontal-relative:page;mso-position-vertical-relative:page;z-index:-947080" coordorigin="4857,7556" coordsize="5819,415">
            <v:group style="position:absolute;left:4868;top:7568;width:2;height:392" coordorigin="4868,7568" coordsize="2,392">
              <v:shape style="position:absolute;left:4868;top:7568;width:2;height:392" coordorigin="4868,7568" coordsize="0,392" path="m4868,7568l4868,7959e" filled="false" stroked="true" strokeweight="1.160pt" strokecolor="#ffffff">
                <v:path arrowok="t"/>
              </v:shape>
            </v:group>
            <v:group style="position:absolute;left:4880;top:7568;width:5796;height:392" coordorigin="4880,7568" coordsize="5796,392">
              <v:shape style="position:absolute;left:4880;top:7568;width:5796;height:392" coordorigin="4880,7568" coordsize="5796,392" path="m4880,7959l10675,7959,10675,7568,4880,7568,4880,795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报告期内普通股利润分配政策，特别是现金分红政策的制定、执行或调整情况</w:t>
      </w:r>
    </w:p>
    <w:p>
      <w:pPr>
        <w:pStyle w:val="BodyText"/>
        <w:spacing w:line="338" w:lineRule="auto" w:before="117"/>
        <w:ind w:right="3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1,135,835,710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39,754,249.85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39,754,249.85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275,846,460.79</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宋体" w:hAnsi="宋体" w:cs="宋体" w:eastAsia="宋体" w:hint="default"/>
                <w:spacing w:val="1"/>
                <w:sz w:val="18"/>
                <w:szCs w:val="18"/>
              </w:rPr>
              <w:t>的</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1,135,8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5,710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0.35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，合计派发现金</w:t>
            </w:r>
          </w:p>
          <w:p>
            <w:pPr>
              <w:pStyle w:val="TableParagraph"/>
              <w:spacing w:line="240" w:lineRule="auto" w:before="6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39,754,249.85 </w:t>
            </w:r>
            <w:r>
              <w:rPr>
                <w:rFonts w:ascii="宋体" w:hAnsi="宋体" w:cs="宋体" w:eastAsia="宋体" w:hint="default"/>
                <w:spacing w:val="-4"/>
                <w:sz w:val="18"/>
                <w:szCs w:val="18"/>
              </w:rPr>
              <w:t>元，剩余未分配利润结转下一年度。同时，以资本公积金向全体股东每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股，共计转增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567,917,855</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股，转增后公司总股本将增加至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1,703,753,565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74"/>
        <w:ind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right="1033" w:firstLine="325"/>
        <w:jc w:val="left"/>
      </w:pPr>
      <w:r>
        <w:rPr>
          <w:rFonts w:ascii="Times New Roman" w:hAnsi="Times New Roman" w:cs="Times New Roman" w:eastAsia="Times New Roman" w:hint="default"/>
          <w:spacing w:val="-2"/>
        </w:rPr>
        <w:t>2016</w:t>
      </w:r>
      <w:r>
        <w:rPr>
          <w:spacing w:val="-2"/>
        </w:rPr>
        <w:t>年度公司合并报表实现归属于母公司所有者的净利润</w:t>
      </w:r>
      <w:r>
        <w:rPr>
          <w:rFonts w:ascii="Times New Roman" w:hAnsi="Times New Roman" w:cs="Times New Roman" w:eastAsia="Times New Roman" w:hint="default"/>
          <w:spacing w:val="-2"/>
        </w:rPr>
        <w:t>100,548,129.90</w:t>
      </w:r>
      <w:r>
        <w:rPr>
          <w:spacing w:val="-2"/>
        </w:rPr>
        <w:t>元，按</w:t>
      </w:r>
      <w:r>
        <w:rPr>
          <w:rFonts w:ascii="Times New Roman" w:hAnsi="Times New Roman" w:cs="Times New Roman" w:eastAsia="Times New Roman" w:hint="default"/>
          <w:spacing w:val="-2"/>
        </w:rPr>
        <w:t>10%</w:t>
      </w:r>
      <w:r>
        <w:rPr>
          <w:spacing w:val="-2"/>
        </w:rPr>
        <w:t>提取法定盈余公积后，当年实现的可</w:t>
      </w:r>
      <w:r>
        <w:rPr/>
        <w:t> </w:t>
      </w:r>
      <w:r>
        <w:rPr>
          <w:spacing w:val="-2"/>
        </w:rPr>
        <w:t>分配利润为</w:t>
      </w:r>
      <w:r>
        <w:rPr>
          <w:rFonts w:ascii="Times New Roman" w:hAnsi="Times New Roman" w:cs="Times New Roman" w:eastAsia="Times New Roman" w:hint="default"/>
          <w:spacing w:val="-2"/>
        </w:rPr>
        <w:t>90,493,316.91</w:t>
      </w:r>
      <w:r>
        <w:rPr>
          <w:spacing w:val="-2"/>
        </w:rPr>
        <w:t>元，</w:t>
      </w:r>
      <w:r>
        <w:rPr>
          <w:rFonts w:ascii="Times New Roman" w:hAnsi="Times New Roman" w:cs="Times New Roman" w:eastAsia="Times New Roman" w:hint="default"/>
          <w:spacing w:val="-2"/>
        </w:rPr>
        <w:t>2016</w:t>
      </w:r>
      <w:r>
        <w:rPr>
          <w:spacing w:val="-2"/>
        </w:rPr>
        <w:t>年末累计未分配利润为</w:t>
      </w:r>
      <w:r>
        <w:rPr>
          <w:rFonts w:ascii="Times New Roman" w:hAnsi="Times New Roman" w:cs="Times New Roman" w:eastAsia="Times New Roman" w:hint="default"/>
          <w:spacing w:val="-2"/>
        </w:rPr>
        <w:t>595,239,048.32</w:t>
      </w:r>
      <w:r>
        <w:rPr>
          <w:spacing w:val="-2"/>
        </w:rPr>
        <w:t>元。考虑到公司近几年属成长期且有重大资金支出安</w:t>
      </w:r>
      <w:r>
        <w:rPr>
          <w:spacing w:val="-36"/>
        </w:rPr>
        <w:t> </w:t>
      </w:r>
      <w:r>
        <w:rPr>
          <w:spacing w:val="-36"/>
        </w:rPr>
      </w:r>
      <w:r>
        <w:rPr>
          <w:spacing w:val="-2"/>
        </w:rPr>
        <w:t>排，董事会提议</w:t>
      </w:r>
      <w:r>
        <w:rPr>
          <w:rFonts w:ascii="Times New Roman" w:hAnsi="Times New Roman" w:cs="Times New Roman" w:eastAsia="Times New Roman" w:hint="default"/>
          <w:spacing w:val="-2"/>
        </w:rPr>
        <w:t>2016</w:t>
      </w:r>
      <w:r>
        <w:rPr>
          <w:spacing w:val="-2"/>
        </w:rPr>
        <w:t>年度利润分配预案为：拟以</w:t>
      </w:r>
      <w:r>
        <w:rPr>
          <w:rFonts w:ascii="Times New Roman" w:hAnsi="Times New Roman" w:cs="Times New Roman" w:eastAsia="Times New Roman" w:hint="default"/>
          <w:spacing w:val="-2"/>
        </w:rPr>
        <w:t>2016</w:t>
      </w:r>
      <w:r>
        <w:rPr>
          <w:spacing w:val="-2"/>
        </w:rPr>
        <w:t>年末总股本</w:t>
      </w:r>
      <w:r>
        <w:rPr>
          <w:rFonts w:ascii="Times New Roman" w:hAnsi="Times New Roman" w:cs="Times New Roman" w:eastAsia="Times New Roman" w:hint="default"/>
          <w:spacing w:val="-2"/>
        </w:rPr>
        <w:t>475,000,000</w:t>
      </w:r>
      <w:r>
        <w:rPr>
          <w:spacing w:val="-2"/>
        </w:rPr>
        <w:t>股为基数，每</w:t>
      </w:r>
      <w:r>
        <w:rPr>
          <w:rFonts w:ascii="Times New Roman" w:hAnsi="Times New Roman" w:cs="Times New Roman" w:eastAsia="Times New Roman" w:hint="default"/>
          <w:spacing w:val="-2"/>
        </w:rPr>
        <w:t>10</w:t>
      </w:r>
      <w:r>
        <w:rPr>
          <w:spacing w:val="-2"/>
        </w:rPr>
        <w:t>股派送</w:t>
      </w:r>
      <w:r>
        <w:rPr>
          <w:rFonts w:ascii="Times New Roman" w:hAnsi="Times New Roman" w:cs="Times New Roman" w:eastAsia="Times New Roman" w:hint="default"/>
          <w:spacing w:val="-2"/>
        </w:rPr>
        <w:t>0.30</w:t>
      </w:r>
      <w:r>
        <w:rPr>
          <w:spacing w:val="-2"/>
        </w:rPr>
        <w:t>元（含税）现金股利，</w:t>
      </w:r>
      <w:r>
        <w:rPr/>
        <w:t> 合计</w:t>
      </w:r>
      <w:r>
        <w:rPr>
          <w:rFonts w:ascii="Times New Roman" w:hAnsi="Times New Roman" w:cs="Times New Roman" w:eastAsia="Times New Roman" w:hint="default"/>
        </w:rPr>
        <w:t>14,250,000.00</w:t>
      </w:r>
      <w:r>
        <w:rPr/>
        <w:t>元。</w:t>
      </w:r>
    </w:p>
    <w:p>
      <w:pPr>
        <w:pStyle w:val="BodyText"/>
        <w:spacing w:line="240" w:lineRule="auto" w:before="13"/>
        <w:ind w:left="479" w:right="103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spacing w:val="20"/>
        </w:rPr>
        <w:t>年度公司合并报表实现归属于母公司所有者的净利润</w:t>
      </w:r>
      <w:r>
        <w:rPr>
          <w:spacing w:val="-64"/>
        </w:rPr>
        <w:t> </w:t>
      </w:r>
      <w:r>
        <w:rPr>
          <w:rFonts w:ascii="Times New Roman" w:hAnsi="Times New Roman" w:cs="Times New Roman" w:eastAsia="Times New Roman" w:hint="default"/>
        </w:rPr>
        <w:t>249,291,729.69</w:t>
      </w:r>
      <w:r>
        <w:rPr>
          <w:rFonts w:ascii="Times New Roman" w:hAnsi="Times New Roman" w:cs="Times New Roman" w:eastAsia="Times New Roman" w:hint="default"/>
          <w:spacing w:val="-23"/>
        </w:rPr>
        <w:t> </w:t>
      </w:r>
      <w:r>
        <w:rPr>
          <w:spacing w:val="10"/>
        </w:rPr>
        <w:t>元，</w:t>
      </w:r>
      <w:r>
        <w:rPr>
          <w:spacing w:val="-69"/>
        </w:rPr>
        <w:t> </w:t>
      </w:r>
      <w:r>
        <w:rPr>
          <w:spacing w:val="15"/>
        </w:rPr>
        <w:t>母公司按</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spacing w:val="18"/>
        </w:rPr>
        <w:t>提取法定盈余公积</w:t>
      </w:r>
      <w:r>
        <w:rPr>
          <w:spacing w:val="-69"/>
        </w:rPr>
        <w:t> </w:t>
      </w:r>
      <w:r>
        <w:rPr/>
      </w:r>
    </w:p>
    <w:p>
      <w:pPr>
        <w:pStyle w:val="BodyText"/>
        <w:spacing w:line="300" w:lineRule="auto" w:before="63"/>
        <w:ind w:right="1128"/>
        <w:jc w:val="both"/>
      </w:pPr>
      <w:r>
        <w:rPr>
          <w:rFonts w:ascii="Times New Roman" w:hAnsi="Times New Roman" w:cs="Times New Roman" w:eastAsia="Times New Roman" w:hint="default"/>
          <w:spacing w:val="-1"/>
        </w:rPr>
        <w:t>9,818,258.96</w:t>
      </w:r>
      <w:r>
        <w:rPr>
          <w:spacing w:val="-1"/>
        </w:rPr>
        <w:t>后，当年实现的可分配利润为</w:t>
      </w:r>
      <w:r>
        <w:rPr>
          <w:rFonts w:ascii="Times New Roman" w:hAnsi="Times New Roman" w:cs="Times New Roman" w:eastAsia="Times New Roman" w:hint="default"/>
          <w:spacing w:val="-1"/>
        </w:rPr>
        <w:t>239,473,470.73</w:t>
      </w:r>
      <w:r>
        <w:rPr>
          <w:spacing w:val="-1"/>
        </w:rPr>
        <w:t>元，</w:t>
      </w:r>
      <w:r>
        <w:rPr>
          <w:rFonts w:ascii="Times New Roman" w:hAnsi="Times New Roman" w:cs="Times New Roman" w:eastAsia="Times New Roman" w:hint="default"/>
          <w:spacing w:val="-1"/>
        </w:rPr>
        <w:t>2017</w:t>
      </w:r>
      <w:r>
        <w:rPr>
          <w:spacing w:val="-1"/>
        </w:rPr>
        <w:t>年末累计未分配利润为</w:t>
      </w:r>
      <w:r>
        <w:rPr>
          <w:rFonts w:ascii="Times New Roman" w:hAnsi="Times New Roman" w:cs="Times New Roman" w:eastAsia="Times New Roman" w:hint="default"/>
          <w:spacing w:val="-1"/>
        </w:rPr>
        <w:t>820,462,519.05</w:t>
      </w:r>
      <w:r>
        <w:rPr>
          <w:spacing w:val="-1"/>
        </w:rPr>
        <w:t>元。考虑到公司近几</w:t>
      </w:r>
      <w:r>
        <w:rPr>
          <w:spacing w:val="-59"/>
        </w:rPr>
        <w:t> </w:t>
      </w:r>
      <w:r>
        <w:rPr>
          <w:spacing w:val="-59"/>
        </w:rPr>
      </w:r>
      <w:r>
        <w:rPr>
          <w:spacing w:val="-2"/>
        </w:rPr>
        <w:t>年处于发展期，在符合利润分配原则、保证公司的可持续性发展，兼顾股东的即期利益和长远利益，公司特提出</w:t>
      </w:r>
      <w:r>
        <w:rPr>
          <w:rFonts w:ascii="Times New Roman" w:hAnsi="Times New Roman" w:cs="Times New Roman" w:eastAsia="Times New Roman" w:hint="default"/>
          <w:spacing w:val="-2"/>
        </w:rPr>
        <w:t>2017</w:t>
      </w:r>
      <w:r>
        <w:rPr>
          <w:spacing w:val="-2"/>
        </w:rPr>
        <w:t>年度利</w:t>
      </w:r>
      <w:r>
        <w:rPr>
          <w:spacing w:val="-62"/>
        </w:rPr>
        <w:t> </w:t>
      </w:r>
      <w:r>
        <w:rPr/>
        <w:t>润分配预案为：以</w:t>
      </w:r>
      <w:r>
        <w:rPr>
          <w:rFonts w:ascii="Times New Roman" w:hAnsi="Times New Roman" w:cs="Times New Roman" w:eastAsia="Times New Roman" w:hint="default"/>
        </w:rPr>
        <w:t>2017</w:t>
      </w:r>
      <w:r>
        <w:rPr/>
        <w:t>年末的总股本</w:t>
      </w:r>
      <w:r>
        <w:rPr>
          <w:rFonts w:ascii="Times New Roman" w:hAnsi="Times New Roman" w:cs="Times New Roman" w:eastAsia="Times New Roman" w:hint="default"/>
        </w:rPr>
        <w:t>631,019,839</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0.5</w:t>
      </w:r>
      <w:r>
        <w:rPr/>
        <w:t>元（含税），合计派</w:t>
      </w:r>
      <w:r>
        <w:rPr>
          <w:spacing w:val="-46"/>
        </w:rPr>
        <w:t> </w:t>
      </w:r>
      <w:r>
        <w:rPr>
          <w:spacing w:val="-5"/>
        </w:rPr>
        <w:t>发现金</w:t>
      </w:r>
      <w:r>
        <w:rPr>
          <w:rFonts w:ascii="Times New Roman" w:hAnsi="Times New Roman" w:cs="Times New Roman" w:eastAsia="Times New Roman" w:hint="default"/>
          <w:spacing w:val="-5"/>
        </w:rPr>
        <w:t>31,550,991.95</w:t>
      </w:r>
      <w:r>
        <w:rPr>
          <w:spacing w:val="-5"/>
        </w:rPr>
        <w:t>元，剩余未分配利润结转下一年度。同时，以资本公积金向全体股东每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8</w:t>
      </w:r>
      <w:r>
        <w:rPr>
          <w:spacing w:val="-5"/>
        </w:rPr>
        <w:t>股，共计转增</w:t>
      </w:r>
      <w:r>
        <w:rPr>
          <w:rFonts w:ascii="Times New Roman" w:hAnsi="Times New Roman" w:cs="Times New Roman" w:eastAsia="Times New Roman" w:hint="default"/>
          <w:spacing w:val="-5"/>
        </w:rPr>
        <w:t>504,815,871</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股，转增后公司总股本将增加至</w:t>
      </w:r>
      <w:r>
        <w:rPr>
          <w:rFonts w:ascii="Times New Roman" w:hAnsi="Times New Roman" w:cs="Times New Roman" w:eastAsia="Times New Roman" w:hint="default"/>
        </w:rPr>
        <w:t>1,135,835,710</w:t>
      </w:r>
      <w:r>
        <w:rPr/>
        <w:t>股。</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164.479996pt;margin-top:658.419983pt;width:53.9pt;height:15.6pt;mso-position-horizontal-relative:page;mso-position-vertical-relative:page;z-index:-947056" coordorigin="3290,13168" coordsize="1078,312">
            <v:shape style="position:absolute;left:3290;top:13168;width:1078;height:312" coordorigin="3290,13168" coordsize="1078,312" path="m3290,13480l4367,13480,4367,13168,3290,13168,3290,13480xe" filled="true" fillcolor="#ffffff" stroked="false">
              <v:path arrowok="t"/>
              <v:fill type="solid"/>
            </v:shape>
            <w10:wrap type="none"/>
          </v:group>
        </w:pict>
      </w:r>
      <w:r>
        <w:rPr/>
        <w:pict>
          <v:group style="position:absolute;margin-left:164.479996pt;margin-top:698.919983pt;width:53.9pt;height:33.2pt;mso-position-horizontal-relative:page;mso-position-vertical-relative:page;z-index:-947008" coordorigin="3290,13978" coordsize="1078,664">
            <v:group style="position:absolute;left:3290;top:13978;width:1078;height:352" coordorigin="3290,13978" coordsize="1078,352">
              <v:shape style="position:absolute;left:3290;top:13978;width:1078;height:352" coordorigin="3290,13978" coordsize="1078,352" path="m3290,14330l4367,14330,4367,13978,3290,13978,3290,14330xe" filled="true" fillcolor="#ffffff" stroked="false">
                <v:path arrowok="t"/>
                <v:fill type="solid"/>
              </v:shape>
            </v:group>
            <v:group style="position:absolute;left:3290;top:14330;width:1078;height:312" coordorigin="3290,14330" coordsize="1078,312">
              <v:shape style="position:absolute;left:3290;top:14330;width:1078;height:312" coordorigin="3290,14330" coordsize="1078,312" path="m3290,14642l4367,14642,4367,14330,3290,14330,3290,14642xe" filled="true" fillcolor="#ffffff" stroked="false">
                <v:path arrowok="t"/>
                <v:fill type="solid"/>
              </v:shape>
            </v:group>
            <w10:wrap type="none"/>
          </v:group>
        </w:pict>
      </w:r>
    </w:p>
    <w:p>
      <w:pPr>
        <w:pStyle w:val="BodyText"/>
        <w:spacing w:line="240" w:lineRule="auto" w:before="44"/>
        <w:ind w:left="514" w:right="1032"/>
        <w:jc w:val="left"/>
      </w:pPr>
      <w:r>
        <w:rPr>
          <w:rFonts w:ascii="Times New Roman" w:hAnsi="Times New Roman" w:cs="Times New Roman" w:eastAsia="Times New Roman" w:hint="default"/>
        </w:rPr>
        <w:t>2018</w:t>
      </w:r>
      <w:r>
        <w:rPr/>
        <w:t>年度公司合并报表实现归属于上市公司股东的净利润为</w:t>
      </w:r>
      <w:r>
        <w:rPr>
          <w:rFonts w:ascii="Times New Roman" w:hAnsi="Times New Roman" w:cs="Times New Roman" w:eastAsia="Times New Roman" w:hint="default"/>
        </w:rPr>
        <w:t>295,421,303.89</w:t>
      </w:r>
      <w:r>
        <w:rPr/>
        <w:t>元；母公司净利润为</w:t>
      </w:r>
      <w:r>
        <w:rPr>
          <w:rFonts w:ascii="Times New Roman" w:hAnsi="Times New Roman" w:cs="Times New Roman" w:eastAsia="Times New Roman" w:hint="default"/>
        </w:rPr>
        <w:t>195,748,430.98</w:t>
      </w:r>
      <w:r>
        <w:rPr/>
        <w:t>元。按照</w:t>
      </w:r>
    </w:p>
    <w:p>
      <w:pPr>
        <w:pStyle w:val="BodyText"/>
        <w:spacing w:line="240" w:lineRule="auto" w:before="63"/>
        <w:ind w:right="0"/>
        <w:jc w:val="both"/>
      </w:pPr>
      <w:r>
        <w:rPr>
          <w:rFonts w:ascii="Times New Roman" w:hAnsi="Times New Roman" w:cs="Times New Roman" w:eastAsia="Times New Roman" w:hint="default"/>
          <w:spacing w:val="3"/>
        </w:rPr>
        <w:t>2018</w:t>
      </w:r>
      <w:r>
        <w:rPr>
          <w:spacing w:val="3"/>
        </w:rPr>
        <w:t>年度母公司法定盈余公积</w:t>
      </w:r>
      <w:r>
        <w:rPr>
          <w:rFonts w:ascii="Times New Roman" w:hAnsi="Times New Roman" w:cs="Times New Roman" w:eastAsia="Times New Roman" w:hint="default"/>
          <w:spacing w:val="3"/>
        </w:rPr>
        <w:t>19,574,843.10</w:t>
      </w:r>
      <w:r>
        <w:rPr>
          <w:spacing w:val="3"/>
        </w:rPr>
        <w:t>元后，公司</w:t>
      </w:r>
      <w:r>
        <w:rPr>
          <w:rFonts w:ascii="Times New Roman" w:hAnsi="Times New Roman" w:cs="Times New Roman" w:eastAsia="Times New Roman" w:hint="default"/>
          <w:spacing w:val="3"/>
        </w:rPr>
        <w:t>2018</w:t>
      </w:r>
      <w:r>
        <w:rPr>
          <w:spacing w:val="3"/>
        </w:rPr>
        <w:t>年度可供分配利润为</w:t>
      </w:r>
      <w:r>
        <w:rPr>
          <w:rFonts w:ascii="Times New Roman" w:hAnsi="Times New Roman" w:cs="Times New Roman" w:eastAsia="Times New Roman" w:hint="default"/>
          <w:spacing w:val="3"/>
        </w:rPr>
        <w:t>275,846,460.79</w:t>
      </w:r>
      <w:r>
        <w:rPr>
          <w:spacing w:val="3"/>
        </w:rPr>
        <w:t>元。加上年初未分配利润</w:t>
      </w:r>
    </w:p>
    <w:p>
      <w:pPr>
        <w:pStyle w:val="BodyText"/>
        <w:spacing w:line="240" w:lineRule="auto" w:before="63"/>
        <w:ind w:right="0"/>
        <w:jc w:val="both"/>
      </w:pPr>
      <w:r>
        <w:rPr>
          <w:rFonts w:ascii="Times New Roman" w:hAnsi="Times New Roman" w:cs="Times New Roman" w:eastAsia="Times New Roman" w:hint="default"/>
        </w:rPr>
        <w:t>820,462,519.05</w:t>
      </w:r>
      <w:r>
        <w:rPr/>
        <w:t>元，扣除</w:t>
      </w:r>
      <w:r>
        <w:rPr>
          <w:rFonts w:ascii="Times New Roman" w:hAnsi="Times New Roman" w:cs="Times New Roman" w:eastAsia="Times New Roman" w:hint="default"/>
        </w:rPr>
        <w:t>2017</w:t>
      </w:r>
      <w:r>
        <w:rPr/>
        <w:t>年度分红</w:t>
      </w:r>
      <w:r>
        <w:rPr>
          <w:rFonts w:ascii="Times New Roman" w:hAnsi="Times New Roman" w:cs="Times New Roman" w:eastAsia="Times New Roman" w:hint="default"/>
        </w:rPr>
        <w:t>31,550,991.95</w:t>
      </w:r>
      <w:r>
        <w:rPr/>
        <w:t>元，公司累计可供分配利润为</w:t>
      </w:r>
      <w:r>
        <w:rPr>
          <w:rFonts w:ascii="Times New Roman" w:hAnsi="Times New Roman" w:cs="Times New Roman" w:eastAsia="Times New Roman" w:hint="default"/>
        </w:rPr>
        <w:t>1,064,757,987.89</w:t>
      </w:r>
      <w:r>
        <w:rPr/>
        <w:t>元。以</w:t>
      </w:r>
      <w:r>
        <w:rPr>
          <w:rFonts w:ascii="Times New Roman" w:hAnsi="Times New Roman" w:cs="Times New Roman" w:eastAsia="Times New Roman" w:hint="default"/>
        </w:rPr>
        <w:t>2018</w:t>
      </w:r>
      <w:r>
        <w:rPr/>
        <w:t>年末的总股本</w:t>
      </w:r>
    </w:p>
    <w:p>
      <w:pPr>
        <w:pStyle w:val="BodyText"/>
        <w:spacing w:line="300" w:lineRule="auto" w:before="63"/>
        <w:ind w:right="1130"/>
        <w:jc w:val="both"/>
      </w:pPr>
      <w:r>
        <w:rPr>
          <w:rFonts w:ascii="Times New Roman" w:hAnsi="Times New Roman" w:cs="Times New Roman" w:eastAsia="Times New Roman" w:hint="default"/>
        </w:rPr>
        <w:t>1,135,835,710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0.35</w:t>
      </w:r>
      <w:r>
        <w:rPr/>
        <w:t>元（含税），合计派发现金</w:t>
      </w:r>
      <w:r>
        <w:rPr>
          <w:rFonts w:ascii="Times New Roman" w:hAnsi="Times New Roman" w:cs="Times New Roman" w:eastAsia="Times New Roman" w:hint="default"/>
        </w:rPr>
        <w:t>39,754,249.85</w:t>
      </w:r>
      <w:r>
        <w:rPr/>
        <w:t>元，剩余未分</w:t>
      </w:r>
      <w:r>
        <w:rPr>
          <w:spacing w:val="-51"/>
        </w:rPr>
        <w:t> </w:t>
      </w:r>
      <w:r>
        <w:rPr>
          <w:spacing w:val="-51"/>
        </w:rPr>
      </w:r>
      <w:r>
        <w:rPr/>
        <w:t>配利润结转下一年度。同时，以资本公积金向全体股东每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567,917,855</w:t>
      </w:r>
      <w:r>
        <w:rPr/>
        <w:t>股，转增后公司总股本将增加</w:t>
      </w:r>
      <w:r>
        <w:rPr>
          <w:spacing w:val="-84"/>
        </w:rPr>
        <w:t> </w:t>
      </w:r>
      <w:r>
        <w:rPr>
          <w:spacing w:val="-84"/>
        </w:rPr>
      </w:r>
      <w:r>
        <w:rPr/>
        <w:t>至</w:t>
      </w:r>
      <w:r>
        <w:rPr>
          <w:rFonts w:ascii="Times New Roman" w:hAnsi="Times New Roman" w:cs="Times New Roman" w:eastAsia="Times New Roman" w:hint="default"/>
        </w:rPr>
        <w:t>1,703,753,565</w:t>
      </w:r>
      <w:r>
        <w:rPr/>
        <w:t>股。</w:t>
      </w:r>
    </w:p>
    <w:p>
      <w:pPr>
        <w:pStyle w:val="BodyText"/>
        <w:spacing w:line="240" w:lineRule="auto" w:before="53"/>
        <w:ind w:right="0"/>
        <w:jc w:val="both"/>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7"/>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7"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39,754,249.85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295,421,303.89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39,754,249.85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13.46%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31,550,991.95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249,291,729.69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12.66%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31,550,991.95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12.66%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100,548,129.90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14.17%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14.17%</w:t>
            </w:r>
          </w:p>
        </w:tc>
      </w:tr>
    </w:tbl>
    <w:p>
      <w:pPr>
        <w:pStyle w:val="BodyText"/>
        <w:spacing w:line="240" w:lineRule="auto" w:before="51"/>
        <w:ind w:right="1032"/>
        <w:jc w:val="left"/>
      </w:pPr>
      <w:r>
        <w:rPr/>
        <w:t>公司报告期内盈利且母公司可供普通股股东分配利润为正但未提出普通股现金红利分配预案</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2"/>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032"/>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2"/>
        </w:rPr>
        <w:t> </w:t>
      </w:r>
      <w:r>
        <w:rPr>
          <w:spacing w:val="-72"/>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pict>
          <v:group style="position:absolute;margin-left:397.179993pt;margin-top:104.531708pt;width:49.2pt;height:23.4pt;mso-position-horizontal-relative:page;mso-position-vertical-relative:paragraph;z-index:-947032" coordorigin="7944,2091" coordsize="984,468">
            <v:shape style="position:absolute;left:7944;top:2091;width:984;height:468" coordorigin="7944,2091" coordsize="984,468" path="m7944,2559l8927,2559,8927,2091,7944,2091,7944,2559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23"/>
        <w:gridCol w:w="994"/>
        <w:gridCol w:w="1134"/>
        <w:gridCol w:w="3543"/>
        <w:gridCol w:w="994"/>
        <w:gridCol w:w="850"/>
        <w:gridCol w:w="920"/>
      </w:tblGrid>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38"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122"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9" w:space="0" w:color="FFFFFF"/>
            </w:tcBorders>
          </w:tcPr>
          <w:p>
            <w:pPr>
              <w:pStyle w:val="TableParagraph"/>
              <w:spacing w:line="316" w:lineRule="auto" w:before="51"/>
              <w:ind w:left="16" w:right="-39"/>
              <w:jc w:val="left"/>
              <w:rPr>
                <w:rFonts w:ascii="宋体" w:hAnsi="宋体" w:cs="宋体" w:eastAsia="宋体" w:hint="default"/>
                <w:sz w:val="18"/>
                <w:szCs w:val="18"/>
              </w:rPr>
            </w:pPr>
            <w:r>
              <w:rPr>
                <w:rFonts w:ascii="宋体" w:hAnsi="宋体" w:cs="宋体" w:eastAsia="宋体" w:hint="default"/>
                <w:sz w:val="18"/>
                <w:szCs w:val="18"/>
              </w:rPr>
              <w:t>华峰集团、 尤金焕、尤 小华、陈林 </w:t>
            </w:r>
            <w:r>
              <w:rPr>
                <w:rFonts w:ascii="宋体" w:hAnsi="宋体" w:cs="宋体" w:eastAsia="宋体" w:hint="default"/>
                <w:spacing w:val="-15"/>
                <w:sz w:val="18"/>
                <w:szCs w:val="18"/>
              </w:rPr>
              <w:t>真、尤小玲、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尤小燕</w:t>
            </w:r>
          </w:p>
        </w:tc>
        <w:tc>
          <w:tcPr>
            <w:tcW w:w="1134" w:type="dxa"/>
            <w:vMerge w:val="restart"/>
            <w:tcBorders>
              <w:top w:val="single" w:sz="4" w:space="0" w:color="000000"/>
              <w:left w:val="single" w:sz="9" w:space="0" w:color="FFFFFF"/>
              <w:right w:val="single" w:sz="4" w:space="0" w:color="000000"/>
            </w:tcBorders>
          </w:tcPr>
          <w:p>
            <w:pPr>
              <w:pStyle w:val="TableParagraph"/>
              <w:spacing w:line="316" w:lineRule="auto" w:before="51"/>
              <w:ind w:left="16" w:right="199"/>
              <w:jc w:val="both"/>
              <w:rPr>
                <w:rFonts w:ascii="宋体" w:hAnsi="宋体" w:cs="宋体" w:eastAsia="宋体" w:hint="default"/>
                <w:sz w:val="18"/>
                <w:szCs w:val="18"/>
              </w:rPr>
            </w:pPr>
            <w:r>
              <w:rPr>
                <w:rFonts w:ascii="宋体" w:hAnsi="宋体" w:cs="宋体" w:eastAsia="宋体" w:hint="default"/>
                <w:sz w:val="18"/>
                <w:szCs w:val="18"/>
              </w:rPr>
              <w:t>关于上海华 峰超纤材料 股份有限公 司股份锁定 期的承诺</w:t>
            </w:r>
          </w:p>
        </w:tc>
        <w:tc>
          <w:tcPr>
            <w:tcW w:w="35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本公司持有上市公司股份的限售期 即不得通过证券市场公开交易或协议方式转 让的期限，为本承诺出具之日至本次发行结 束之日后十二个月内不转让；</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27" w:hRule="exact"/>
        </w:trPr>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994" w:type="dxa"/>
            <w:vMerge/>
            <w:tcBorders>
              <w:left w:val="single" w:sz="9" w:space="0" w:color="D2D2D2"/>
              <w:bottom w:val="single" w:sz="4" w:space="0" w:color="000000"/>
              <w:right w:val="single" w:sz="9" w:space="0" w:color="FFFFFF"/>
            </w:tcBorders>
          </w:tcPr>
          <w:p>
            <w:pPr/>
          </w:p>
        </w:tc>
        <w:tc>
          <w:tcPr>
            <w:tcW w:w="1134" w:type="dxa"/>
            <w:vMerge/>
            <w:tcBorders>
              <w:left w:val="single" w:sz="9" w:space="0" w:color="FFFFFF"/>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176"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9" w:space="0" w:color="FFFFFF"/>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6" w:right="105"/>
              <w:jc w:val="left"/>
              <w:rPr>
                <w:rFonts w:ascii="宋体" w:hAnsi="宋体" w:cs="宋体" w:eastAsia="宋体" w:hint="default"/>
                <w:sz w:val="18"/>
                <w:szCs w:val="18"/>
              </w:rPr>
            </w:pPr>
            <w:r>
              <w:rPr>
                <w:rFonts w:ascii="宋体" w:hAnsi="宋体" w:cs="宋体" w:eastAsia="宋体" w:hint="default"/>
                <w:spacing w:val="-11"/>
                <w:sz w:val="18"/>
                <w:szCs w:val="18"/>
              </w:rPr>
              <w:t>鲜丹、王彤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叶成春</w:t>
            </w:r>
          </w:p>
        </w:tc>
        <w:tc>
          <w:tcPr>
            <w:tcW w:w="1134" w:type="dxa"/>
            <w:tcBorders>
              <w:top w:val="single" w:sz="4" w:space="0" w:color="000000"/>
              <w:left w:val="single" w:sz="4" w:space="0" w:color="000000"/>
              <w:bottom w:val="nil" w:sz="6" w:space="0" w:color="auto"/>
              <w:right w:val="single" w:sz="4" w:space="0" w:color="000000"/>
            </w:tcBorders>
          </w:tcPr>
          <w:p>
            <w:pPr/>
          </w:p>
        </w:tc>
        <w:tc>
          <w:tcPr>
            <w:tcW w:w="3543" w:type="dxa"/>
            <w:vMerge w:val="restart"/>
            <w:tcBorders>
              <w:top w:val="single" w:sz="4" w:space="0" w:color="000000"/>
              <w:left w:val="single" w:sz="4" w:space="0" w:color="000000"/>
              <w:right w:val="single" w:sz="4" w:space="0" w:color="000000"/>
            </w:tcBorders>
          </w:tcPr>
          <w:p>
            <w:pPr>
              <w:pStyle w:val="TableParagraph"/>
              <w:spacing w:line="312"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在本人作为上市公司的股东或担任威富通董 事、高级管理人员期间和之后的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本人和本人控制的其他企业将不在中国境内 外直接或间接从事任何在商业上对上市公司</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122" w:hRule="exact"/>
        </w:trPr>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9" w:space="0" w:color="FFFFFF"/>
            </w:tcBorders>
          </w:tcPr>
          <w:p>
            <w:pPr/>
          </w:p>
        </w:tc>
        <w:tc>
          <w:tcPr>
            <w:tcW w:w="1134" w:type="dxa"/>
            <w:tcBorders>
              <w:top w:val="nil" w:sz="6" w:space="0" w:color="auto"/>
              <w:left w:val="single" w:sz="9" w:space="0" w:color="FFFFFF"/>
              <w:bottom w:val="single" w:sz="4" w:space="0" w:color="000000"/>
              <w:right w:val="single" w:sz="4" w:space="0" w:color="000000"/>
            </w:tcBorders>
          </w:tcPr>
          <w:p>
            <w:pPr>
              <w:pStyle w:val="TableParagraph"/>
              <w:spacing w:line="196" w:lineRule="exact" w:before="17"/>
              <w:ind w:left="16" w:right="0"/>
              <w:jc w:val="left"/>
              <w:rPr>
                <w:rFonts w:ascii="宋体" w:hAnsi="宋体" w:cs="宋体" w:eastAsia="宋体" w:hint="default"/>
                <w:sz w:val="18"/>
                <w:szCs w:val="18"/>
              </w:rPr>
            </w:pPr>
            <w:r>
              <w:rPr>
                <w:rFonts w:ascii="宋体" w:hAnsi="宋体" w:cs="宋体" w:eastAsia="宋体" w:hint="default"/>
                <w:sz w:val="18"/>
                <w:szCs w:val="18"/>
              </w:rPr>
              <w:t>避免同业竞</w:t>
            </w:r>
          </w:p>
          <w:p>
            <w:pPr>
              <w:pStyle w:val="TableParagraph"/>
              <w:spacing w:line="15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6" w:right="0"/>
              <w:jc w:val="left"/>
              <w:rPr>
                <w:rFonts w:ascii="宋体" w:hAnsi="宋体" w:cs="宋体" w:eastAsia="宋体" w:hint="default"/>
                <w:sz w:val="18"/>
                <w:szCs w:val="18"/>
              </w:rPr>
            </w:pPr>
            <w:r>
              <w:rPr>
                <w:rFonts w:ascii="宋体" w:hAnsi="宋体" w:cs="宋体" w:eastAsia="宋体" w:hint="default"/>
                <w:sz w:val="18"/>
                <w:szCs w:val="18"/>
              </w:rPr>
              <w:t>争的承诺，高</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管任职承诺</w:t>
            </w:r>
          </w:p>
        </w:tc>
        <w:tc>
          <w:tcPr>
            <w:tcW w:w="354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3.037018pt;margin-top:547.539978pt;width:73.350pt;height:92.6pt;mso-position-horizontal-relative:page;mso-position-vertical-relative:page;z-index:-946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准确、</w:t>
                  </w:r>
                </w:p>
              </w:txbxContent>
            </v:textbox>
            <w10:wrap type="none"/>
          </v:shape>
        </w:pict>
      </w:r>
      <w:r>
        <w:rPr/>
        <w:pict>
          <v:group style="position:absolute;margin-left:397.179993pt;margin-top:547.539978pt;width:49.2pt;height:92.6pt;mso-position-horizontal-relative:page;mso-position-vertical-relative:page;z-index:-946960" coordorigin="7944,10951" coordsize="984,1852">
            <v:shape style="position:absolute;left:7944;top:10951;width:984;height:1852" coordorigin="7944,10951" coordsize="984,1852" path="m7944,12802l8927,12802,8927,10951,7944,10951,7944,1280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1134"/>
        <w:gridCol w:w="3543"/>
        <w:gridCol w:w="994"/>
        <w:gridCol w:w="850"/>
        <w:gridCol w:w="920"/>
      </w:tblGrid>
      <w:tr>
        <w:trPr>
          <w:trHeight w:val="31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或威富通构成竞争的业务和活动，本人和本</w:t>
            </w:r>
          </w:p>
        </w:tc>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人控制的其他企业不谋求拥有与上市公司或</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威富通存在竞争关系的任何经济实体的权</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益。本人和本人控制的其他企业从第三方获</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得的商业机会如与上市公司或威富通构成竞</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争或存在构成竞争的可能，则本人和本人控</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制的其他企业将立即通知上市公司或威富通</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并将该商业机会让予上市公司或威富通。若</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该等业务机会尚不具备转让给上市公司或威</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富通的条件，或因其他原因导致上市公司或</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威富通暂无法取得上述业务机会，上市公司</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或威富通有权选择以书面确认的方式要求本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人和本人控制的其他企业放弃该等业务机</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会，或采取法律、法规及中国证券监督管理</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委员会许可的其他方式加以解决。前述对上</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市公司或威富通构成竞争的业务和活动是指</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从事超细纤维聚氨酯合成革的研制开发、生</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产、销售与服务业务或移动支付业务。</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．威</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富通持续发展和竞争优势，作为威富通的核</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心管理团队成员，本人承诺在本次交易完成</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年内持续为威富通服务，并尽可能为威</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2"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富通创造最佳业绩。</w:t>
            </w: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8" w:hRule="exact"/>
        </w:trPr>
        <w:tc>
          <w:tcPr>
            <w:tcW w:w="113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鲜丹、蔡友</w:t>
            </w:r>
          </w:p>
        </w:tc>
        <w:tc>
          <w:tcPr>
            <w:tcW w:w="113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弟、北京奕 铭、王彤、 尤光兴、邓 振国、蔡小 如、中山微 远、于净、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关于锁定期 的承诺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、本人本次认购的上市公司新增股份的限售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期，即不得通过证券市场公开交易或协议方 式转让的期限，为股份发行结束之日即本人 认购的上市公司股份上市之日起三十六个月 内不转让；</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叶成春、</w:t>
            </w:r>
          </w:p>
        </w:tc>
        <w:tc>
          <w:tcPr>
            <w:tcW w:w="113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4"/>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本公司保证向华峰超纤提供的完成本</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次发行所必须的文件和信息内容真实、</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完整，不存在虚假记载、误导性陈述或重大</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本公司资产、资信状况良好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不存在任何违约行为或到期未清偿的债务或</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认购对象关</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未决诉讼、仲裁等可能影响认购本次发行股</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59"/>
              <w:jc w:val="left"/>
              <w:rPr>
                <w:rFonts w:ascii="宋体" w:hAnsi="宋体" w:cs="宋体" w:eastAsia="宋体" w:hint="default"/>
                <w:sz w:val="18"/>
                <w:szCs w:val="18"/>
              </w:rPr>
            </w:pPr>
            <w:r>
              <w:rPr>
                <w:rFonts w:ascii="宋体" w:hAnsi="宋体" w:cs="宋体" w:eastAsia="宋体" w:hint="default"/>
                <w:sz w:val="18"/>
                <w:szCs w:val="18"/>
              </w:rPr>
              <w:t>王蔚、上海 并购基金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99"/>
              <w:jc w:val="left"/>
              <w:rPr>
                <w:rFonts w:ascii="宋体" w:hAnsi="宋体" w:cs="宋体" w:eastAsia="宋体" w:hint="default"/>
                <w:sz w:val="18"/>
                <w:szCs w:val="18"/>
              </w:rPr>
            </w:pPr>
            <w:r>
              <w:rPr>
                <w:rFonts w:ascii="宋体" w:hAnsi="宋体" w:cs="宋体" w:eastAsia="宋体" w:hint="default"/>
                <w:sz w:val="18"/>
                <w:szCs w:val="18"/>
              </w:rPr>
              <w:t>于华峰超纤 募集配套资</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20"/>
              <w:jc w:val="left"/>
              <w:rPr>
                <w:rFonts w:ascii="宋体" w:hAnsi="宋体" w:cs="宋体" w:eastAsia="宋体" w:hint="default"/>
                <w:sz w:val="18"/>
                <w:szCs w:val="18"/>
              </w:rPr>
            </w:pPr>
            <w:r>
              <w:rPr>
                <w:rFonts w:ascii="宋体" w:hAnsi="宋体" w:cs="宋体" w:eastAsia="宋体" w:hint="default"/>
                <w:spacing w:val="-4"/>
                <w:sz w:val="18"/>
                <w:szCs w:val="18"/>
              </w:rPr>
              <w:t>票的情形。</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本公司或本公司董事、监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事、高级管理人员或主要管理人员最近五年</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21"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金的承诺函</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未受过行政处罚（与证券市场明显无关的除</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刑事处罚</w:t>
            </w:r>
            <w:r>
              <w:rPr>
                <w:rFonts w:ascii="宋体" w:hAnsi="宋体" w:cs="宋体" w:eastAsia="宋体" w:hint="default"/>
                <w:spacing w:val="-13"/>
                <w:sz w:val="18"/>
                <w:szCs w:val="18"/>
              </w:rPr>
              <w:t>，</w:t>
            </w:r>
            <w:r>
              <w:rPr>
                <w:rFonts w:ascii="宋体" w:hAnsi="宋体" w:cs="宋体" w:eastAsia="宋体" w:hint="default"/>
                <w:sz w:val="18"/>
                <w:szCs w:val="18"/>
              </w:rPr>
              <w:t>也未涉及与经济纠纷有关的</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重大民事诉讼或仲裁。</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本公司及本公</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司的股东、实际控制人与华峰超纤及其控股</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股东、实际控制人、董事、监事、高级管理</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人员或本次发行的其他对象之间不存在关联</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3.037018pt;margin-top:324.619995pt;width:163.35pt;height:179.45pt;mso-position-horizontal-relative:page;mso-position-vertical-relative:page;z-index:-946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1979" w:right="0"/>
                    <w:jc w:val="left"/>
                  </w:pPr>
                  <w:r>
                    <w:rPr/>
                    <w:t>整，</w:t>
                  </w:r>
                </w:p>
                <w:p>
                  <w:pPr>
                    <w:pStyle w:val="BodyText"/>
                    <w:spacing w:line="240" w:lineRule="auto" w:before="76"/>
                    <w:ind w:left="0" w:right="0" w:firstLine="216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0" w:right="0"/>
                    <w:jc w:val="left"/>
                  </w:pPr>
                  <w:r>
                    <w:rPr/>
                    <w:t>共同为华峰超纤实际控制人，</w:t>
                  </w:r>
                </w:p>
              </w:txbxContent>
            </v:textbox>
            <w10:wrap type="none"/>
          </v:shape>
        </w:pict>
      </w:r>
      <w:r>
        <w:rPr/>
        <w:pict>
          <v:shape style="position:absolute;margin-left:274.028015pt;margin-top:539.26001pt;width:172.35pt;height:179.45pt;mso-position-horizontal-relative:page;mso-position-vertical-relative:page;z-index:-946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级管理人员及其关联方的情形，</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1134"/>
        <w:gridCol w:w="3543"/>
        <w:gridCol w:w="994"/>
        <w:gridCol w:w="850"/>
        <w:gridCol w:w="920"/>
      </w:tblGrid>
      <w:tr>
        <w:trPr>
          <w:trHeight w:val="5043"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关系或一致行动关系。</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本公司认购本</w:t>
            </w:r>
            <w:r>
              <w:rPr>
                <w:rFonts w:ascii="宋体" w:hAnsi="宋体" w:cs="宋体" w:eastAsia="宋体" w:hint="default"/>
                <w:spacing w:val="-80"/>
                <w:sz w:val="18"/>
                <w:szCs w:val="18"/>
              </w:rPr>
              <w:t> </w:t>
            </w:r>
            <w:r>
              <w:rPr>
                <w:rFonts w:ascii="宋体" w:hAnsi="宋体" w:cs="宋体" w:eastAsia="宋体" w:hint="default"/>
                <w:sz w:val="18"/>
                <w:szCs w:val="18"/>
              </w:rPr>
              <w:t>次发行股份的资金均为自有资金或合法筹集 的资金，不存在直接或间接来源于华峰超纤 或其控股股东、实际控制人、董事、监事、 高级管理人员及其关联方的情形，也不存在 接受华峰超纤或其控股股东、实际控制人、 董事、监事、高级管理人员及其关联方提供 担保的情形，不存在任何争议及潜在纠纷， </w:t>
            </w:r>
            <w:r>
              <w:rPr>
                <w:rFonts w:ascii="宋体" w:hAnsi="宋体" w:cs="宋体" w:eastAsia="宋体" w:hint="default"/>
                <w:spacing w:val="-2"/>
                <w:sz w:val="18"/>
                <w:szCs w:val="18"/>
              </w:rPr>
              <w:t>不存在分级收益等结构化安排。</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、本次发行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完成之日起三十六个月内，本人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本公司不以 任何方式转让本次认购的华峰超纤股份，亦 </w:t>
            </w:r>
            <w:r>
              <w:rPr>
                <w:rFonts w:ascii="宋体" w:hAnsi="宋体" w:cs="宋体" w:eastAsia="宋体" w:hint="default"/>
                <w:spacing w:val="-4"/>
                <w:sz w:val="18"/>
                <w:szCs w:val="18"/>
              </w:rPr>
              <w:t>不委托他人管理前述股份。</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次认购华峰超纤股份不存在通过协议、信托 </w:t>
            </w:r>
            <w:r>
              <w:rPr>
                <w:rFonts w:ascii="宋体" w:hAnsi="宋体" w:cs="宋体" w:eastAsia="宋体" w:hint="default"/>
                <w:spacing w:val="-2"/>
                <w:sz w:val="18"/>
                <w:szCs w:val="18"/>
              </w:rPr>
              <w:t>或其他方式为他人代为持有的情形。</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、本承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诺函出具日前六个月内，本人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本公司不存在 买卖华峰超纤股票的情形。</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认购对象关 于华峰超纤 募集配套资 金的承诺函</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、本人保证向华峰超纤提供的完成本次发行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所必须的文件和信息内容真实、准确、完</w:t>
            </w:r>
            <w:r>
              <w:rPr>
                <w:rFonts w:ascii="宋体" w:hAnsi="宋体" w:cs="宋体" w:eastAsia="宋体" w:hint="default"/>
                <w:sz w:val="18"/>
                <w:szCs w:val="18"/>
              </w:rPr>
              <w:t> </w:t>
            </w:r>
            <w:r>
              <w:rPr>
                <w:rFonts w:ascii="宋体" w:hAnsi="宋体" w:cs="宋体" w:eastAsia="宋体" w:hint="default"/>
                <w:spacing w:val="-6"/>
                <w:sz w:val="18"/>
                <w:szCs w:val="18"/>
              </w:rPr>
              <w:t>不存在虚假记载、误导性陈述或重大遗漏。</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本人资产、资信状况良好，不存在任何违约 行为或到期未清偿的债务或未决诉讼、仲裁 </w:t>
            </w:r>
            <w:r>
              <w:rPr>
                <w:rFonts w:ascii="宋体" w:hAnsi="宋体" w:cs="宋体" w:eastAsia="宋体" w:hint="default"/>
                <w:spacing w:val="-2"/>
                <w:sz w:val="18"/>
                <w:szCs w:val="18"/>
              </w:rPr>
              <w:t>等可能影响认购本次发行股票的情形。</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w:t>
            </w:r>
            <w:r>
              <w:rPr>
                <w:rFonts w:ascii="宋体" w:hAnsi="宋体" w:cs="宋体" w:eastAsia="宋体" w:hint="default"/>
                <w:spacing w:val="-84"/>
                <w:sz w:val="18"/>
                <w:szCs w:val="18"/>
              </w:rPr>
              <w:t> </w:t>
            </w:r>
            <w:r>
              <w:rPr>
                <w:rFonts w:ascii="宋体" w:hAnsi="宋体" w:cs="宋体" w:eastAsia="宋体" w:hint="default"/>
                <w:sz w:val="18"/>
                <w:szCs w:val="18"/>
              </w:rPr>
              <w:t>人最近五年未受过行政处罚（与证券市场明</w:t>
            </w:r>
            <w:r>
              <w:rPr>
                <w:rFonts w:ascii="宋体" w:hAnsi="宋体" w:cs="宋体" w:eastAsia="宋体" w:hint="default"/>
                <w:sz w:val="18"/>
                <w:szCs w:val="18"/>
              </w:rPr>
              <w:t> </w:t>
            </w:r>
            <w:r>
              <w:rPr>
                <w:rFonts w:ascii="宋体" w:hAnsi="宋体" w:cs="宋体" w:eastAsia="宋体" w:hint="default"/>
                <w:spacing w:val="-6"/>
                <w:sz w:val="18"/>
                <w:szCs w:val="18"/>
              </w:rPr>
              <w:t>显无关的除外）、刑事处罚，也未涉及与经济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纠纷有关的重大民事诉讼或仲裁。</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、本人与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尤金焕、尤小华、尤小燕、尤小玲、陈林真 为一致行动人， 本人为华峰超纤董事长，与华峰超纤存在关 </w:t>
            </w:r>
            <w:r>
              <w:rPr>
                <w:rFonts w:ascii="宋体" w:hAnsi="宋体" w:cs="宋体" w:eastAsia="宋体" w:hint="default"/>
                <w:spacing w:val="-2"/>
                <w:sz w:val="18"/>
                <w:szCs w:val="18"/>
              </w:rPr>
              <w:t>联关系。</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、本人认购本次发行股份的资金均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为自有资金或合法筹集的资金，不存在直接 或间接来源于华峰超纤或本人以外的其他董 </w:t>
            </w:r>
            <w:r>
              <w:rPr>
                <w:rFonts w:ascii="宋体" w:hAnsi="宋体" w:cs="宋体" w:eastAsia="宋体" w:hint="default"/>
                <w:spacing w:val="-5"/>
                <w:sz w:val="18"/>
                <w:szCs w:val="18"/>
              </w:rPr>
              <w:t>事、监事、高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也不存在接受华峰超纤或本人以外的其他董 事、监事、高级管理人员及其关联方提供担 保的情形，不存在任何争议及潜在纠纷，不 </w:t>
            </w:r>
            <w:r>
              <w:rPr>
                <w:rFonts w:ascii="宋体" w:hAnsi="宋体" w:cs="宋体" w:eastAsia="宋体" w:hint="default"/>
                <w:spacing w:val="-2"/>
                <w:sz w:val="18"/>
                <w:szCs w:val="18"/>
              </w:rPr>
              <w:t>存在分级收益等结构化安排。</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、本次发行完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成之日起三十六个月内，本人不以任何方式 转让本次认购的华峰超纤股份，亦不委托他 </w:t>
            </w:r>
            <w:r>
              <w:rPr>
                <w:rFonts w:ascii="宋体" w:hAnsi="宋体" w:cs="宋体" w:eastAsia="宋体" w:hint="default"/>
                <w:spacing w:val="-2"/>
                <w:sz w:val="18"/>
                <w:szCs w:val="18"/>
              </w:rPr>
              <w:t>人管理前述股份。</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、本人本次认购华峰超纤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股份不存在通过协议、信托或其他方式为他 人代为持有的情形。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8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9.2pt;height:179.45pt;mso-position-horizontal-relative:char;mso-position-vertical-relative:line" coordorigin="0,0" coordsize="984,3589">
                  <v:group style="position:absolute;left:0;top:0;width:984;height:3589" coordorigin="0,0" coordsize="984,3589">
                    <v:shape style="position:absolute;left:0;top:0;width:984;height:3589" coordorigin="0,0" coordsize="984,3589" path="m0,3588l983,3588,983,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358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9.2pt;height:179.45pt;mso-position-horizontal-relative:char;mso-position-vertical-relative:line" coordorigin="0,0" coordsize="984,3589">
                  <v:group style="position:absolute;left:0;top:0;width:984;height:3589" coordorigin="0,0" coordsize="984,3589">
                    <v:shape style="position:absolute;left:0;top:0;width:984;height:3589" coordorigin="0,0" coordsize="984,3589" path="m0,3588l983,3588,983,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8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首次公开发 行或再融资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华峰集团有 限公司、尤 小平、尤金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一、为避免今后与公司之间可能出现的同业 竞争，维护公司全体股东的利益和保证公司 的长期稳定发展，公司的第一大股东华峰集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4.037018pt;margin-top:72.47998pt;width:82.35pt;height:686.5pt;mso-position-horizontal-relative:page;mso-position-vertical-relative:page;z-index:-946816" type="#_x0000_t202" filled="false" stroked="false">
            <v:textbox inset="0,0,0,0">
              <w:txbxContent>
                <w:p>
                  <w:pPr>
                    <w:pStyle w:val="BodyText"/>
                    <w:spacing w:line="240" w:lineRule="auto" w:before="10"/>
                    <w:ind w:left="0" w:right="0"/>
                    <w:jc w:val="left"/>
                  </w:pPr>
                  <w:r>
                    <w:rPr/>
                    <w:t>尤金焕、</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pStyle w:val="BodyText"/>
                    <w:spacing w:line="240" w:lineRule="auto"/>
                    <w:ind w:left="0" w:right="0"/>
                    <w:jc w:val="left"/>
                  </w:pPr>
                  <w:r>
                    <w:rPr/>
                    <w:t>尤金焕、</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540" w:right="0"/>
                    <w:jc w:val="left"/>
                  </w:pPr>
                  <w:r>
                    <w:rPr/>
                    <w:t>、</w:t>
                  </w:r>
                </w:p>
              </w:txbxContent>
            </v:textbox>
            <w10:wrap type="none"/>
          </v:shape>
        </w:pict>
      </w:r>
      <w:r>
        <w:rPr/>
        <w:pict>
          <v:group style="position:absolute;margin-left:163.339996pt;margin-top:71.909981pt;width:55.05pt;height:18.8pt;mso-position-horizontal-relative:page;mso-position-vertical-relative:page;z-index:-946792" coordorigin="3267,1438" coordsize="1101,376">
            <v:group style="position:absolute;left:3278;top:1450;width:2;height:353" coordorigin="3278,1450" coordsize="2,353">
              <v:shape style="position:absolute;left:3278;top:1450;width:2;height:353" coordorigin="3278,1450" coordsize="0,353" path="m3278,1450l3278,1802e" filled="false" stroked="true" strokeweight="1.140pt" strokecolor="#ffffff">
                <v:path arrowok="t"/>
              </v:shape>
            </v:group>
            <v:group style="position:absolute;left:3290;top:1450;width:1078;height:353" coordorigin="3290,1450" coordsize="1078,353">
              <v:shape style="position:absolute;left:3290;top:1450;width:1078;height:353" coordorigin="3290,1450" coordsize="1078,353" path="m3290,1802l4367,1802,4367,1450,3290,1450,3290,18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1134"/>
        <w:gridCol w:w="3543"/>
        <w:gridCol w:w="994"/>
        <w:gridCol w:w="850"/>
        <w:gridCol w:w="920"/>
      </w:tblGrid>
      <w:tr>
        <w:trPr>
          <w:trHeight w:val="318"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时所作承诺</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pacing w:val="-15"/>
                <w:sz w:val="18"/>
                <w:szCs w:val="18"/>
              </w:rPr>
              <w:t>焕、尤小华、</w:t>
            </w:r>
            <w:r>
              <w:rPr>
                <w:rFonts w:ascii="宋体" w:hAnsi="宋体" w:cs="宋体" w:eastAsia="宋体" w:hint="default"/>
                <w:sz w:val="18"/>
                <w:szCs w:val="18"/>
              </w:rPr>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团以及本公司的实际控制人尤小平、</w:t>
            </w:r>
          </w:p>
        </w:tc>
        <w:tc>
          <w:tcPr>
            <w:tcW w:w="994"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2pt;height:686.5pt;mso-position-horizontal-relative:char;mso-position-vertical-relative:line" coordorigin="0,0" coordsize="984,13730">
                  <v:group style="position:absolute;left:0;top:0;width:984;height:13730" coordorigin="0,0" coordsize="984,13730">
                    <v:shape style="position:absolute;left:0;top:0;width:984;height:13730" coordorigin="0,0" coordsize="984,13730" path="m0,13729l983,13729,983,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1"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尤小燕、尤</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尤小华、尤小玲、尤小燕、陈林真分别向本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小玲、陈林</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公司出具了《关于避免同业竞争的承诺函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真</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承诺函的主要内容如下：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、于本承诺函签</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署之日，本公司、本公司（本人）直接或间</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接控制的除股份公司外的其他企业及本公司</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（本人）参股企业均未直接或间接生产、开</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发任何与股份公司生产的产品构成竞争或可</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能构成竞争的产品，未直接或间接从事任何</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与股份公司经营的业务构成竞争或可能构成</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竞争的业务或活动；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、自本承诺函签署之</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日起，本公司、本公司（本人）直接或间接</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控制的除股份公司外的其他企业及本公司</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（本人）参股企业将不直接或间接生产、开</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发任何与股份公司生产的产品构成竞争或可</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能构成竞争的产品，不直接或间接从事任何</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与股份公司经营的业务构成竞争或可能构成</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竞争的业务或活动； </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、自本承诺函签署之</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日起，如股份公司进一步拓展其产品和业务</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范围，本公司、本公司（本人）直接或间接</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控制的除股份公司外的其他企业及本公司</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（本人）参股企业将不与股份公司拓展后的</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产品或业务相竞争；若与股份公司拓展后的</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产品或业务产生竞争，本公司、本公司（本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人）直接或间接控制的除股份公司外的其他</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企业及本公司（本人）参股企业将停止生产</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或经营相竞争的产品或业务，或者将相竞争</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的产品或业务纳入到股份公司的生产或经</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营，或者将相竞争的产品或业务转让给无关</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联关系的第三方；如本承诺函被证明是不真</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实或未被遵守，本公司（本人）将向股份公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司赔偿一切直接和间接损失。二、第一大股</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东华峰集团以及实际控制人尤小平、</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尤小华、陈林真、尤小玲、尤小燕已经出具</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3"/>
                <w:sz w:val="18"/>
                <w:szCs w:val="18"/>
              </w:rPr>
              <w:t>了</w:t>
            </w:r>
            <w:r>
              <w:rPr>
                <w:rFonts w:ascii="宋体" w:hAnsi="宋体" w:cs="宋体" w:eastAsia="宋体" w:hint="default"/>
                <w:sz w:val="18"/>
                <w:szCs w:val="18"/>
              </w:rPr>
              <w:t>《减少及规范关联交易承诺函</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做出如下</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承诺和保证： </w:t>
            </w:r>
            <w:r>
              <w:rPr>
                <w:rFonts w:ascii="Times New Roman" w:hAnsi="Times New Roman" w:cs="Times New Roman" w:eastAsia="Times New Roman" w:hint="default"/>
                <w:sz w:val="18"/>
                <w:szCs w:val="18"/>
              </w:rPr>
              <w:t>1</w:t>
            </w:r>
            <w:r>
              <w:rPr>
                <w:rFonts w:ascii="宋体" w:hAnsi="宋体" w:cs="宋体" w:eastAsia="宋体" w:hint="default"/>
                <w:sz w:val="18"/>
                <w:szCs w:val="18"/>
              </w:rPr>
              <w:t>、华峰集团、尤小平、尤金</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焕、尤小华、陈林真、尤小玲、尤小燕及其</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控制的其他企业将尽量避免与股份公司及其</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控股或控制的子公司之间发生关联交易。</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如果关联交易难以避免，交易双方将严格按</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照正常商业行为准则进行。关联交易的定价</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政策遵循市场公平、公正、公开的原则，交</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易价格依据与市场独立第三方交易价格确</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定。无市场价格可比较或定价受到限制的重</w:t>
            </w: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7.037018pt;margin-top:481.359985pt;width:109.35pt;height:117pt;mso-position-horizontal-relative:page;mso-position-vertical-relative:page;z-index:-946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pStyle w:val="BodyText"/>
                    <w:spacing w:line="240" w:lineRule="auto"/>
                    <w:ind w:left="0" w:right="0"/>
                    <w:jc w:val="left"/>
                  </w:pPr>
                  <w:r>
                    <w:rPr/>
                    <w:t>保证交易公允，</w:t>
                  </w:r>
                </w:p>
              </w:txbxContent>
            </v:textbox>
            <w10:wrap type="none"/>
          </v:shape>
        </w:pict>
      </w:r>
      <w:r>
        <w:rPr/>
        <w:pict>
          <v:group style="position:absolute;margin-left:163.339996pt;margin-top:207.049988pt;width:55.05pt;height:36.4pt;mso-position-horizontal-relative:page;mso-position-vertical-relative:page;z-index:-946744" coordorigin="3267,4141" coordsize="1101,728">
            <v:group style="position:absolute;left:3278;top:4152;width:2;height:705" coordorigin="3278,4152" coordsize="2,705">
              <v:shape style="position:absolute;left:3278;top:4152;width:2;height:705" coordorigin="3278,4152" coordsize="0,705" path="m3278,4152l3278,4857e" filled="false" stroked="true" strokeweight="1.140pt" strokecolor="#ffffff">
                <v:path arrowok="t"/>
              </v:shape>
            </v:group>
            <v:group style="position:absolute;left:3290;top:4152;width:1078;height:352" coordorigin="3290,4152" coordsize="1078,352">
              <v:shape style="position:absolute;left:3290;top:4152;width:1078;height:352" coordorigin="3290,4152" coordsize="1078,352" path="m3290,4504l4367,4504,4367,4152,3290,4152,3290,4504xe" filled="true" fillcolor="#ffffff" stroked="false">
                <v:path arrowok="t"/>
                <v:fill type="solid"/>
              </v:shape>
            </v:group>
            <v:group style="position:absolute;left:3290;top:4504;width:1078;height:353" coordorigin="3290,4504" coordsize="1078,353">
              <v:shape style="position:absolute;left:3290;top:4504;width:1078;height:353" coordorigin="3290,4504" coordsize="1078,353" path="m3290,4857l4367,4857,4367,4504,3290,4504,3290,4857xe" filled="true" fillcolor="#ffffff" stroked="false">
                <v:path arrowok="t"/>
                <v:fill type="solid"/>
              </v:shape>
            </v:group>
            <w10:wrap type="none"/>
          </v:group>
        </w:pict>
      </w:r>
      <w:r>
        <w:rPr/>
        <w:pict>
          <v:group style="position:absolute;margin-left:397.179993pt;margin-top:481.359985pt;width:49.2pt;height:117pt;mso-position-horizontal-relative:page;mso-position-vertical-relative:page;z-index:-946720" coordorigin="7944,9627" coordsize="984,2340">
            <v:shape style="position:absolute;left:7944;top:9627;width:984;height:2340" coordorigin="7944,9627" coordsize="984,2340" path="m7944,11967l8927,11967,8927,9627,7944,9627,7944,1196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1134"/>
        <w:gridCol w:w="3543"/>
        <w:gridCol w:w="994"/>
        <w:gridCol w:w="850"/>
        <w:gridCol w:w="920"/>
      </w:tblGrid>
      <w:tr>
        <w:trPr>
          <w:trHeight w:val="31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大关联交易，按照交易的商品或劳务的成本</w:t>
            </w:r>
          </w:p>
        </w:tc>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3"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基础上加合理利润的标准予以确定交易价</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格，以保证交易价格的公允性。</w:t>
            </w: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本公司董事长尤小平、监事尤小玲以及其直</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系亲属尤金焕、尤小华、尤小燕、陈林真（以</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上六人为本公司实际控制人）均特别承诺：</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在前述限售期满后，在尤小平、尤小玲任职</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尤小平、尤</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期间，每年转让的股份不超过其直接和间接</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5"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金焕、尤小 </w:t>
            </w:r>
            <w:r>
              <w:rPr>
                <w:rFonts w:ascii="宋体" w:hAnsi="宋体" w:cs="宋体" w:eastAsia="宋体" w:hint="default"/>
                <w:spacing w:val="-11"/>
                <w:sz w:val="18"/>
                <w:szCs w:val="18"/>
              </w:rPr>
              <w:t>华、尤小燕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尤小玲、陈</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股份减持承</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8"/>
              <w:jc w:val="both"/>
              <w:rPr>
                <w:rFonts w:ascii="宋体" w:hAnsi="宋体" w:cs="宋体" w:eastAsia="宋体" w:hint="default"/>
                <w:sz w:val="18"/>
                <w:szCs w:val="18"/>
              </w:rPr>
            </w:pPr>
            <w:r>
              <w:rPr>
                <w:rFonts w:ascii="宋体" w:hAnsi="宋体" w:cs="宋体" w:eastAsia="宋体" w:hint="default"/>
                <w:sz w:val="18"/>
                <w:szCs w:val="18"/>
              </w:rPr>
              <w:t>持有发行人股份总数的百分之二十五，并且 在卖出后六个月内不再买入发行人的股份， 买入后六个月内不再卖出发行人股份；尤小</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313"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林真</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平、尤小玲离职后六个月内，不转让其直接</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或间接持有的发行人股份；尤小平、尤小玲</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离职六个月后的十二个月内转让其直接或间</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接持有的发行人股份不超过其该部分股份总</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数的百分之五十。</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一、就与公司避免同业竞争，经华峰氨纶第</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四届董事会第八次会议审议通过，华峰氨纶</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向公司出具</w:t>
            </w:r>
            <w:r>
              <w:rPr>
                <w:rFonts w:ascii="宋体" w:hAnsi="宋体" w:cs="宋体" w:eastAsia="宋体" w:hint="default"/>
                <w:spacing w:val="-8"/>
                <w:sz w:val="18"/>
                <w:szCs w:val="18"/>
              </w:rPr>
              <w:t>了</w:t>
            </w: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pacing w:val="-2"/>
                <w:sz w:val="18"/>
                <w:szCs w:val="18"/>
              </w:rPr>
              <w:t>华</w:t>
            </w:r>
            <w:r>
              <w:rPr>
                <w:rFonts w:ascii="宋体" w:hAnsi="宋体" w:cs="宋体" w:eastAsia="宋体" w:hint="default"/>
                <w:sz w:val="18"/>
                <w:szCs w:val="18"/>
              </w:rPr>
              <w:t>峰氨纶承诺</w:t>
            </w:r>
            <w:r>
              <w:rPr>
                <w:rFonts w:ascii="宋体" w:hAnsi="宋体" w:cs="宋体" w:eastAsia="宋体" w:hint="default"/>
                <w:spacing w:val="-8"/>
                <w:sz w:val="18"/>
                <w:szCs w:val="18"/>
              </w:rPr>
              <w:t>：</w:t>
            </w:r>
            <w:r>
              <w:rPr>
                <w:rFonts w:ascii="宋体" w:hAnsi="宋体" w:cs="宋体" w:eastAsia="宋体" w:hint="default"/>
                <w:sz w:val="18"/>
                <w:szCs w:val="18"/>
              </w:rPr>
              <w:t>截</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至本承诺函签署之日，本公司未直接或间接</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从事与华峰超纤构成竞争的任何业务；自本</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承诺函签署之日起，本公司及下属子公司将</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59"/>
              <w:jc w:val="both"/>
              <w:rPr>
                <w:rFonts w:ascii="宋体" w:hAnsi="宋体" w:cs="宋体" w:eastAsia="宋体" w:hint="default"/>
                <w:sz w:val="18"/>
                <w:szCs w:val="18"/>
              </w:rPr>
            </w:pPr>
            <w:r>
              <w:rPr>
                <w:rFonts w:ascii="宋体" w:hAnsi="宋体" w:cs="宋体" w:eastAsia="宋体" w:hint="default"/>
                <w:sz w:val="18"/>
                <w:szCs w:val="18"/>
              </w:rPr>
              <w:t>浙江华峰氨 纶股份有限 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不直接或间接从事人造革合成革（包括超细 纤维聚氨酯合成革）的生产和销售。</w:t>
            </w:r>
            <w:r>
              <w:rPr>
                <w:rFonts w:ascii="宋体" w:hAnsi="宋体" w:cs="宋体" w:eastAsia="宋体" w:hint="default"/>
                <w:spacing w:val="-14"/>
                <w:sz w:val="18"/>
                <w:szCs w:val="18"/>
              </w:rPr>
              <w:t> </w:t>
            </w:r>
            <w:r>
              <w:rPr>
                <w:rFonts w:ascii="宋体" w:hAnsi="宋体" w:cs="宋体" w:eastAsia="宋体" w:hint="default"/>
                <w:spacing w:val="-3"/>
                <w:sz w:val="18"/>
                <w:szCs w:val="18"/>
              </w:rPr>
              <w:t>二、就</w:t>
            </w:r>
            <w:r>
              <w:rPr>
                <w:rFonts w:ascii="宋体" w:hAnsi="宋体" w:cs="宋体" w:eastAsia="宋体" w:hint="default"/>
                <w:sz w:val="18"/>
                <w:szCs w:val="18"/>
              </w:rPr>
              <w:t> 与公司减少关联交易，经华峰氨纶第四届董 事会第八次会议审议通过，华峰氨纶向公司 </w:t>
            </w:r>
            <w:r>
              <w:rPr>
                <w:rFonts w:ascii="宋体" w:hAnsi="宋体" w:cs="宋体" w:eastAsia="宋体" w:hint="default"/>
                <w:spacing w:val="-6"/>
                <w:sz w:val="18"/>
                <w:szCs w:val="18"/>
              </w:rPr>
              <w:t>出具了《承诺函》，华峰氨纶承诺：本公司及</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下属子公司将不与华峰超纤及其子公司之间</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发生购销商品、提供劳务等经常性的关联交</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易，尽量避免发生偶发性关联交易；确属必</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要的关联交易，须遵循公平、公正的原则，</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严格执行关联交易决策程序，</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不损害双方利益。</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中广核资本</w:t>
            </w:r>
          </w:p>
        </w:tc>
        <w:tc>
          <w:tcPr>
            <w:tcW w:w="113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控股有限公</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司、北信瑞</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丰基金管理 有限公司、 华安未来资 产管理（上</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88"/>
              <w:jc w:val="both"/>
              <w:rPr>
                <w:rFonts w:ascii="宋体" w:hAnsi="宋体" w:cs="宋体" w:eastAsia="宋体" w:hint="default"/>
                <w:sz w:val="18"/>
                <w:szCs w:val="18"/>
              </w:rPr>
            </w:pPr>
            <w:r>
              <w:rPr>
                <w:rFonts w:ascii="宋体" w:hAnsi="宋体" w:cs="宋体" w:eastAsia="宋体" w:hint="default"/>
                <w:sz w:val="18"/>
                <w:szCs w:val="18"/>
              </w:rPr>
              <w:t>认购之华峰超纤非公开发行股份，自华峰超 纤本次非公开股份发行股份上市之日起十二 个月内不进行转让。</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海）有限公</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司，中欧盛</w:t>
            </w:r>
          </w:p>
        </w:tc>
        <w:tc>
          <w:tcPr>
            <w:tcW w:w="113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世资产管理</w:t>
            </w:r>
          </w:p>
        </w:tc>
        <w:tc>
          <w:tcPr>
            <w:tcW w:w="113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4.037018pt;margin-top:266.239990pt;width:172.35pt;height:109.2pt;mso-position-horizontal-relative:page;mso-position-vertical-relative:page;z-index:-946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2"/>
                    <w:ind w:left="0" w:right="0"/>
                    <w:jc w:val="left"/>
                  </w:pPr>
                  <w:r>
                    <w:rPr/>
                    <w:t>提供劳务等经常性的关联交易，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900" w:right="0"/>
                    <w:jc w:val="left"/>
                  </w:pPr>
                  <w:r>
                    <w:rPr/>
                    <w:t>保证交易价格公允，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23"/>
        <w:gridCol w:w="1005"/>
        <w:gridCol w:w="1134"/>
        <w:gridCol w:w="3543"/>
        <w:gridCol w:w="994"/>
        <w:gridCol w:w="850"/>
        <w:gridCol w:w="920"/>
      </w:tblGrid>
      <w:tr>
        <w:trPr>
          <w:trHeight w:val="986" w:hRule="exact"/>
        </w:trPr>
        <w:tc>
          <w:tcPr>
            <w:tcW w:w="1123" w:type="dxa"/>
            <w:vMerge w:val="restart"/>
            <w:tcBorders>
              <w:top w:val="single" w:sz="4" w:space="0" w:color="000000"/>
              <w:left w:val="single" w:sz="4" w:space="0" w:color="000000"/>
              <w:right w:val="single" w:sz="4" w:space="0" w:color="000000"/>
            </w:tcBorders>
            <w:shd w:val="clear" w:color="auto" w:fill="D2D2D2"/>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4" w:right="59"/>
              <w:jc w:val="both"/>
              <w:rPr>
                <w:rFonts w:ascii="宋体" w:hAnsi="宋体" w:cs="宋体" w:eastAsia="宋体" w:hint="default"/>
                <w:sz w:val="18"/>
                <w:szCs w:val="18"/>
              </w:rPr>
            </w:pPr>
            <w:r>
              <w:rPr>
                <w:rFonts w:ascii="宋体" w:hAnsi="宋体" w:cs="宋体" w:eastAsia="宋体" w:hint="default"/>
                <w:sz w:val="18"/>
                <w:szCs w:val="18"/>
              </w:rPr>
              <w:t>（上海）有 限公司、刘 建国</w:t>
            </w:r>
          </w:p>
        </w:tc>
        <w:tc>
          <w:tcPr>
            <w:tcW w:w="113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34" w:right="59"/>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一、就与华峰氨纶避免同业竞争，经公司第 一届董事会第九次会议审议通过，公司向华 </w:t>
            </w:r>
            <w:r>
              <w:rPr>
                <w:rFonts w:ascii="宋体" w:hAnsi="宋体" w:cs="宋体" w:eastAsia="宋体" w:hint="default"/>
                <w:spacing w:val="-6"/>
                <w:sz w:val="18"/>
                <w:szCs w:val="18"/>
              </w:rPr>
              <w:t>峰氨纶出具了《承诺函》，公司承诺：截至本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承诺函签署之日，本公司未直接或间接从事 与华峰氨纶构成竞争的任何业务；自本承诺 函签署之日起，本公司及下属子公司将不直 接或间接从事氨纶产品的生产和销售。 二、 就与华峰氨纶减少关联交易，经公司第一届 董事会第九次会议审议通过，公司向华峰氨 </w:t>
            </w:r>
            <w:r>
              <w:rPr>
                <w:rFonts w:ascii="宋体" w:hAnsi="宋体" w:cs="宋体" w:eastAsia="宋体" w:hint="default"/>
                <w:spacing w:val="-6"/>
                <w:sz w:val="18"/>
                <w:szCs w:val="18"/>
              </w:rPr>
              <w:t>纶出具了《承诺函》，公司承诺：本公司及下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属子公司将不与华峰氨纶及其子公司之间发 生购销商品、 尽量避免发生偶发性关联交易；确属必要的 关联交易，须遵循公平、公正的原则，严格 执行关联交易决策程序，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不损害双方利益。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18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49.2pt;height:109.2pt;mso-position-horizontal-relative:char;mso-position-vertical-relative:line" coordorigin="0,0" coordsize="984,2184">
                  <v:group style="position:absolute;left:0;top:0;width:984;height:2184" coordorigin="0,0" coordsize="984,2184">
                    <v:shape style="position:absolute;left:0;top:0;width:984;height:2184" coordorigin="0,0" coordsize="984,2184" path="m0,2184l983,2184,983,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005"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005"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005" w:type="dxa"/>
            <w:vMerge w:val="restart"/>
            <w:tcBorders>
              <w:top w:val="single" w:sz="4" w:space="0" w:color="000000"/>
              <w:left w:val="single" w:sz="13" w:space="0" w:color="D2D2D2"/>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123" w:type="dxa"/>
            <w:vMerge/>
            <w:tcBorders>
              <w:left w:val="single" w:sz="4" w:space="0" w:color="000000"/>
              <w:right w:val="single" w:sz="4" w:space="0" w:color="000000"/>
            </w:tcBorders>
            <w:shd w:val="clear" w:color="auto" w:fill="D2D2D2"/>
          </w:tcPr>
          <w:p>
            <w:pPr/>
          </w:p>
        </w:tc>
        <w:tc>
          <w:tcPr>
            <w:tcW w:w="1005" w:type="dxa"/>
            <w:vMerge/>
            <w:tcBorders>
              <w:left w:val="single" w:sz="13" w:space="0" w:color="D2D2D2"/>
              <w:right w:val="single" w:sz="9" w:space="0" w:color="D2D2D2"/>
            </w:tcBorders>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3543"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13" w:space="0" w:color="D2D2D2"/>
              <w:bottom w:val="single" w:sz="4" w:space="0" w:color="000000"/>
              <w:right w:val="single" w:sz="9" w:space="0" w:color="D2D2D2"/>
            </w:tcBorders>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86"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46"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46"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032"/>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1026"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18,600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14,875.74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行业政策出现 变化</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重 大资产重组报 告书</w:t>
            </w:r>
          </w:p>
        </w:tc>
      </w:tr>
    </w:tbl>
    <w:p>
      <w:pPr>
        <w:pStyle w:val="BodyText"/>
        <w:spacing w:line="240" w:lineRule="auto" w:before="51"/>
        <w:ind w:right="1032"/>
        <w:jc w:val="left"/>
      </w:pPr>
      <w:r>
        <w:rPr/>
        <w:t>公司股东、交易对手方对公司或相关资产年度经营业绩作出的承诺情况</w:t>
      </w:r>
    </w:p>
    <w:p>
      <w:pPr>
        <w:pStyle w:val="BodyText"/>
        <w:spacing w:line="338" w:lineRule="auto" w:before="117"/>
        <w:ind w:left="514"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根据上市公司与交易对方签署的《盈利预测补偿协议》、《盈利预测补偿协议之补充协议》及《盈利预测补偿协议之补</w:t>
      </w:r>
    </w:p>
    <w:p>
      <w:pPr>
        <w:pStyle w:val="BodyText"/>
        <w:spacing w:line="300" w:lineRule="auto" w:before="2"/>
        <w:ind w:right="1035"/>
        <w:jc w:val="left"/>
      </w:pPr>
      <w:r>
        <w:rPr>
          <w:spacing w:val="-3"/>
        </w:rPr>
        <w:t>充协议（二）》，本次交易的业绩补偿期为</w:t>
      </w:r>
      <w:r>
        <w:rPr>
          <w:rFonts w:ascii="Times New Roman" w:hAnsi="Times New Roman" w:cs="Times New Roman" w:eastAsia="Times New Roman" w:hint="default"/>
          <w:spacing w:val="-3"/>
        </w:rPr>
        <w:t>2016</w:t>
      </w:r>
      <w:r>
        <w:rPr>
          <w:spacing w:val="-3"/>
        </w:rPr>
        <w:t>年度、</w:t>
      </w:r>
      <w:r>
        <w:rPr>
          <w:rFonts w:ascii="Times New Roman" w:hAnsi="Times New Roman" w:cs="Times New Roman" w:eastAsia="Times New Roman" w:hint="default"/>
          <w:spacing w:val="-3"/>
        </w:rPr>
        <w:t>2017</w:t>
      </w:r>
      <w:r>
        <w:rPr>
          <w:spacing w:val="-3"/>
        </w:rPr>
        <w:t>年度和</w:t>
      </w:r>
      <w:r>
        <w:rPr>
          <w:rFonts w:ascii="Times New Roman" w:hAnsi="Times New Roman" w:cs="Times New Roman" w:eastAsia="Times New Roman" w:hint="default"/>
          <w:spacing w:val="-3"/>
        </w:rPr>
        <w:t>2018</w:t>
      </w:r>
      <w:r>
        <w:rPr>
          <w:spacing w:val="-3"/>
        </w:rPr>
        <w:t>年度。补偿义务人承诺本次重大资产重组实施完毕后，</w:t>
      </w:r>
      <w:r>
        <w:rPr>
          <w:spacing w:val="-81"/>
        </w:rPr>
        <w:t> </w:t>
      </w:r>
      <w:r>
        <w:rPr>
          <w:spacing w:val="-81"/>
        </w:rPr>
      </w:r>
      <w:r>
        <w:rPr>
          <w:spacing w:val="-2"/>
        </w:rPr>
        <w:t>威富通在</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2018</w:t>
      </w:r>
      <w:r>
        <w:rPr>
          <w:spacing w:val="-2"/>
        </w:rPr>
        <w:t>年度预测实现的合并报表范围扣除非经常性损益及本次交易募集配套资金所产生的影响</w:t>
      </w:r>
      <w:r>
        <w:rPr>
          <w:spacing w:val="-52"/>
        </w:rPr>
        <w:t> </w:t>
      </w:r>
      <w:r>
        <w:rPr/>
        <w:t>后归属于母公司所有者的净利润分别不低于</w:t>
      </w:r>
      <w:r>
        <w:rPr>
          <w:rFonts w:ascii="Times New Roman" w:hAnsi="Times New Roman" w:cs="Times New Roman" w:eastAsia="Times New Roman" w:hint="default"/>
        </w:rPr>
        <w:t>13,000.00</w:t>
      </w:r>
      <w:r>
        <w:rPr/>
        <w:t>万元、</w:t>
      </w:r>
      <w:r>
        <w:rPr>
          <w:rFonts w:ascii="Times New Roman" w:hAnsi="Times New Roman" w:cs="Times New Roman" w:eastAsia="Times New Roman" w:hint="default"/>
        </w:rPr>
        <w:t>15,700.00</w:t>
      </w:r>
      <w:r>
        <w:rPr/>
        <w:t>万元和</w:t>
      </w:r>
      <w:r>
        <w:rPr>
          <w:rFonts w:ascii="Times New Roman" w:hAnsi="Times New Roman" w:cs="Times New Roman" w:eastAsia="Times New Roman" w:hint="default"/>
        </w:rPr>
        <w:t>18,600.00</w:t>
      </w:r>
      <w:r>
        <w:rPr/>
        <w:t>万元。</w:t>
      </w:r>
    </w:p>
    <w:p>
      <w:pPr>
        <w:pStyle w:val="BodyText"/>
        <w:spacing w:line="316" w:lineRule="auto" w:before="13"/>
        <w:ind w:left="514" w:right="1189"/>
        <w:jc w:val="left"/>
      </w:pPr>
      <w:r>
        <w:rPr/>
        <w:t>本次交易募集配套资金对威富通净利润所产生的影响数额计算方式如下： 本次交易募集配套资金对威富通净利润所产生的影响数额</w:t>
      </w:r>
      <w:r>
        <w:rPr>
          <w:rFonts w:ascii="Times New Roman" w:hAnsi="Times New Roman" w:cs="Times New Roman" w:eastAsia="Times New Roman" w:hint="default"/>
        </w:rPr>
        <w:t>=</w:t>
      </w:r>
      <w:r>
        <w:rPr/>
        <w:t>本次募集配套资金实际用于标的公司的金额</w:t>
      </w:r>
      <w:r>
        <w:rPr>
          <w:rFonts w:ascii="Times New Roman" w:hAnsi="Times New Roman" w:cs="Times New Roman" w:eastAsia="Times New Roman" w:hint="default"/>
        </w:rPr>
        <w:t>×</w:t>
      </w:r>
      <w:r>
        <w:rPr/>
        <w:t>同期银行贷款</w:t>
      </w:r>
    </w:p>
    <w:p>
      <w:pPr>
        <w:pStyle w:val="BodyText"/>
        <w:spacing w:line="300" w:lineRule="auto"/>
        <w:ind w:left="514" w:right="1032" w:hanging="360"/>
        <w:jc w:val="left"/>
      </w:pPr>
      <w:r>
        <w:rPr/>
        <w:t>利率</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威富通所得税适用税率）</w:t>
      </w:r>
      <w:r>
        <w:rPr>
          <w:rFonts w:ascii="Times New Roman" w:hAnsi="Times New Roman" w:cs="Times New Roman" w:eastAsia="Times New Roman" w:hint="default"/>
        </w:rPr>
        <w:t>×</w:t>
      </w:r>
      <w:r>
        <w:rPr/>
        <w:t>募集资金实际使用天数</w:t>
      </w:r>
      <w:r>
        <w:rPr>
          <w:rFonts w:ascii="Times New Roman" w:hAnsi="Times New Roman" w:cs="Times New Roman" w:eastAsia="Times New Roman" w:hint="default"/>
        </w:rPr>
        <w:t>/365 </w:t>
      </w:r>
      <w:r>
        <w:rPr>
          <w:spacing w:val="-2"/>
        </w:rPr>
        <w:t>上述同期银行贷款利率按照中国人民银行公布的商业银行一年期人民币贷款基准利率确定；募集资金实际使用天数在承</w:t>
      </w:r>
    </w:p>
    <w:p>
      <w:pPr>
        <w:pStyle w:val="BodyText"/>
        <w:spacing w:line="316" w:lineRule="auto" w:before="31"/>
        <w:ind w:left="514" w:right="1032" w:hanging="360"/>
        <w:jc w:val="left"/>
      </w:pPr>
      <w:r>
        <w:rPr/>
        <w:t>诺期内按每年度分别计算。 </w:t>
      </w:r>
      <w:r>
        <w:rPr>
          <w:spacing w:val="-2"/>
        </w:rPr>
        <w:t>上市公司应该在本次交易实施完成后，聘请具有证券期货业务资格的会计师事务所对威富通当期实际扣非净利润出具专</w:t>
      </w:r>
    </w:p>
    <w:p>
      <w:pPr>
        <w:pStyle w:val="BodyText"/>
        <w:spacing w:line="316" w:lineRule="auto" w:before="19"/>
        <w:ind w:right="1032"/>
        <w:jc w:val="left"/>
      </w:pPr>
      <w:r>
        <w:rPr>
          <w:spacing w:val="-4"/>
        </w:rPr>
        <w:t>项审计报告。如果威富通在利润补偿期间截至每个会计年度期末实际净利润数（累计数）未能达到承诺净利润数（累计数），</w:t>
      </w:r>
      <w:r>
        <w:rPr>
          <w:spacing w:val="-44"/>
        </w:rPr>
        <w:t> </w:t>
      </w:r>
      <w:r>
        <w:rPr>
          <w:spacing w:val="-44"/>
        </w:rPr>
      </w:r>
      <w:r>
        <w:rPr/>
        <w:t>则补偿义务人应按照《盈利预测补偿协议》约定履行补偿义务。</w:t>
      </w:r>
    </w:p>
    <w:p>
      <w:pPr>
        <w:pStyle w:val="BodyText"/>
        <w:spacing w:line="309" w:lineRule="auto" w:before="19"/>
        <w:ind w:right="1127" w:firstLine="360"/>
        <w:jc w:val="both"/>
      </w:pPr>
      <w:r>
        <w:rPr>
          <w:spacing w:val="-2"/>
        </w:rPr>
        <w:t>在利润补偿期限届满时，上市公司和补偿义务人应共同协商聘请具有证券期货业务资格的会计师事务所对标的资产进行</w:t>
      </w:r>
      <w:r>
        <w:rPr/>
        <w:t> 减值测试，并在公告前一年度年报后三十个工作日内出具减值测试结果。如标的资产期末减值额</w:t>
      </w:r>
      <w:r>
        <w:rPr>
          <w:rFonts w:ascii="Times New Roman" w:hAnsi="Times New Roman" w:cs="Times New Roman" w:eastAsia="Times New Roman" w:hint="default"/>
        </w:rPr>
        <w:t>&gt;</w:t>
      </w:r>
      <w:r>
        <w:rPr/>
        <w:t>补偿期限内已补偿金额， 则补偿义务人应向上市公司另行补偿。</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BodyText"/>
        <w:spacing w:line="357" w:lineRule="auto"/>
        <w:ind w:left="514" w:right="1032" w:hanging="360"/>
        <w:jc w:val="left"/>
        <w:rPr>
          <w:rFonts w:ascii="宋体" w:hAnsi="宋体" w:cs="宋体" w:eastAsia="宋体" w:hint="default"/>
        </w:rPr>
      </w:pPr>
      <w:r>
        <w:rPr/>
        <w:t>业绩承诺的完成情况及其对商誉减值测试的影响 </w:t>
      </w:r>
      <w:r>
        <w:rPr>
          <w:rFonts w:ascii="宋体" w:hAnsi="宋体" w:cs="宋体" w:eastAsia="宋体" w:hint="default"/>
          <w:spacing w:val="-5"/>
        </w:rPr>
        <w:t>2018</w:t>
      </w:r>
      <w:r>
        <w:rPr>
          <w:spacing w:val="-5"/>
        </w:rPr>
        <w:t>年度，威富通未能完成业绩承诺的累计利润数，截止</w:t>
      </w:r>
      <w:r>
        <w:rPr>
          <w:rFonts w:ascii="宋体" w:hAnsi="宋体" w:cs="宋体" w:eastAsia="宋体" w:hint="default"/>
          <w:spacing w:val="-5"/>
        </w:rPr>
        <w:t>2018</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日，威富通商誉账面原值合计为人民币</w:t>
      </w:r>
      <w:r>
        <w:rPr>
          <w:rFonts w:ascii="宋体" w:hAnsi="宋体" w:cs="宋体" w:eastAsia="宋体" w:hint="default"/>
          <w:spacing w:val="-5"/>
        </w:rPr>
        <w:t>173,315.02</w:t>
      </w:r>
    </w:p>
    <w:p>
      <w:pPr>
        <w:pStyle w:val="BodyText"/>
        <w:spacing w:line="224" w:lineRule="exact"/>
        <w:ind w:right="1032"/>
        <w:jc w:val="left"/>
      </w:pPr>
      <w:r>
        <w:rPr/>
        <w:t>万元、商誉减值准备余额为</w:t>
      </w:r>
      <w:r>
        <w:rPr>
          <w:rFonts w:ascii="宋体" w:hAnsi="宋体" w:cs="宋体" w:eastAsia="宋体" w:hint="default"/>
        </w:rPr>
        <w:t>8,426.13</w:t>
      </w:r>
      <w:r>
        <w:rPr/>
        <w:t>万元。</w:t>
      </w:r>
    </w:p>
    <w:p>
      <w:pPr>
        <w:spacing w:line="240" w:lineRule="auto" w:before="2"/>
        <w:rPr>
          <w:rFonts w:ascii="宋体" w:hAnsi="宋体" w:cs="宋体" w:eastAsia="宋体" w:hint="default"/>
          <w:sz w:val="25"/>
          <w:szCs w:val="25"/>
        </w:rPr>
      </w:pPr>
    </w:p>
    <w:p>
      <w:pPr>
        <w:pStyle w:val="Heading2"/>
        <w:spacing w:line="240" w:lineRule="auto"/>
        <w:ind w:right="1032"/>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1032"/>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03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根据财政部（财会（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号）对资产负债表中</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1"/>
        </w:rPr>
        <w:t>和</w:t>
      </w:r>
      <w:r>
        <w:rPr>
          <w:rFonts w:ascii="Times New Roman" w:hAnsi="Times New Roman" w:cs="Times New Roman" w:eastAsia="Times New Roman" w:hint="default"/>
          <w:spacing w:val="-1"/>
        </w:rPr>
        <w:t>"</w:t>
      </w:r>
      <w:r>
        <w:rPr>
          <w:spacing w:val="-1"/>
        </w:rPr>
        <w:t>应付账款</w:t>
      </w:r>
      <w:r>
        <w:rPr>
          <w:rFonts w:ascii="Times New Roman" w:hAnsi="Times New Roman" w:cs="Times New Roman" w:eastAsia="Times New Roman" w:hint="default"/>
          <w:spacing w:val="-1"/>
        </w:rPr>
        <w:t>"</w:t>
      </w:r>
      <w:r>
        <w:rPr>
          <w:spacing w:val="-1"/>
        </w:rPr>
        <w:t>合并列示为</w:t>
      </w:r>
      <w:r>
        <w:rPr>
          <w:rFonts w:ascii="Times New Roman" w:hAnsi="Times New Roman" w:cs="Times New Roman" w:eastAsia="Times New Roman" w:hint="default"/>
          <w:spacing w:val="-1"/>
        </w:rPr>
        <w:t>"</w:t>
      </w:r>
      <w:r>
        <w:rPr>
          <w:spacing w:val="-1"/>
        </w:rPr>
        <w:t>应付票据及应付账款</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应收利息</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应收股利</w:t>
      </w:r>
      <w:r>
        <w:rPr>
          <w:rFonts w:ascii="Times New Roman" w:hAnsi="Times New Roman" w:cs="Times New Roman" w:eastAsia="Times New Roman" w:hint="default"/>
          <w:spacing w:val="-1"/>
        </w:rPr>
        <w:t>"</w:t>
      </w:r>
      <w:r>
        <w:rPr>
          <w:spacing w:val="-1"/>
        </w:rPr>
        <w:t>并入</w:t>
      </w:r>
      <w:r>
        <w:rPr>
          <w:rFonts w:ascii="Times New Roman" w:hAnsi="Times New Roman" w:cs="Times New Roman" w:eastAsia="Times New Roman" w:hint="default"/>
          <w:spacing w:val="-1"/>
        </w:rPr>
        <w:t>"</w:t>
      </w:r>
      <w:r>
        <w:rPr>
          <w:spacing w:val="-1"/>
        </w:rPr>
        <w:t>其他应收款</w:t>
      </w:r>
      <w:r>
        <w:rPr>
          <w:rFonts w:ascii="Times New Roman" w:hAnsi="Times New Roman" w:cs="Times New Roman" w:eastAsia="Times New Roman" w:hint="default"/>
          <w:spacing w:val="-1"/>
        </w:rPr>
        <w:t>"</w:t>
      </w:r>
      <w:r>
        <w:rPr>
          <w:spacing w:val="-1"/>
        </w:rPr>
        <w:t>列示；</w:t>
      </w:r>
      <w:r>
        <w:rPr>
          <w:rFonts w:ascii="Times New Roman" w:hAnsi="Times New Roman" w:cs="Times New Roman" w:eastAsia="Times New Roman" w:hint="default"/>
          <w:spacing w:val="-1"/>
        </w:rPr>
        <w:t>"</w:t>
      </w:r>
      <w:r>
        <w:rPr>
          <w:spacing w:val="-1"/>
        </w:rPr>
        <w:t>应付利息</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应付股利</w:t>
      </w:r>
      <w:r>
        <w:rPr>
          <w:rFonts w:ascii="Times New Roman" w:hAnsi="Times New Roman" w:cs="Times New Roman" w:eastAsia="Times New Roman" w:hint="default"/>
          <w:spacing w:val="-1"/>
        </w:rPr>
        <w:t>"</w:t>
      </w:r>
    </w:p>
    <w:p>
      <w:pPr>
        <w:spacing w:after="0" w:line="319"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32"/>
        <w:jc w:val="both"/>
      </w:pPr>
      <w:r>
        <w:rPr/>
        <w:t>并入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长期应 </w:t>
      </w:r>
      <w:r>
        <w:rPr>
          <w:spacing w:val="-2"/>
        </w:rPr>
        <w:t>付款</w:t>
      </w:r>
      <w:r>
        <w:rPr>
          <w:rFonts w:ascii="Times New Roman" w:hAnsi="Times New Roman" w:cs="Times New Roman" w:eastAsia="Times New Roman" w:hint="default"/>
          <w:spacing w:val="-2"/>
        </w:rPr>
        <w:t>"</w:t>
      </w:r>
      <w:r>
        <w:rPr>
          <w:spacing w:val="-2"/>
        </w:rPr>
        <w:t>列示，比较数据相应调整。在利润表中新增</w:t>
      </w:r>
      <w:r>
        <w:rPr>
          <w:rFonts w:ascii="Times New Roman" w:hAnsi="Times New Roman" w:cs="Times New Roman" w:eastAsia="Times New Roman" w:hint="default"/>
          <w:spacing w:val="-2"/>
        </w:rPr>
        <w:t>"</w:t>
      </w:r>
      <w:r>
        <w:rPr>
          <w:spacing w:val="-2"/>
        </w:rPr>
        <w:t>研发费用</w:t>
      </w:r>
      <w:r>
        <w:rPr>
          <w:rFonts w:ascii="Times New Roman" w:hAnsi="Times New Roman" w:cs="Times New Roman" w:eastAsia="Times New Roman" w:hint="default"/>
          <w:spacing w:val="-2"/>
        </w:rPr>
        <w:t>"</w:t>
      </w:r>
      <w:r>
        <w:rPr>
          <w:spacing w:val="-2"/>
        </w:rPr>
        <w:t>项目，将原</w:t>
      </w:r>
      <w:r>
        <w:rPr>
          <w:rFonts w:ascii="Times New Roman" w:hAnsi="Times New Roman" w:cs="Times New Roman" w:eastAsia="Times New Roman" w:hint="default"/>
          <w:spacing w:val="-2"/>
        </w:rPr>
        <w:t>"</w:t>
      </w:r>
      <w:r>
        <w:rPr>
          <w:spacing w:val="-2"/>
        </w:rPr>
        <w:t>管理费用</w:t>
      </w:r>
      <w:r>
        <w:rPr>
          <w:rFonts w:ascii="Times New Roman" w:hAnsi="Times New Roman" w:cs="Times New Roman" w:eastAsia="Times New Roman" w:hint="default"/>
          <w:spacing w:val="-2"/>
        </w:rPr>
        <w:t>"</w:t>
      </w:r>
      <w:r>
        <w:rPr>
          <w:spacing w:val="-2"/>
        </w:rPr>
        <w:t>中的研发费用重分类至</w:t>
      </w:r>
      <w:r>
        <w:rPr>
          <w:rFonts w:ascii="Times New Roman" w:hAnsi="Times New Roman" w:cs="Times New Roman" w:eastAsia="Times New Roman" w:hint="default"/>
          <w:spacing w:val="-2"/>
        </w:rPr>
        <w:t>"</w:t>
      </w:r>
      <w:r>
        <w:rPr>
          <w:spacing w:val="-2"/>
        </w:rPr>
        <w:t>研发费用</w:t>
      </w:r>
      <w:r>
        <w:rPr>
          <w:rFonts w:ascii="Times New Roman" w:hAnsi="Times New Roman" w:cs="Times New Roman" w:eastAsia="Times New Roman" w:hint="default"/>
          <w:spacing w:val="-2"/>
        </w:rPr>
        <w:t>"</w:t>
      </w:r>
      <w:r>
        <w:rPr>
          <w:spacing w:val="-2"/>
        </w:rPr>
        <w:t>单独列</w:t>
      </w:r>
      <w:r>
        <w:rPr>
          <w:spacing w:val="-39"/>
        </w:rPr>
        <w:t> </w:t>
      </w:r>
      <w:r>
        <w:rPr/>
        <w:t>示；在利润表中财务费用项下新增</w:t>
      </w:r>
      <w:r>
        <w:rPr>
          <w:rFonts w:ascii="Times New Roman" w:hAnsi="Times New Roman" w:cs="Times New Roman" w:eastAsia="Times New Roman" w:hint="default"/>
        </w:rPr>
        <w:t>"</w:t>
      </w:r>
      <w:r>
        <w:rPr/>
        <w:t>其中：利息费用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项目。比较数据相应调整。</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868" w:right="1038"/>
        <w:jc w:val="left"/>
      </w:pP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月，威富通成立威富通（香港）科技有限公司，投资总额为港币</w:t>
      </w:r>
      <w:r>
        <w:rPr>
          <w:rFonts w:ascii="宋体" w:hAnsi="宋体" w:cs="宋体" w:eastAsia="宋体" w:hint="default"/>
          <w:spacing w:val="-2"/>
        </w:rPr>
        <w:t>5000</w:t>
      </w:r>
      <w:r>
        <w:rPr>
          <w:spacing w:val="-2"/>
        </w:rPr>
        <w:t>万元。本公司持有威富通香港</w:t>
      </w:r>
      <w:r>
        <w:rPr>
          <w:rFonts w:ascii="宋体" w:hAnsi="宋体" w:cs="宋体" w:eastAsia="宋体" w:hint="default"/>
          <w:spacing w:val="-2"/>
        </w:rPr>
        <w:t>100%</w:t>
      </w:r>
      <w:r>
        <w:rPr>
          <w:rFonts w:ascii="宋体" w:hAnsi="宋体" w:cs="宋体" w:eastAsia="宋体" w:hint="default"/>
          <w:spacing w:val="-58"/>
        </w:rPr>
        <w:t> </w:t>
      </w:r>
      <w:r>
        <w:rPr>
          <w:rFonts w:ascii="宋体" w:hAnsi="宋体" w:cs="宋体" w:eastAsia="宋体" w:hint="default"/>
          <w:spacing w:val="-58"/>
        </w:rPr>
      </w:r>
      <w:r>
        <w:rPr/>
        <w:t>的股权。公司从威富通香港设立之日起将其纳入合并会计报表范围。 </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8</w:t>
      </w:r>
      <w:r>
        <w:rPr/>
        <w:t>月，威富通与深圳市微智投资咨询中心合伙企业共同投资成立联银通富，投资总额为人民币</w:t>
      </w:r>
      <w:r>
        <w:rPr>
          <w:rFonts w:ascii="宋体" w:hAnsi="宋体" w:cs="宋体" w:eastAsia="宋体" w:hint="default"/>
        </w:rPr>
        <w:t>3250</w:t>
      </w:r>
      <w:r>
        <w:rPr/>
        <w:t>万元。 本公司认购并持有联银通富</w:t>
      </w:r>
      <w:r>
        <w:rPr>
          <w:rFonts w:ascii="宋体" w:hAnsi="宋体" w:cs="宋体" w:eastAsia="宋体" w:hint="default"/>
        </w:rPr>
        <w:t>53.85%</w:t>
      </w:r>
      <w:r>
        <w:rPr/>
        <w:t>的股权。公司从联银通富设立之日起将其纳入合并会计报表范围。</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朱伟、倪金林</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1032"/>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2"/>
        <w:ind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本年度，公司因非公开发行事项，聘请东海证券股份有限公司为保荐机构，报告期间共支付保荐费</w:t>
      </w:r>
      <w:r>
        <w:rPr>
          <w:rFonts w:ascii="Times New Roman" w:hAnsi="Times New Roman" w:cs="Times New Roman" w:eastAsia="Times New Roman" w:hint="default"/>
        </w:rPr>
        <w:t>50</w:t>
      </w:r>
      <w:r>
        <w:rPr/>
        <w:t>万元。</w:t>
      </w:r>
    </w:p>
    <w:p>
      <w:pPr>
        <w:spacing w:line="240" w:lineRule="auto" w:before="11"/>
        <w:rPr>
          <w:rFonts w:ascii="宋体" w:hAnsi="宋体" w:cs="宋体" w:eastAsia="宋体" w:hint="default"/>
          <w:sz w:val="17"/>
          <w:szCs w:val="17"/>
        </w:rPr>
      </w:pPr>
    </w:p>
    <w:p>
      <w:pPr>
        <w:pStyle w:val="Heading2"/>
        <w:spacing w:line="240" w:lineRule="auto"/>
        <w:ind w:right="1032"/>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2"/>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2"/>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032"/>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重庆华峰 化工有限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实际控 制人控 制的其 他企业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购买原 材料</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8"/>
              <w:jc w:val="left"/>
              <w:rPr>
                <w:rFonts w:ascii="宋体" w:hAnsi="宋体" w:cs="宋体" w:eastAsia="宋体" w:hint="default"/>
                <w:sz w:val="18"/>
                <w:szCs w:val="18"/>
              </w:rPr>
            </w:pPr>
            <w:r>
              <w:rPr>
                <w:rFonts w:ascii="宋体" w:hAnsi="宋体" w:cs="宋体" w:eastAsia="宋体" w:hint="default"/>
                <w:sz w:val="18"/>
                <w:szCs w:val="18"/>
              </w:rPr>
              <w:t>购买己 二酸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7"/>
              <w:jc w:val="left"/>
              <w:rPr>
                <w:rFonts w:ascii="宋体" w:hAnsi="宋体" w:cs="宋体" w:eastAsia="宋体" w:hint="default"/>
                <w:sz w:val="18"/>
                <w:szCs w:val="18"/>
              </w:rPr>
            </w:pPr>
            <w:r>
              <w:rPr>
                <w:rFonts w:ascii="宋体" w:hAnsi="宋体" w:cs="宋体" w:eastAsia="宋体" w:hint="default"/>
                <w:sz w:val="18"/>
                <w:szCs w:val="18"/>
              </w:rPr>
              <w:t>遵循市 场定价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9"/>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月结</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8"/>
              <w:jc w:val="left"/>
              <w:rPr>
                <w:rFonts w:ascii="宋体" w:hAnsi="宋体" w:cs="宋体" w:eastAsia="宋体" w:hint="default"/>
                <w:sz w:val="18"/>
                <w:szCs w:val="18"/>
              </w:rPr>
            </w:pPr>
            <w:r>
              <w:rPr>
                <w:rFonts w:ascii="宋体" w:hAnsi="宋体" w:cs="宋体" w:eastAsia="宋体" w:hint="default"/>
                <w:sz w:val="18"/>
                <w:szCs w:val="18"/>
              </w:rPr>
              <w:t>同期市 场价格</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3,476</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71"/>
              <w:jc w:val="righ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t>公司报告期未发生共同对外投资的关联交易。</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94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应付关联方债务</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158"/>
        <w:gridCol w:w="1038"/>
        <w:gridCol w:w="1045"/>
        <w:gridCol w:w="1044"/>
        <w:gridCol w:w="1044"/>
        <w:gridCol w:w="1044"/>
        <w:gridCol w:w="1044"/>
        <w:gridCol w:w="1044"/>
        <w:gridCol w:w="1106"/>
      </w:tblGrid>
      <w:tr>
        <w:trPr>
          <w:trHeight w:val="713" w:hRule="exact"/>
        </w:trPr>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68" w:right="20"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华峰集团有限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3"/>
              <w:jc w:val="left"/>
              <w:rPr>
                <w:rFonts w:ascii="宋体" w:hAnsi="宋体" w:cs="宋体" w:eastAsia="宋体" w:hint="default"/>
                <w:sz w:val="18"/>
                <w:szCs w:val="18"/>
              </w:rPr>
            </w:pPr>
            <w:r>
              <w:rPr>
                <w:rFonts w:ascii="宋体" w:hAnsi="宋体" w:cs="宋体" w:eastAsia="宋体" w:hint="default"/>
                <w:sz w:val="18"/>
                <w:szCs w:val="18"/>
              </w:rPr>
              <w:t>实际控制人 控制企业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对上市公司 资助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6" w:right="0"/>
              <w:jc w:val="left"/>
              <w:rPr>
                <w:rFonts w:ascii="Times New Roman" w:hAnsi="Times New Roman" w:cs="Times New Roman" w:eastAsia="Times New Roman" w:hint="default"/>
                <w:sz w:val="18"/>
                <w:szCs w:val="18"/>
              </w:rPr>
            </w:pPr>
            <w:r>
              <w:rPr>
                <w:rFonts w:ascii="Times New Roman"/>
                <w:sz w:val="18"/>
              </w:rPr>
              <w:t>7,000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103,300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33,900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2,449.72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9" w:right="0"/>
              <w:jc w:val="left"/>
              <w:rPr>
                <w:rFonts w:ascii="Times New Roman" w:hAnsi="Times New Roman" w:cs="Times New Roman" w:eastAsia="Times New Roman" w:hint="default"/>
                <w:sz w:val="18"/>
                <w:szCs w:val="18"/>
              </w:rPr>
            </w:pPr>
            <w:r>
              <w:rPr>
                <w:rFonts w:ascii="Times New Roman"/>
                <w:sz w:val="18"/>
              </w:rPr>
              <w:t>76,400</w:t>
            </w:r>
          </w:p>
        </w:tc>
      </w:tr>
      <w:tr>
        <w:trPr>
          <w:trHeight w:val="715"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032"/>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3"/>
        <w:rPr>
          <w:rFonts w:ascii="宋体" w:hAnsi="宋体" w:cs="宋体" w:eastAsia="宋体" w:hint="default"/>
          <w:sz w:val="20"/>
          <w:szCs w:val="20"/>
        </w:rPr>
      </w:pPr>
    </w:p>
    <w:p>
      <w:pPr>
        <w:pStyle w:val="Heading3"/>
        <w:spacing w:line="240" w:lineRule="auto"/>
        <w:ind w:right="1032"/>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17"/>
        <w:gridCol w:w="905"/>
        <w:gridCol w:w="932"/>
        <w:gridCol w:w="1308"/>
        <w:gridCol w:w="1043"/>
        <w:gridCol w:w="1046"/>
        <w:gridCol w:w="1058"/>
        <w:gridCol w:w="783"/>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1"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5" w:space="0" w:color="000000"/>
            </w:tcBorders>
            <w:shd w:val="clear" w:color="auto" w:fill="D2D2D2"/>
          </w:tcPr>
          <w:p>
            <w:pPr>
              <w:pStyle w:val="TableParagraph"/>
              <w:spacing w:line="316" w:lineRule="auto" w:before="52"/>
              <w:ind w:left="92" w:right="8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5"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05" w:type="dxa"/>
            <w:vMerge/>
            <w:tcBorders>
              <w:left w:val="single" w:sz="4" w:space="0" w:color="000000"/>
              <w:right w:val="single" w:sz="5" w:space="0" w:color="000000"/>
            </w:tcBorders>
            <w:shd w:val="clear" w:color="auto" w:fill="D2D2D2"/>
          </w:tcPr>
          <w:p>
            <w:pPr/>
          </w:p>
        </w:tc>
        <w:tc>
          <w:tcPr>
            <w:tcW w:w="932" w:type="dxa"/>
            <w:vMerge/>
            <w:tcBorders>
              <w:left w:val="single" w:sz="5"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9" w:right="6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5" w:type="dxa"/>
            <w:vMerge/>
            <w:tcBorders>
              <w:left w:val="single" w:sz="4" w:space="0" w:color="000000"/>
              <w:right w:val="single" w:sz="5" w:space="0" w:color="000000"/>
            </w:tcBorders>
            <w:shd w:val="clear" w:color="auto" w:fill="D2D2D2"/>
          </w:tcPr>
          <w:p>
            <w:pPr/>
          </w:p>
        </w:tc>
        <w:tc>
          <w:tcPr>
            <w:tcW w:w="932"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3"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05" w:type="dxa"/>
            <w:vMerge/>
            <w:tcBorders>
              <w:left w:val="single" w:sz="4" w:space="0" w:color="000000"/>
              <w:right w:val="single" w:sz="5" w:space="0" w:color="000000"/>
            </w:tcBorders>
            <w:shd w:val="clear" w:color="auto" w:fill="D2D2D2"/>
          </w:tcPr>
          <w:p>
            <w:pPr/>
          </w:p>
        </w:tc>
        <w:tc>
          <w:tcPr>
            <w:tcW w:w="932" w:type="dxa"/>
            <w:vMerge w:val="restart"/>
            <w:tcBorders>
              <w:top w:val="nil" w:sz="6" w:space="0" w:color="auto"/>
              <w:left w:val="single" w:sz="5"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43"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5" w:space="0" w:color="000000"/>
            </w:tcBorders>
            <w:shd w:val="clear" w:color="auto" w:fill="D2D2D2"/>
          </w:tcPr>
          <w:p>
            <w:pPr/>
          </w:p>
        </w:tc>
        <w:tc>
          <w:tcPr>
            <w:tcW w:w="932" w:type="dxa"/>
            <w:vMerge/>
            <w:tcBorders>
              <w:left w:val="single" w:sz="5"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8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8"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05"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9" w:right="6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5"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3"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05"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43"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34,878.2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7"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7"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37"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江苏华峰超纤材料有 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26,832.5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7"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-2,477.73</w:t>
            </w:r>
            <w:r>
              <w:rPr>
                <w:rFonts w:ascii="Times New Roman"/>
                <w:sz w:val="18"/>
              </w:rPr>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61,710.7</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4"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05"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0"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97"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5"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3"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05"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43"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-2,477.73</w:t>
            </w:r>
            <w:r>
              <w:rPr>
                <w:rFonts w:ascii="Times New Roman"/>
                <w:sz w:val="18"/>
              </w:rPr>
            </w:r>
          </w:p>
        </w:tc>
      </w:tr>
      <w:tr>
        <w:trPr>
          <w:trHeight w:val="403"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160,000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7"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61,710.7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09"/>
        <w:gridCol w:w="2229"/>
        <w:gridCol w:w="2093"/>
        <w:gridCol w:w="2633"/>
      </w:tblGrid>
      <w:tr>
        <w:trPr>
          <w:trHeight w:val="36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tcBorders>
              <w:top w:val="single" w:sz="4" w:space="0" w:color="000000"/>
              <w:left w:val="single" w:sz="13" w:space="0" w:color="D2D2D2"/>
              <w:bottom w:val="single" w:sz="4" w:space="0" w:color="000000"/>
              <w:right w:val="single" w:sz="9" w:space="0" w:color="D2D2D2"/>
            </w:tcBorders>
          </w:tcPr>
          <w:p>
            <w:pP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
        </w:tc>
      </w:tr>
      <w:tr>
        <w:trPr>
          <w:trHeight w:val="407"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032"/>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70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032"/>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type w:val="continuous"/>
          <w:pgSz w:w="11910" w:h="16840"/>
          <w:pgMar w:top="1060" w:bottom="70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31" w:firstLine="360"/>
        <w:jc w:val="both"/>
      </w:pPr>
      <w:r>
        <w:rPr>
          <w:spacing w:val="-2"/>
        </w:rPr>
        <w:t>上海华峰超纤材料股份有限公司（以下简称</w:t>
      </w:r>
      <w:r>
        <w:rPr>
          <w:rFonts w:ascii="Times New Roman" w:hAnsi="Times New Roman" w:cs="Times New Roman" w:eastAsia="Times New Roman" w:hint="default"/>
          <w:spacing w:val="-2"/>
        </w:rPr>
        <w:t>“</w:t>
      </w:r>
      <w:r>
        <w:rPr>
          <w:spacing w:val="-2"/>
        </w:rPr>
        <w:t>华峰超纤</w:t>
      </w:r>
      <w:r>
        <w:rPr>
          <w:rFonts w:ascii="Times New Roman" w:hAnsi="Times New Roman" w:cs="Times New Roman" w:eastAsia="Times New Roman" w:hint="default"/>
          <w:spacing w:val="-2"/>
        </w:rPr>
        <w:t>”</w:t>
      </w:r>
      <w:r>
        <w:rPr>
          <w:spacing w:val="-2"/>
        </w:rPr>
        <w:t>）始终将企业社会责任视为企业基因的一部分，将社会责任融入</w:t>
      </w:r>
      <w:r>
        <w:rPr/>
        <w:t> 战略管理，自上而下推进社会责任工作，努力打造华峰超纤负责任的企业公民形象。</w:t>
      </w:r>
    </w:p>
    <w:p>
      <w:pPr>
        <w:pStyle w:val="BodyText"/>
        <w:spacing w:line="312" w:lineRule="auto" w:before="68"/>
        <w:ind w:right="1129" w:firstLine="360"/>
        <w:jc w:val="both"/>
      </w:pPr>
      <w:r>
        <w:rPr>
          <w:spacing w:val="-2"/>
        </w:rPr>
        <w:t>基于对社会责任的认识和理解，结合行业特色和</w:t>
      </w:r>
      <w:r>
        <w:rPr>
          <w:rFonts w:ascii="Times New Roman" w:hAnsi="Times New Roman" w:cs="Times New Roman" w:eastAsia="Times New Roman" w:hint="default"/>
          <w:spacing w:val="-2"/>
        </w:rPr>
        <w:t>“</w:t>
      </w:r>
      <w:r>
        <w:rPr>
          <w:spacing w:val="-2"/>
        </w:rPr>
        <w:t>共同目标、共同创业、共同利益、共同发展</w:t>
      </w:r>
      <w:r>
        <w:rPr>
          <w:rFonts w:ascii="Times New Roman" w:hAnsi="Times New Roman" w:cs="Times New Roman" w:eastAsia="Times New Roman" w:hint="default"/>
          <w:spacing w:val="-2"/>
        </w:rPr>
        <w:t>”</w:t>
      </w:r>
      <w:r>
        <w:rPr>
          <w:spacing w:val="-2"/>
        </w:rPr>
        <w:t>的华峰文化理念体系，华</w:t>
      </w:r>
      <w:r>
        <w:rPr/>
        <w:t> </w:t>
      </w:r>
      <w:r>
        <w:rPr>
          <w:spacing w:val="-2"/>
        </w:rPr>
        <w:t>峰超纤通过公平运营、安全生产、绿色制造、技术创新与应用、和谐劳动关系、社区参与和发展等方面，在企业追求经济利</w:t>
      </w:r>
      <w:r>
        <w:rPr>
          <w:spacing w:val="-68"/>
        </w:rPr>
        <w:t> </w:t>
      </w:r>
      <w:r>
        <w:rPr>
          <w:spacing w:val="-68"/>
        </w:rPr>
      </w:r>
      <w:r>
        <w:rPr>
          <w:spacing w:val="-2"/>
        </w:rPr>
        <w:t>益的同时，全面考虑经济、社会和环境因素，有效管理企业运营对利益想对方、社会和环境的影响，追求经济、社会和环境</w:t>
      </w:r>
      <w:r>
        <w:rPr>
          <w:spacing w:val="-68"/>
        </w:rPr>
        <w:t> </w:t>
      </w:r>
      <w:r>
        <w:rPr>
          <w:spacing w:val="-68"/>
        </w:rPr>
      </w:r>
      <w:r>
        <w:rPr/>
        <w:t>综合价值的最大化。</w:t>
      </w:r>
    </w:p>
    <w:p>
      <w:pPr>
        <w:pStyle w:val="BodyText"/>
        <w:spacing w:line="338" w:lineRule="auto" w:before="62"/>
        <w:ind w:left="514" w:right="1032"/>
        <w:jc w:val="left"/>
      </w:pPr>
      <w:r>
        <w:rPr/>
        <w:t>一、我们倡导公平经营，恪守商业道德，严格执行</w:t>
      </w:r>
      <w:r>
        <w:rPr>
          <w:rFonts w:ascii="Times New Roman" w:hAnsi="Times New Roman" w:cs="Times New Roman" w:eastAsia="Times New Roman" w:hint="default"/>
        </w:rPr>
        <w:t>“</w:t>
      </w:r>
      <w:r>
        <w:rPr/>
        <w:t>透明采购</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阳光销售</w:t>
      </w:r>
      <w:r>
        <w:rPr>
          <w:rFonts w:ascii="Times New Roman" w:hAnsi="Times New Roman" w:cs="Times New Roman" w:eastAsia="Times New Roman" w:hint="default"/>
        </w:rPr>
        <w:t>”</w:t>
      </w:r>
      <w:r>
        <w:rPr/>
        <w:t>，积极促进健康和谐的商业生态。 </w:t>
      </w:r>
      <w:r>
        <w:rPr>
          <w:spacing w:val="-2"/>
        </w:rPr>
        <w:t>二、我们高度关注节能环保，采用污染物排放量少的工艺、设备，减少污染物的产生。时刻牢记安全生产，竭力实现绿</w:t>
      </w:r>
    </w:p>
    <w:p>
      <w:pPr>
        <w:pStyle w:val="BodyText"/>
        <w:spacing w:line="302" w:lineRule="auto" w:before="2"/>
        <w:ind w:right="1032"/>
        <w:jc w:val="left"/>
      </w:pPr>
      <w:r>
        <w:rPr>
          <w:spacing w:val="-2"/>
        </w:rPr>
        <w:t>色发展。近年来，公司加大了环境保护的投入和工作力度，</w:t>
      </w:r>
      <w:r>
        <w:rPr>
          <w:rFonts w:ascii="Times New Roman" w:hAnsi="Times New Roman" w:cs="Times New Roman" w:eastAsia="Times New Roman" w:hint="default"/>
          <w:spacing w:val="-2"/>
        </w:rPr>
        <w:t>2018</w:t>
      </w:r>
      <w:r>
        <w:rPr>
          <w:spacing w:val="-2"/>
        </w:rPr>
        <w:t>年公司获得上海市税务局、上海市经济和信息化委员会授予</w:t>
      </w:r>
      <w:r>
        <w:rPr>
          <w:spacing w:val="-61"/>
        </w:rPr>
        <w:t> </w:t>
      </w:r>
      <w:r>
        <w:rPr>
          <w:spacing w:val="-61"/>
        </w:rPr>
      </w:r>
      <w:r>
        <w:rPr/>
        <w:t>的</w:t>
      </w:r>
      <w:r>
        <w:rPr>
          <w:rFonts w:ascii="Times New Roman" w:hAnsi="Times New Roman" w:cs="Times New Roman" w:eastAsia="Times New Roman" w:hint="default"/>
        </w:rPr>
        <w:t>“</w:t>
      </w:r>
      <w:r>
        <w:rPr/>
        <w:t>上海市节水型企业</w:t>
      </w:r>
      <w:r>
        <w:rPr>
          <w:rFonts w:ascii="Times New Roman" w:hAnsi="Times New Roman" w:cs="Times New Roman" w:eastAsia="Times New Roman" w:hint="default"/>
        </w:rPr>
        <w:t>”</w:t>
      </w:r>
      <w:r>
        <w:rPr/>
        <w:t>称号。</w:t>
      </w:r>
    </w:p>
    <w:p>
      <w:pPr>
        <w:pStyle w:val="BodyText"/>
        <w:spacing w:line="319" w:lineRule="auto" w:before="49"/>
        <w:ind w:right="1132" w:firstLine="360"/>
        <w:jc w:val="both"/>
      </w:pPr>
      <w:r>
        <w:rPr>
          <w:spacing w:val="-2"/>
        </w:rPr>
        <w:t>三、我们努力开发和推广环境友好型技术，加强企业行为自律，实现清洁生产。倡导环境保护和绿色消费，积极推行可</w:t>
      </w:r>
      <w:r>
        <w:rPr/>
        <w:t> 持续发展。</w:t>
      </w:r>
    </w:p>
    <w:p>
      <w:pPr>
        <w:pStyle w:val="BodyText"/>
        <w:spacing w:line="319" w:lineRule="auto" w:before="55"/>
        <w:ind w:right="1133" w:firstLine="360"/>
        <w:jc w:val="both"/>
      </w:pPr>
      <w:r>
        <w:rPr>
          <w:spacing w:val="-2"/>
        </w:rPr>
        <w:t>四、我们推行职业安全健康政策，将职业安全健康政策文件化，实施和保持，建立和完善安全生产的制度体系，在可能</w:t>
      </w:r>
      <w:r>
        <w:rPr/>
        <w:t> </w:t>
      </w:r>
      <w:r>
        <w:rPr>
          <w:spacing w:val="-2"/>
        </w:rPr>
        <w:t>的条件下最大限度地降低工作环境中的不安全因素，保障员工的安全和健康。并采取多项措施预防工伤和职业病，对特殊群</w:t>
      </w:r>
      <w:r>
        <w:rPr>
          <w:spacing w:val="-66"/>
        </w:rPr>
        <w:t> </w:t>
      </w:r>
      <w:r>
        <w:rPr>
          <w:spacing w:val="-66"/>
        </w:rPr>
      </w:r>
      <w:r>
        <w:rPr/>
        <w:t>体提供保护。</w:t>
      </w:r>
    </w:p>
    <w:p>
      <w:pPr>
        <w:pStyle w:val="BodyText"/>
        <w:spacing w:line="319" w:lineRule="auto" w:before="56"/>
        <w:ind w:right="1133" w:firstLine="360"/>
        <w:jc w:val="both"/>
      </w:pPr>
      <w:r>
        <w:rPr>
          <w:spacing w:val="-2"/>
        </w:rPr>
        <w:t>五、我们坚持回馈社会，热心慈善事业和公益事业，回报社会，积极参与社区公益事业，鼓励和支持员工投身社区志愿</w:t>
      </w:r>
      <w:r>
        <w:rPr/>
        <w:t> 服务。</w:t>
      </w:r>
      <w:r>
        <w:rPr>
          <w:rFonts w:ascii="Times New Roman" w:hAnsi="Times New Roman" w:cs="Times New Roman" w:eastAsia="Times New Roman" w:hint="default"/>
        </w:rPr>
        <w:t>2004-2018</w:t>
      </w:r>
      <w:r>
        <w:rPr/>
        <w:t>年累计向上海市、金山区和山阳镇的慈善机构、敬老院和学校、公益事业以及社区捐赠款项近</w:t>
      </w:r>
      <w:r>
        <w:rPr>
          <w:rFonts w:ascii="Times New Roman" w:hAnsi="Times New Roman" w:cs="Times New Roman" w:eastAsia="Times New Roman" w:hint="default"/>
        </w:rPr>
        <w:t>300</w:t>
      </w:r>
      <w:r>
        <w:rPr/>
        <w:t>万元。</w:t>
      </w:r>
    </w:p>
    <w:p>
      <w:pPr>
        <w:pStyle w:val="BodyText"/>
        <w:spacing w:line="319" w:lineRule="auto" w:before="35"/>
        <w:ind w:right="1032" w:firstLine="360"/>
        <w:jc w:val="left"/>
      </w:pPr>
      <w:r>
        <w:rPr>
          <w:spacing w:val="-4"/>
        </w:rPr>
        <w:t>公司经常走访公司特困员工、结对共建的贫困农户和困难党员，倾心关注各类弱势群体的生活。每逢节日和重大纪念日，</w:t>
      </w:r>
      <w:r>
        <w:rPr/>
        <w:t> </w:t>
      </w:r>
      <w:r>
        <w:rPr>
          <w:spacing w:val="-2"/>
        </w:rPr>
        <w:t>党员和志愿者参加各种帮扶以及与贫困学生结对助学的各种活动方式参与社会公益事业，并对特困家庭和特困职工走访和捐</w:t>
      </w:r>
      <w:r>
        <w:rPr>
          <w:spacing w:val="-64"/>
        </w:rPr>
        <w:t> </w:t>
      </w:r>
      <w:r>
        <w:rPr>
          <w:spacing w:val="-64"/>
        </w:rPr>
      </w:r>
      <w:r>
        <w:rPr/>
        <w:t>助，从物质和精神上给予了双重捐助。</w:t>
      </w:r>
    </w:p>
    <w:p>
      <w:pPr>
        <w:pStyle w:val="BodyText"/>
        <w:spacing w:line="300" w:lineRule="auto" w:before="55"/>
        <w:ind w:right="1032" w:firstLine="360"/>
        <w:jc w:val="left"/>
      </w:pPr>
      <w:r>
        <w:rPr>
          <w:rFonts w:ascii="Times New Roman" w:hAnsi="Times New Roman" w:cs="Times New Roman" w:eastAsia="Times New Roman" w:hint="default"/>
          <w:spacing w:val="-3"/>
        </w:rPr>
        <w:t>2018</w:t>
      </w:r>
      <w:r>
        <w:rPr>
          <w:spacing w:val="-3"/>
        </w:rPr>
        <w:t>年在金山区山阳镇区域党建</w:t>
      </w:r>
      <w:r>
        <w:rPr>
          <w:rFonts w:ascii="Times New Roman" w:hAnsi="Times New Roman" w:cs="Times New Roman" w:eastAsia="Times New Roman" w:hint="default"/>
          <w:spacing w:val="-3"/>
        </w:rPr>
        <w:t>“</w:t>
      </w:r>
      <w:r>
        <w:rPr>
          <w:spacing w:val="-3"/>
        </w:rPr>
        <w:t>公益众筹</w:t>
      </w:r>
      <w:r>
        <w:rPr>
          <w:rFonts w:ascii="Times New Roman" w:hAnsi="Times New Roman" w:cs="Times New Roman" w:eastAsia="Times New Roman" w:hint="default"/>
          <w:spacing w:val="-3"/>
        </w:rPr>
        <w:t>”</w:t>
      </w:r>
      <w:r>
        <w:rPr>
          <w:spacing w:val="-3"/>
        </w:rPr>
        <w:t>项目中认领了：</w:t>
      </w:r>
      <w:r>
        <w:rPr>
          <w:rFonts w:ascii="Times New Roman" w:hAnsi="Times New Roman" w:cs="Times New Roman" w:eastAsia="Times New Roman" w:hint="default"/>
          <w:spacing w:val="-3"/>
        </w:rPr>
        <w:t>“</w:t>
      </w:r>
      <w:r>
        <w:rPr>
          <w:spacing w:val="-3"/>
        </w:rPr>
        <w:t>微孝暖巣</w:t>
      </w:r>
      <w:r>
        <w:rPr>
          <w:rFonts w:ascii="Times New Roman" w:hAnsi="Times New Roman" w:cs="Times New Roman" w:eastAsia="Times New Roman" w:hint="default"/>
          <w:spacing w:val="-3"/>
        </w:rPr>
        <w:t>”</w:t>
      </w:r>
      <w:r>
        <w:rPr>
          <w:spacing w:val="-3"/>
        </w:rPr>
        <w:t>项目（项目内容：关爱蓝色收获辖区空巢老人）、</w:t>
      </w:r>
      <w:r>
        <w:rPr/>
        <w:t> </w:t>
      </w:r>
      <w:r>
        <w:rPr>
          <w:rFonts w:ascii="Times New Roman" w:hAnsi="Times New Roman" w:cs="Times New Roman" w:eastAsia="Times New Roman" w:hint="default"/>
        </w:rPr>
        <w:t>“</w:t>
      </w:r>
      <w:r>
        <w:rPr/>
        <w:t>扶贫帮困送温暖</w:t>
      </w:r>
      <w:r>
        <w:rPr>
          <w:rFonts w:ascii="Times New Roman" w:hAnsi="Times New Roman" w:cs="Times New Roman" w:eastAsia="Times New Roman" w:hint="default"/>
        </w:rPr>
        <w:t>”</w:t>
      </w:r>
      <w:r>
        <w:rPr/>
        <w:t>项目（项目内容：对新江村内困难家庭以慰问金形式开展帮困慰问）。积极参与金山区</w:t>
      </w:r>
      <w:r>
        <w:rPr>
          <w:rFonts w:ascii="Times New Roman" w:hAnsi="Times New Roman" w:cs="Times New Roman" w:eastAsia="Times New Roman" w:hint="default"/>
        </w:rPr>
        <w:t>“</w:t>
      </w:r>
      <w:r>
        <w:rPr/>
        <w:t>百家企业点亮千 名困难党员群众微心愿</w:t>
      </w:r>
      <w:r>
        <w:rPr>
          <w:rFonts w:ascii="Times New Roman" w:hAnsi="Times New Roman" w:cs="Times New Roman" w:eastAsia="Times New Roman" w:hint="default"/>
        </w:rPr>
        <w:t>”</w:t>
      </w:r>
      <w:r>
        <w:rPr/>
        <w:t>活动认领了多个项目，尽己所能传递温暖，切实把关爱送到有需要的人心坎上。</w:t>
      </w:r>
    </w:p>
    <w:p>
      <w:pPr>
        <w:pStyle w:val="BodyText"/>
        <w:spacing w:line="319" w:lineRule="auto" w:before="52"/>
        <w:ind w:right="1043" w:firstLine="360"/>
        <w:jc w:val="both"/>
      </w:pPr>
      <w:r>
        <w:rPr>
          <w:spacing w:val="-4"/>
        </w:rPr>
        <w:t>展望未来，公司将继续通过践行和传承公司的核心价值观，来实现自身的可持续生存发展，并积极履行相应的社会责任，</w:t>
      </w:r>
      <w:r>
        <w:rPr/>
        <w:t> 树立对社会、对企业、对客户、对员工的责任意识，遵守商业道德、法律法规，提升安全生产、资源节约、职业健康能力， 通过提供优质产品、创造就业岗位、改善工作环境和追求阳光下的利润来推动企业可持续发展。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3"/>
        <w:spacing w:line="240" w:lineRule="auto"/>
        <w:ind w:right="1032"/>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公司报告年度暂未开展精准扶贫工作，也暂无后续精准扶贫计划。</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是</w:t>
      </w:r>
    </w:p>
    <w:tbl>
      <w:tblPr>
        <w:tblW w:w="0" w:type="auto"/>
        <w:jc w:val="left"/>
        <w:tblInd w:w="14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4" w:right="24"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7"/>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厂区东侧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150mg/m3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上海市锅炉 大气污染物 排放标准</w:t>
            </w:r>
          </w:p>
          <w:p>
            <w:pPr>
              <w:pStyle w:val="TableParagraph"/>
              <w:spacing w:line="362" w:lineRule="auto" w:before="58"/>
              <w:ind w:left="22" w:right="23"/>
              <w:jc w:val="both"/>
              <w:rPr>
                <w:rFonts w:ascii="Times New Roman" w:hAnsi="Times New Roman" w:cs="Times New Roman" w:eastAsia="Times New Roman" w:hint="default"/>
                <w:sz w:val="18"/>
                <w:szCs w:val="18"/>
              </w:rPr>
            </w:pPr>
            <w:r>
              <w:rPr>
                <w:rFonts w:ascii="Times New Roman"/>
                <w:sz w:val="18"/>
              </w:rPr>
              <w:t>DB31/387-2</w:t>
            </w:r>
            <w:r>
              <w:rPr>
                <w:rFonts w:ascii="Times New Roman"/>
                <w:w w:val="99"/>
                <w:sz w:val="18"/>
              </w:rPr>
              <w:t> </w:t>
            </w:r>
            <w:r>
              <w:rPr>
                <w:rFonts w:ascii="Times New Roman"/>
                <w:sz w:val="18"/>
              </w:rPr>
              <w:t>014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91.35t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7"/>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化学需氧量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间接排放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厂区东侧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r>
              <w:rPr>
                <w:rFonts w:ascii="Times New Roman"/>
                <w:spacing w:val="-1"/>
                <w:sz w:val="18"/>
              </w:rPr>
              <w:t> </w:t>
            </w:r>
            <w:r>
              <w:rPr>
                <w:rFonts w:ascii="Times New Roman"/>
                <w:sz w:val="18"/>
              </w:rPr>
              <w:t>mg/L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污水排入城 镇下水道水 质标准</w:t>
            </w:r>
          </w:p>
          <w:p>
            <w:pPr>
              <w:pStyle w:val="TableParagraph"/>
              <w:spacing w:line="362" w:lineRule="auto" w:before="58"/>
              <w:ind w:left="22" w:right="53"/>
              <w:jc w:val="both"/>
              <w:rPr>
                <w:rFonts w:ascii="Times New Roman" w:hAnsi="Times New Roman" w:cs="Times New Roman" w:eastAsia="Times New Roman" w:hint="default"/>
                <w:sz w:val="18"/>
                <w:szCs w:val="18"/>
              </w:rPr>
            </w:pPr>
            <w:r>
              <w:rPr>
                <w:rFonts w:ascii="Times New Roman"/>
                <w:sz w:val="18"/>
              </w:rPr>
              <w:t>GB/T</w:t>
            </w:r>
            <w:r>
              <w:rPr>
                <w:rFonts w:ascii="Times New Roman"/>
                <w:w w:val="99"/>
                <w:sz w:val="18"/>
              </w:rPr>
              <w:t> </w:t>
            </w:r>
            <w:r>
              <w:rPr>
                <w:rFonts w:ascii="Times New Roman"/>
                <w:sz w:val="18"/>
              </w:rPr>
              <w:t>31962-2015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126.48t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68"/>
        <w:ind w:right="8232"/>
        <w:jc w:val="left"/>
      </w:pPr>
      <w:r>
        <w:rPr/>
        <w:t>防治污染设施的建设和运行情况 环保设施运行正常</w:t>
      </w:r>
    </w:p>
    <w:p>
      <w:pPr>
        <w:pStyle w:val="BodyText"/>
        <w:spacing w:line="240" w:lineRule="auto" w:before="29"/>
        <w:ind w:right="1032"/>
        <w:jc w:val="left"/>
      </w:pPr>
      <w:r>
        <w:rPr/>
        <w:t>建设项目环境影响评价及其他环境保护行政许可情况</w:t>
      </w:r>
    </w:p>
    <w:p>
      <w:pPr>
        <w:pStyle w:val="BodyText"/>
        <w:spacing w:line="300" w:lineRule="auto" w:before="115"/>
        <w:ind w:right="1032"/>
        <w:jc w:val="left"/>
      </w:pPr>
      <w:r>
        <w:rPr>
          <w:spacing w:val="-2"/>
        </w:rPr>
        <w:t>江苏华峰超纤材料有限公司年产</w:t>
      </w:r>
      <w:r>
        <w:rPr>
          <w:rFonts w:ascii="Times New Roman" w:hAnsi="Times New Roman" w:cs="Times New Roman" w:eastAsia="Times New Roman" w:hint="default"/>
          <w:spacing w:val="-2"/>
        </w:rPr>
        <w:t>7500</w:t>
      </w:r>
      <w:r>
        <w:rPr>
          <w:spacing w:val="-2"/>
        </w:rPr>
        <w:t>万米产业用非织造布超纤材料（本次验收二期工程年产</w:t>
      </w:r>
      <w:r>
        <w:rPr>
          <w:rFonts w:ascii="Times New Roman" w:hAnsi="Times New Roman" w:cs="Times New Roman" w:eastAsia="Times New Roman" w:hint="default"/>
          <w:spacing w:val="-2"/>
        </w:rPr>
        <w:t>1800</w:t>
      </w:r>
      <w:r>
        <w:rPr>
          <w:spacing w:val="-2"/>
        </w:rPr>
        <w:t>万米）噪声和固废污染防治</w:t>
      </w:r>
      <w:r>
        <w:rPr>
          <w:spacing w:val="-56"/>
        </w:rPr>
        <w:t> </w:t>
      </w:r>
      <w:r>
        <w:rPr>
          <w:spacing w:val="-56"/>
        </w:rPr>
      </w:r>
      <w:r>
        <w:rPr/>
        <w:t>设施竣工环境保护验收作出审批决定。现将作出的审批决定（通行审批</w:t>
      </w:r>
      <w:r>
        <w:rPr>
          <w:rFonts w:ascii="Times New Roman" w:hAnsi="Times New Roman" w:cs="Times New Roman" w:eastAsia="Times New Roman" w:hint="default"/>
        </w:rPr>
        <w:t>[2018]477</w:t>
      </w:r>
      <w:r>
        <w:rPr/>
        <w:t>号）</w:t>
      </w:r>
    </w:p>
    <w:p>
      <w:pPr>
        <w:pStyle w:val="BodyText"/>
        <w:spacing w:line="240" w:lineRule="auto" w:before="13"/>
        <w:ind w:right="1032"/>
        <w:jc w:val="left"/>
      </w:pPr>
      <w:r>
        <w:rPr/>
        <w:t>江苏华峰超纤材料有限公司</w:t>
      </w:r>
      <w:r>
        <w:rPr>
          <w:rFonts w:ascii="Times New Roman" w:hAnsi="Times New Roman" w:cs="Times New Roman" w:eastAsia="Times New Roman" w:hint="default"/>
        </w:rPr>
        <w:t>-</w:t>
      </w:r>
      <w:r>
        <w:rPr/>
        <w:t>年产</w:t>
      </w:r>
      <w:r>
        <w:rPr>
          <w:rFonts w:ascii="Times New Roman" w:hAnsi="Times New Roman" w:cs="Times New Roman" w:eastAsia="Times New Roman" w:hint="default"/>
        </w:rPr>
        <w:t>5000</w:t>
      </w:r>
      <w:r>
        <w:rPr/>
        <w:t>万米产业用非织造布超纤材料项目受理公示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032"/>
        <w:jc w:val="left"/>
      </w:pPr>
      <w:r>
        <w:rPr/>
        <w:t>突发环境事件应急预案</w:t>
      </w:r>
    </w:p>
    <w:p>
      <w:pPr>
        <w:pStyle w:val="BodyText"/>
        <w:spacing w:line="304" w:lineRule="auto" w:before="116"/>
        <w:ind w:right="1132"/>
        <w:jc w:val="both"/>
      </w:pPr>
      <w:r>
        <w:rPr/>
        <w:t>根据《上海市企业突发环境事件风险评估报告编制指南（试行）》（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月）和《上海企业事业单位突发环境事件应急 </w:t>
      </w:r>
      <w:r>
        <w:rPr>
          <w:spacing w:val="-2"/>
        </w:rPr>
        <w:t>预案编制指南（试行）》（</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月）两个文件要求，编制了突发环境事件应急预案体系。应急预案体系包括</w:t>
      </w:r>
      <w:r>
        <w:rPr>
          <w:rFonts w:ascii="Times New Roman" w:hAnsi="Times New Roman" w:cs="Times New Roman" w:eastAsia="Times New Roman" w:hint="default"/>
          <w:spacing w:val="-2"/>
        </w:rPr>
        <w:t>1</w:t>
      </w:r>
      <w:r>
        <w:rPr>
          <w:spacing w:val="-2"/>
        </w:rPr>
        <w:t>部《综合应</w:t>
      </w:r>
      <w:r>
        <w:rPr>
          <w:spacing w:val="-61"/>
        </w:rPr>
        <w:t> </w:t>
      </w:r>
      <w:r>
        <w:rPr>
          <w:spacing w:val="-61"/>
        </w:rPr>
      </w:r>
      <w:r>
        <w:rPr>
          <w:spacing w:val="-2"/>
        </w:rPr>
        <w:t>急预案》、</w:t>
      </w:r>
      <w:r>
        <w:rPr>
          <w:rFonts w:ascii="Times New Roman" w:hAnsi="Times New Roman" w:cs="Times New Roman" w:eastAsia="Times New Roman" w:hint="default"/>
          <w:spacing w:val="-2"/>
        </w:rPr>
        <w:t>2</w:t>
      </w:r>
      <w:r>
        <w:rPr>
          <w:spacing w:val="-2"/>
        </w:rPr>
        <w:t>部《火灾事故专项应急预案》《泄露事故专项应急预案》和</w:t>
      </w:r>
      <w:r>
        <w:rPr>
          <w:rFonts w:ascii="Times New Roman" w:hAnsi="Times New Roman" w:cs="Times New Roman" w:eastAsia="Times New Roman" w:hint="default"/>
          <w:spacing w:val="-2"/>
        </w:rPr>
        <w:t>5</w:t>
      </w:r>
      <w:r>
        <w:rPr>
          <w:spacing w:val="-2"/>
        </w:rPr>
        <w:t>部现场处置方案组成。应急预案体系充分涵盖了公</w:t>
      </w:r>
      <w:r>
        <w:rPr>
          <w:spacing w:val="-67"/>
        </w:rPr>
        <w:t> </w:t>
      </w:r>
      <w:r>
        <w:rPr>
          <w:spacing w:val="-67"/>
        </w:rPr>
      </w:r>
      <w:r>
        <w:rPr>
          <w:spacing w:val="-2"/>
        </w:rPr>
        <w:t>司可能发生的突发环境事件并针对性地作出处置方案，最大程度减少突发环境事件带来的环境污染事故。公司每年根据预案</w:t>
      </w:r>
      <w:r>
        <w:rPr>
          <w:spacing w:val="-64"/>
        </w:rPr>
        <w:t> </w:t>
      </w:r>
      <w:r>
        <w:rPr>
          <w:spacing w:val="-64"/>
        </w:rPr>
      </w:r>
      <w:r>
        <w:rPr/>
        <w:t>体系进行演练，不断增强了环保意识、查找应急不足、锻炼临场指挥和提高应急能力，确保环境突发事件平稳可控。</w:t>
      </w:r>
    </w:p>
    <w:p>
      <w:pPr>
        <w:pStyle w:val="BodyText"/>
        <w:spacing w:line="338" w:lineRule="auto" w:before="67"/>
        <w:ind w:right="1032"/>
        <w:jc w:val="left"/>
      </w:pPr>
      <w:r>
        <w:rPr/>
        <w:t>环境自行监测方案 </w:t>
      </w:r>
      <w:r>
        <w:rPr>
          <w:spacing w:val="-2"/>
        </w:rPr>
        <w:t>根据上海华峰超纤材料股份有限公司的基本情况，公司采取委托监测的方式对污染物排放进行监测。公司按照环境主管部门</w:t>
      </w:r>
      <w:r>
        <w:rPr>
          <w:spacing w:val="-64"/>
        </w:rPr>
        <w:t> </w:t>
      </w:r>
      <w:r>
        <w:rPr>
          <w:spacing w:val="-64"/>
        </w:rPr>
      </w:r>
      <w:r>
        <w:rPr>
          <w:spacing w:val="-2"/>
        </w:rPr>
        <w:t>要求，通过上海市企事业单位环境信息公开平台，向社会公布自行监测信息。公布内容：企业基础信息，自行监测方案，自</w:t>
      </w:r>
    </w:p>
    <w:p>
      <w:pPr>
        <w:pStyle w:val="BodyText"/>
        <w:spacing w:line="240" w:lineRule="auto" w:before="2"/>
        <w:ind w:right="1032"/>
        <w:jc w:val="left"/>
      </w:pPr>
      <w:r>
        <w:rPr/>
        <w:t>行监测结果，及其他内容。监测结果在企业获得监测数据后的当月或下月公布。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57" w:lineRule="auto"/>
        <w:ind w:right="8772"/>
        <w:jc w:val="left"/>
      </w:pPr>
      <w:r>
        <w:rPr/>
        <w:t>其他应当公开的环境信息 无</w:t>
      </w:r>
    </w:p>
    <w:p>
      <w:pPr>
        <w:pStyle w:val="BodyText"/>
        <w:spacing w:line="357" w:lineRule="auto" w:before="29"/>
        <w:ind w:right="9312"/>
        <w:jc w:val="left"/>
      </w:pPr>
      <w:r>
        <w:rPr/>
        <w:t>其他环保相关信息 无</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32"/>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1032"/>
        <w:jc w:val="left"/>
        <w:rPr>
          <w:b w:val="0"/>
          <w:bCs w:val="0"/>
        </w:rPr>
      </w:pPr>
      <w:bookmarkStart w:name="_TOC_250006" w:id="104"/>
      <w:bookmarkStart w:name="第六节 股份变动及股东情况" w:id="105"/>
      <w:r>
        <w:rPr>
          <w:b w:val="0"/>
          <w:bCs w:val="0"/>
        </w:rPr>
      </w:r>
      <w:r>
        <w:rPr/>
        <w:t>第六节</w:t>
      </w:r>
      <w:r>
        <w:rPr>
          <w:spacing w:val="-10"/>
        </w:rPr>
        <w:t> </w:t>
      </w:r>
      <w:r>
        <w:rPr/>
        <w:t>股份变动及股东情况</w:t>
      </w:r>
      <w:bookmarkEnd w:id="10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251,078,0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39.79%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-106,110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200,756,3</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451,834,3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39.78%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251,078,0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39.79%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-106,110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200,756,3</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451,834,3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39.78%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26,513,38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4.20%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21,210,70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21,210,70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47,724,08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4.20%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224,564,6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35.59%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179,651,7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-106,110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379,941,8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60.21%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303,953,4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106,110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684,001,3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60.22%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379,941,8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60.21%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303,953,4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106,110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684,001,3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60.22%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631,019,8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504,815,8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504,815,8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1,135,835</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,710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股份变动的原因</w:t>
      </w:r>
    </w:p>
    <w:p>
      <w:pPr>
        <w:pStyle w:val="BodyText"/>
        <w:spacing w:line="319"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第三届董事会第二十六次会议及</w:t>
      </w:r>
      <w:r>
        <w:rPr>
          <w:rFonts w:ascii="Times New Roman" w:hAnsi="Times New Roman" w:cs="Times New Roman" w:eastAsia="Times New Roman" w:hint="default"/>
        </w:rPr>
        <w:t>2017</w:t>
      </w:r>
      <w:r>
        <w:rPr/>
        <w:t>年年度股东大会审议通过</w:t>
      </w:r>
      <w:r>
        <w:rPr>
          <w:rFonts w:ascii="Times New Roman" w:hAnsi="Times New Roman" w:cs="Times New Roman" w:eastAsia="Times New Roman" w:hint="default"/>
        </w:rPr>
        <w:t>2017</w:t>
      </w:r>
      <w:r>
        <w:rPr/>
        <w:t>年利润分配方案，以</w:t>
      </w:r>
      <w:r>
        <w:rPr>
          <w:rFonts w:ascii="Times New Roman" w:hAnsi="Times New Roman" w:cs="Times New Roman" w:eastAsia="Times New Roman" w:hint="default"/>
        </w:rPr>
        <w:t>2017</w:t>
      </w:r>
      <w:r>
        <w:rPr/>
        <w:t>年末总股本</w:t>
      </w:r>
      <w:r>
        <w:rPr>
          <w:rFonts w:ascii="Times New Roman" w:hAnsi="Times New Roman" w:cs="Times New Roman" w:eastAsia="Times New Roman" w:hint="default"/>
        </w:rPr>
        <w:t>631,019,839</w:t>
      </w:r>
      <w:r>
        <w:rPr/>
        <w:t>股为基 </w:t>
      </w:r>
      <w:r>
        <w:rPr>
          <w:spacing w:val="-2"/>
        </w:rPr>
        <w:t>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0.5</w:t>
      </w:r>
      <w:r>
        <w:rPr>
          <w:spacing w:val="-2"/>
        </w:rPr>
        <w:t>元（含税），合计派发现金</w:t>
      </w:r>
      <w:r>
        <w:rPr>
          <w:rFonts w:ascii="Times New Roman" w:hAnsi="Times New Roman" w:cs="Times New Roman" w:eastAsia="Times New Roman" w:hint="default"/>
          <w:spacing w:val="-2"/>
        </w:rPr>
        <w:t>31,550,991.95</w:t>
      </w:r>
      <w:r>
        <w:rPr>
          <w:spacing w:val="-2"/>
        </w:rPr>
        <w:t>元，同时，以资本公积金向全体股东</w:t>
      </w:r>
    </w:p>
    <w:p>
      <w:pPr>
        <w:pStyle w:val="BodyText"/>
        <w:spacing w:line="300" w:lineRule="auto"/>
        <w:ind w:right="3867"/>
        <w:jc w:val="left"/>
      </w:pP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504,815,871</w:t>
      </w:r>
      <w:r>
        <w:rPr/>
        <w:t>股，转增后公司总股本将增加至</w:t>
      </w:r>
      <w:r>
        <w:rPr>
          <w:rFonts w:ascii="Times New Roman" w:hAnsi="Times New Roman" w:cs="Times New Roman" w:eastAsia="Times New Roman" w:hint="default"/>
        </w:rPr>
        <w:t>1,135,835,710</w:t>
      </w:r>
      <w:r>
        <w:rPr/>
        <w:t>股。 限售股的其他变动为每年新解禁的高管锁定股。</w:t>
      </w:r>
    </w:p>
    <w:p>
      <w:pPr>
        <w:pStyle w:val="BodyText"/>
        <w:spacing w:line="240" w:lineRule="auto" w:before="72"/>
        <w:ind w:right="1032"/>
        <w:jc w:val="left"/>
      </w:pPr>
      <w:r>
        <w:rPr/>
        <w:t>股份变动的批准情况</w:t>
      </w:r>
    </w:p>
    <w:p>
      <w:pPr>
        <w:pStyle w:val="BodyText"/>
        <w:spacing w:line="338" w:lineRule="auto" w:before="117"/>
        <w:ind w:right="5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第三届董事会第二十六次会议及</w:t>
      </w:r>
      <w:r>
        <w:rPr>
          <w:rFonts w:ascii="Times New Roman" w:hAnsi="Times New Roman" w:cs="Times New Roman" w:eastAsia="Times New Roman" w:hint="default"/>
        </w:rPr>
        <w:t>2017</w:t>
      </w:r>
      <w:r>
        <w:rPr/>
        <w:t>年年度股东大会审议通过 股份变动的过户情况</w:t>
      </w:r>
    </w:p>
    <w:p>
      <w:pPr>
        <w:pStyle w:val="BodyText"/>
        <w:spacing w:line="348" w:lineRule="auto" w:before="44"/>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已完成股份登记 股份回购的实施进展情况</w:t>
      </w:r>
    </w:p>
    <w:p>
      <w:pPr>
        <w:pStyle w:val="BodyText"/>
        <w:spacing w:line="240" w:lineRule="auto" w:before="3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t>采用集中竞价方式减持回购股份的实施进展情况</w:t>
      </w:r>
    </w:p>
    <w:p>
      <w:pPr>
        <w:pStyle w:val="BodyText"/>
        <w:spacing w:line="340" w:lineRule="auto" w:before="116"/>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1"/>
        <w:ind w:right="4397" w:firstLine="145"/>
        <w:jc w:val="left"/>
      </w:pPr>
      <w:r>
        <w:rPr>
          <w:rFonts w:ascii="Times New Roman" w:hAnsi="Times New Roman" w:cs="Times New Roman" w:eastAsia="Times New Roman" w:hint="default"/>
        </w:rPr>
        <w:t>2018</w:t>
      </w:r>
      <w:r>
        <w:rPr/>
        <w:t>年公司合并报表基本每股收益和稀释每股收益</w:t>
      </w:r>
      <w:r>
        <w:rPr>
          <w:rFonts w:ascii="Times New Roman" w:hAnsi="Times New Roman" w:cs="Times New Roman" w:eastAsia="Times New Roman" w:hint="default"/>
        </w:rPr>
        <w:t>0.26</w:t>
      </w:r>
      <w:r>
        <w:rPr/>
        <w:t>元，每股净资产</w:t>
      </w:r>
      <w:r>
        <w:rPr>
          <w:rFonts w:ascii="Times New Roman" w:hAnsi="Times New Roman" w:cs="Times New Roman" w:eastAsia="Times New Roman" w:hint="default"/>
        </w:rPr>
        <w:t>4.52</w:t>
      </w:r>
      <w:r>
        <w:rPr/>
        <w:t>元。 公司认为必要或证券监管机构要求披露的其他内容</w:t>
      </w:r>
    </w:p>
    <w:p>
      <w:pPr>
        <w:pStyle w:val="BodyText"/>
        <w:spacing w:line="240" w:lineRule="auto" w:before="41"/>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第三届董事会第二十六次会议及</w:t>
      </w:r>
      <w:r>
        <w:rPr>
          <w:rFonts w:ascii="Times New Roman" w:hAnsi="Times New Roman" w:cs="Times New Roman" w:eastAsia="Times New Roman" w:hint="default"/>
        </w:rPr>
        <w:t>2017</w:t>
      </w:r>
      <w:r>
        <w:rPr/>
        <w:t>年年度股东大会审议通过</w:t>
      </w:r>
      <w:r>
        <w:rPr>
          <w:rFonts w:ascii="Times New Roman" w:hAnsi="Times New Roman" w:cs="Times New Roman" w:eastAsia="Times New Roman" w:hint="default"/>
        </w:rPr>
        <w:t>2017</w:t>
      </w:r>
      <w:r>
        <w:rPr/>
        <w:t>年利润分配方案，以</w:t>
      </w:r>
      <w:r>
        <w:rPr>
          <w:rFonts w:ascii="Times New Roman" w:hAnsi="Times New Roman" w:cs="Times New Roman" w:eastAsia="Times New Roman" w:hint="default"/>
        </w:rPr>
        <w:t>2017</w:t>
      </w:r>
      <w:r>
        <w:rPr/>
        <w:t>年末总股本</w:t>
      </w:r>
      <w:r>
        <w:rPr>
          <w:rFonts w:ascii="Times New Roman" w:hAnsi="Times New Roman" w:cs="Times New Roman" w:eastAsia="Times New Roman" w:hint="default"/>
        </w:rPr>
        <w:t>631,019,839</w:t>
      </w:r>
      <w:r>
        <w:rPr/>
        <w:t>股为基 </w:t>
      </w:r>
      <w:r>
        <w:rPr>
          <w:spacing w:val="-2"/>
        </w:rPr>
        <w:t>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0.5</w:t>
      </w:r>
      <w:r>
        <w:rPr>
          <w:spacing w:val="-2"/>
        </w:rPr>
        <w:t>元（含税），合计派发现金</w:t>
      </w:r>
      <w:r>
        <w:rPr>
          <w:rFonts w:ascii="Times New Roman" w:hAnsi="Times New Roman" w:cs="Times New Roman" w:eastAsia="Times New Roman" w:hint="default"/>
          <w:spacing w:val="-2"/>
        </w:rPr>
        <w:t>31,550,991.95</w:t>
      </w:r>
      <w:r>
        <w:rPr>
          <w:spacing w:val="-2"/>
        </w:rPr>
        <w:t>元，同时，以资本公积金向全体股东</w:t>
      </w:r>
    </w:p>
    <w:p>
      <w:pPr>
        <w:pStyle w:val="BodyText"/>
        <w:spacing w:line="246" w:lineRule="exact"/>
        <w:ind w:right="1032"/>
        <w:jc w:val="left"/>
      </w:pP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504,815,871</w:t>
      </w:r>
      <w:r>
        <w:rPr/>
        <w:t>股，转增后公司总股本将增加至</w:t>
      </w:r>
      <w:r>
        <w:rPr>
          <w:rFonts w:ascii="Times New Roman" w:hAnsi="Times New Roman" w:cs="Times New Roman" w:eastAsia="Times New Roman" w:hint="default"/>
        </w:rPr>
        <w:t>1,135,835,710</w:t>
      </w:r>
      <w:r>
        <w:rPr/>
        <w:t>股。</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291718pt;width:85.6pt;height:31.2pt;mso-position-horizontal-relative:page;mso-position-vertical-relative:paragraph;z-index:-946648"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291718pt;width:52.45pt;height:31.2pt;mso-position-horizontal-relative:page;mso-position-vertical-relative:paragraph;z-index:-946624"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23"/>
        <w:gridCol w:w="134"/>
        <w:gridCol w:w="673"/>
        <w:gridCol w:w="739"/>
        <w:gridCol w:w="744"/>
        <w:gridCol w:w="830"/>
        <w:gridCol w:w="344"/>
        <w:gridCol w:w="445"/>
        <w:gridCol w:w="824"/>
        <w:gridCol w:w="791"/>
        <w:gridCol w:w="334"/>
        <w:gridCol w:w="1027"/>
        <w:gridCol w:w="278"/>
        <w:gridCol w:w="513"/>
        <w:gridCol w:w="558"/>
      </w:tblGrid>
      <w:tr>
        <w:trPr>
          <w:trHeight w:val="162"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7,179</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9" w:right="0"/>
              <w:jc w:val="left"/>
              <w:rPr>
                <w:rFonts w:ascii="Times New Roman" w:hAnsi="Times New Roman" w:cs="Times New Roman" w:eastAsia="Times New Roman" w:hint="default"/>
                <w:sz w:val="18"/>
                <w:szCs w:val="18"/>
              </w:rPr>
            </w:pPr>
            <w:r>
              <w:rPr>
                <w:rFonts w:ascii="Times New Roman"/>
                <w:sz w:val="18"/>
              </w:rPr>
              <w:t>7,176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5"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9"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4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1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right w:val="single" w:sz="4" w:space="0" w:color="000000"/>
            </w:tcBorders>
            <w:shd w:val="clear" w:color="auto" w:fill="D2D2D2"/>
          </w:tcPr>
          <w:p>
            <w:pPr/>
          </w:p>
        </w:tc>
      </w:tr>
      <w:tr>
        <w:trPr>
          <w:trHeight w:val="140"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2"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华峰集团有限公 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47000000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82,663,18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36739193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82,663,18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70,425,00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31300000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52,818,75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17,606,25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52,521,06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23342695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52,521,06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招商证券国际有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客户资金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50,188,29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26539241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50,188,29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22200000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37,462,50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12,487,50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北京奕铭投资管 理中心（有限合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37,576,43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16700637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37,576,43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37,440,000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21,937,50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7,312,500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11600000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19,575,00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11600000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19,575,00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1"/>
                <w:sz w:val="18"/>
                <w:szCs w:val="18"/>
              </w:rPr>
              <w:t>第一大股东华峰集团有限公司之控股股东尤小平及其直系亲属尤金焕、尤小华、尤小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燕、尤小玲、陈林真为本公司实际控制人，为一致行动人。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招商证券国际有限公司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客户资金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50,188,293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50,188,293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17,606,250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17,606,250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16,216,372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16,216,372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钱伟民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13,955,220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13,945,860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13,945,860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12,487,500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12,487,500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12,261,780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12,261,780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易方达 创业板交易型开放式指数证券投资 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11,851,508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11,851,508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付晓</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11,829,998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11,829,998</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1"/>
                <w:sz w:val="18"/>
                <w:szCs w:val="18"/>
              </w:rPr>
              <w:t>第一大股东华峰集团有限公司之控股股东尤小平及其直系亲属尤金焕、尤小华、尤小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燕、尤小玲、陈林真为本公司实际控制人，为一致行动人。第四大流通股东沈宁为境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内自然人身份证开立证券账户，第八大流通股东沈宁为境外自然人以护照号码开立证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券账户，公司无法确切得知其关联关系。</w:t>
            </w:r>
          </w:p>
        </w:tc>
      </w:tr>
      <w:tr>
        <w:trPr>
          <w:trHeight w:val="196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第四大流通股东沈宁通过太平洋证券股份有限公司客户信用交易担保证券账户持有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16216372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股，钱伟民通过东方证券股份有限公司客户信用交易担保证券账户持有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13955220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股，张健通过东方证券股份有限公司客户信用交易担保证券账户持有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13945860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4"/>
                <w:sz w:val="18"/>
                <w:szCs w:val="18"/>
              </w:rPr>
              <w:t>，</w:t>
            </w:r>
            <w:r>
              <w:rPr>
                <w:rFonts w:ascii="宋体" w:hAnsi="宋体" w:cs="宋体" w:eastAsia="宋体" w:hint="default"/>
                <w:sz w:val="18"/>
                <w:szCs w:val="18"/>
              </w:rPr>
              <w:t>第八大流通股东沈宁通过湘财证券股份有限公司客户信用交易担保证券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12261780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股，付晓普通证券账户持有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1059983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股，通过联储证券有限责任</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10770015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11829998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232"/>
        <w:jc w:val="left"/>
      </w:pPr>
      <w:r>
        <w:rPr/>
        <w:t>控股股东性质：自然人控股 控股股东类型：不存在 公司不存在控股股东情况的说明</w:t>
      </w:r>
    </w:p>
    <w:p>
      <w:pPr>
        <w:pStyle w:val="BodyText"/>
        <w:spacing w:line="360" w:lineRule="auto" w:before="25"/>
        <w:ind w:right="3012"/>
        <w:jc w:val="left"/>
      </w:pPr>
      <w:r>
        <w:rPr/>
        <w:t>本公司无控股股东，为实际控制人尤小平、尤金焕、尤小华、尤小燕、尤小玲、陈林真共同控制。 控股股东报告期内变更</w:t>
      </w:r>
    </w:p>
    <w:p>
      <w:pPr>
        <w:pStyle w:val="BodyText"/>
        <w:spacing w:line="338" w:lineRule="auto" w:before="2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一控制）</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上述人员均在华峰集团有限公司及下属各子公司任职</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控股深交所中小板上市公司浙江华峰氨纶股份有限公司，股票代码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002064</w:t>
            </w:r>
          </w:p>
        </w:tc>
      </w:tr>
    </w:tbl>
    <w:p>
      <w:pPr>
        <w:pStyle w:val="BodyText"/>
        <w:spacing w:line="240" w:lineRule="auto" w:before="51"/>
        <w:ind w:right="1032"/>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18"/>
          <w:szCs w:val="18"/>
        </w:rPr>
      </w:pPr>
    </w:p>
    <w:p>
      <w:pPr>
        <w:spacing w:line="6121" w:lineRule="exact"/>
        <w:ind w:left="1139" w:right="0" w:firstLine="0"/>
        <w:rPr>
          <w:rFonts w:ascii="宋体" w:hAnsi="宋体" w:cs="宋体" w:eastAsia="宋体" w:hint="default"/>
          <w:sz w:val="20"/>
          <w:szCs w:val="20"/>
        </w:rPr>
      </w:pPr>
      <w:r>
        <w:rPr>
          <w:rFonts w:ascii="宋体" w:hAnsi="宋体" w:cs="宋体" w:eastAsia="宋体" w:hint="default"/>
          <w:position w:val="-121"/>
          <w:sz w:val="20"/>
          <w:szCs w:val="20"/>
        </w:rPr>
        <w:drawing>
          <wp:inline distT="0" distB="0" distL="0" distR="0">
            <wp:extent cx="4867352" cy="388715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867352" cy="3887152"/>
                    </a:xfrm>
                    <a:prstGeom prst="rect">
                      <a:avLst/>
                    </a:prstGeom>
                  </pic:spPr>
                </pic:pic>
              </a:graphicData>
            </a:graphic>
          </wp:inline>
        </w:drawing>
      </w:r>
      <w:r>
        <w:rPr>
          <w:rFonts w:ascii="宋体" w:hAnsi="宋体" w:cs="宋体" w:eastAsia="宋体" w:hint="default"/>
          <w:position w:val="-121"/>
          <w:sz w:val="20"/>
          <w:szCs w:val="20"/>
        </w:rPr>
      </w:r>
    </w:p>
    <w:p>
      <w:pPr>
        <w:spacing w:line="240" w:lineRule="auto" w:before="11"/>
        <w:rPr>
          <w:rFonts w:ascii="宋体" w:hAnsi="宋体" w:cs="宋体" w:eastAsia="宋体" w:hint="default"/>
          <w:sz w:val="20"/>
          <w:szCs w:val="20"/>
        </w:rPr>
      </w:pPr>
    </w:p>
    <w:p>
      <w:pPr>
        <w:pStyle w:val="BodyText"/>
        <w:spacing w:line="240" w:lineRule="auto"/>
        <w:ind w:right="1032"/>
        <w:jc w:val="left"/>
      </w:pPr>
      <w:r>
        <w:rPr/>
        <w:t>实际控制人通过信托或其他资产管理方式控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BodyText"/>
        <w:spacing w:line="240" w:lineRule="auto"/>
        <w:ind w:right="1032"/>
        <w:jc w:val="left"/>
      </w:pPr>
      <w:r>
        <w:rPr/>
        <w:t>制公司</w:t>
      </w:r>
    </w:p>
    <w:p>
      <w:pPr>
        <w:spacing w:line="240" w:lineRule="auto" w:before="4"/>
        <w:rPr>
          <w:rFonts w:ascii="宋体" w:hAnsi="宋体" w:cs="宋体" w:eastAsia="宋体" w:hint="default"/>
          <w:sz w:val="21"/>
          <w:szCs w:val="21"/>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32"/>
        <w:jc w:val="left"/>
        <w:rPr>
          <w:b w:val="0"/>
          <w:bCs w:val="0"/>
        </w:rPr>
      </w:pPr>
      <w:bookmarkStart w:name="_TOC_250005" w:id="119"/>
      <w:bookmarkStart w:name="第七节 优先股相关情况" w:id="120"/>
      <w:r>
        <w:rPr>
          <w:b w:val="0"/>
          <w:bCs w:val="0"/>
        </w:rPr>
      </w:r>
      <w:r>
        <w:rPr/>
        <w:t>第七节</w:t>
      </w:r>
      <w:r>
        <w:rPr>
          <w:spacing w:val="-8"/>
        </w:rPr>
        <w:t> </w:t>
      </w:r>
      <w:r>
        <w:rPr/>
        <w:t>优先股相关情况</w:t>
      </w:r>
      <w:bookmarkEnd w:id="119"/>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32"/>
        <w:jc w:val="left"/>
        <w:rPr>
          <w:b w:val="0"/>
          <w:bCs w:val="0"/>
        </w:rPr>
      </w:pPr>
      <w:bookmarkStart w:name="_TOC_250004" w:id="121"/>
      <w:bookmarkStart w:name="第八节 董事、监事、高级管理人员和员工情况" w:id="122"/>
      <w:r>
        <w:rPr>
          <w:b w:val="0"/>
          <w:bCs w:val="0"/>
        </w:rPr>
      </w:r>
      <w:r>
        <w:rPr/>
        <w:t>第八节</w:t>
      </w:r>
      <w:r>
        <w:rPr>
          <w:spacing w:val="-16"/>
        </w:rPr>
        <w:t> </w:t>
      </w:r>
      <w:r>
        <w:rPr/>
        <w:t>董事、监事、高级管理人员和员工情况</w:t>
      </w:r>
      <w:bookmarkEnd w:id="12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10,736,67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8,589,342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19,326,01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52,000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9,030,200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20,317,95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45,923,99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36,739,19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82,663,18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24,220,95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2,154,500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1,723,600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3,878,100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1,046,400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837,120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1,883,520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尹建平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84,657,40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52,000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67,684,32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152,289,7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个人原因辞去职务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个人原因辞去职务</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1122" w:hanging="360"/>
        <w:jc w:val="left"/>
      </w:pPr>
      <w:r>
        <w:rPr/>
        <w:t>公司现任董事、监事、高级管理人员专业背景、主要工作经历以及目前在公司的主要职责 尤小平先生：中国国籍，无境外永久居留权。</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月出生，大专学历。第十一、十二届全国人民代表大会代表，中</w:t>
      </w:r>
    </w:p>
    <w:p>
      <w:pPr>
        <w:pStyle w:val="BodyText"/>
        <w:spacing w:line="214" w:lineRule="exact"/>
        <w:ind w:right="1032"/>
        <w:jc w:val="left"/>
      </w:pPr>
      <w:r>
        <w:rPr/>
        <w:t>国石油和化学工业协会副会长，浙江省工商联第八、九届常务委员，曾荣获</w:t>
      </w:r>
      <w:r>
        <w:rPr>
          <w:rFonts w:ascii="Times New Roman" w:hAnsi="Times New Roman" w:cs="Times New Roman" w:eastAsia="Times New Roman" w:hint="default"/>
        </w:rPr>
        <w:t>“</w:t>
      </w:r>
      <w:r>
        <w:rPr/>
        <w:t>浙江省劳动模范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浙江省优秀中国特色社会</w:t>
      </w:r>
    </w:p>
    <w:p>
      <w:pPr>
        <w:pStyle w:val="BodyText"/>
        <w:spacing w:line="300" w:lineRule="auto" w:before="63"/>
        <w:ind w:right="1132"/>
        <w:jc w:val="left"/>
      </w:pPr>
      <w:r>
        <w:rPr/>
        <w:t>主义事业建设者</w:t>
      </w:r>
      <w:r>
        <w:rPr>
          <w:rFonts w:ascii="Times New Roman" w:hAnsi="Times New Roman" w:cs="Times New Roman" w:eastAsia="Times New Roman" w:hint="default"/>
        </w:rPr>
        <w:t>”</w:t>
      </w:r>
      <w:r>
        <w:rPr/>
        <w:t>等荣誉称号。曾任瑞安市塑料七厂副厂长，瑞安市塑料十一厂厂长等职。现任华峰集团有限公司董事、浙 江华峰氨纶股份有限公司董事及本公司董事长。</w:t>
      </w:r>
    </w:p>
    <w:p>
      <w:pPr>
        <w:pStyle w:val="BodyText"/>
        <w:spacing w:line="307" w:lineRule="auto" w:before="31"/>
        <w:ind w:right="1132" w:firstLine="360"/>
        <w:jc w:val="both"/>
      </w:pPr>
      <w:r>
        <w:rPr/>
        <w:t>段伟东先生：中国国籍，男，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月出生，硕士研究生学历。曾任黑龙江齐亿合成树脂有限公司经理、华峰集团有 </w:t>
      </w:r>
      <w:r>
        <w:rPr>
          <w:spacing w:val="-2"/>
        </w:rPr>
        <w:t>限公司副总经理等职务。</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2013</w:t>
      </w:r>
      <w:r>
        <w:rPr>
          <w:spacing w:val="-2"/>
        </w:rPr>
        <w:t>年期间，任浙江华峰新材料股份有限公司总经理、浙江华峰合成树脂有限公司总经理</w:t>
      </w:r>
      <w:r>
        <w:rPr>
          <w:spacing w:val="-58"/>
        </w:rPr>
        <w:t> </w:t>
      </w:r>
      <w:r>
        <w:rPr>
          <w:spacing w:val="-58"/>
        </w:rPr>
      </w:r>
      <w:r>
        <w:rPr>
          <w:spacing w:val="-2"/>
        </w:rPr>
        <w:t>等职务。还担任中国聚氨酯工业协会鞋用树脂专业委员会主任，是中国聚氨酯工业协会第五届理事会专家库成员。现担任本</w:t>
      </w:r>
      <w:r>
        <w:rPr>
          <w:spacing w:val="-66"/>
        </w:rPr>
        <w:t> </w:t>
      </w:r>
      <w:r>
        <w:rPr>
          <w:spacing w:val="-66"/>
        </w:rPr>
      </w:r>
      <w:r>
        <w:rPr/>
        <w:t>公司董事、总经理。</w:t>
      </w:r>
    </w:p>
    <w:p>
      <w:pPr>
        <w:pStyle w:val="BodyText"/>
        <w:spacing w:line="309" w:lineRule="auto" w:before="26"/>
        <w:ind w:right="1032" w:firstLine="360"/>
        <w:jc w:val="left"/>
      </w:pPr>
      <w:r>
        <w:rPr>
          <w:spacing w:val="-2"/>
        </w:rPr>
        <w:t>鲜丹先生：中国国籍，无境外永久居留权。</w:t>
      </w:r>
      <w:r>
        <w:rPr>
          <w:rFonts w:ascii="Times New Roman" w:hAnsi="Times New Roman" w:cs="Times New Roman" w:eastAsia="Times New Roman" w:hint="default"/>
          <w:spacing w:val="-2"/>
        </w:rPr>
        <w:t>1973</w:t>
      </w:r>
      <w:r>
        <w:rPr>
          <w:spacing w:val="-2"/>
        </w:rPr>
        <w:t>年出生，</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5</w:t>
      </w:r>
      <w:r>
        <w:rPr>
          <w:spacing w:val="-2"/>
        </w:rPr>
        <w:t>月就职于深圳普诺玛商业安全设备有限公</w:t>
      </w:r>
      <w:r>
        <w:rPr/>
        <w:t> 司，从事</w:t>
      </w:r>
      <w:r>
        <w:rPr>
          <w:rFonts w:ascii="Times New Roman" w:hAnsi="Times New Roman" w:cs="Times New Roman" w:eastAsia="Times New Roman" w:hint="default"/>
        </w:rPr>
        <w:t>RFID/NFC</w:t>
      </w:r>
      <w:r>
        <w:rPr/>
        <w:t>相关技术和商务工作；</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月创建深圳市希玛特识别系统有限公司，担任公司总经理；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 </w:t>
      </w:r>
      <w:r>
        <w:rPr>
          <w:spacing w:val="-2"/>
        </w:rPr>
        <w:t>今担任深圳市威富通科技有限公司首席执行官，现任威富通董事、总经理、首席执行官并担任深圳市希玛特识别系统有限公</w:t>
      </w:r>
      <w:r>
        <w:rPr>
          <w:spacing w:val="-66"/>
        </w:rPr>
        <w:t> </w:t>
      </w:r>
      <w:r>
        <w:rPr>
          <w:spacing w:val="-66"/>
        </w:rPr>
      </w:r>
      <w:r>
        <w:rPr/>
        <w:t>司董事长、总经理及深圳市购购通电商科技有限公司董事总经理、深圳市汇商通盈实业中心（有限合伙）执行事务合伙人、 深圳市白龙移动科技有限公司董事长、深圳市世明科技有限公司董事。现任本公司董事。</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29" w:firstLine="360"/>
        <w:jc w:val="both"/>
      </w:pPr>
      <w:r>
        <w:rPr>
          <w:spacing w:val="-2"/>
        </w:rPr>
        <w:t>赵鸿凯先生：中国国籍，无境外永久居留权。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12</w:t>
      </w:r>
      <w:r>
        <w:rPr>
          <w:spacing w:val="-2"/>
        </w:rPr>
        <w:t>月出生，硕士、工程师。曾任秦皇岛福胜化学制革有限公司技术</w:t>
      </w:r>
      <w:r>
        <w:rPr/>
        <w:t> </w:t>
      </w:r>
      <w:r>
        <w:rPr>
          <w:spacing w:val="-2"/>
        </w:rPr>
        <w:t>员、车间主任、工程师，浙江省温州人造革有限公司工程师、生产部经理，本公司董事会秘书等。现任本公司董事、副总经</w:t>
      </w:r>
      <w:r>
        <w:rPr>
          <w:spacing w:val="-72"/>
        </w:rPr>
        <w:t> </w:t>
      </w:r>
      <w:r>
        <w:rPr>
          <w:spacing w:val="-72"/>
        </w:rPr>
      </w:r>
      <w:r>
        <w:rPr/>
        <w:t>理。</w:t>
      </w:r>
    </w:p>
    <w:p>
      <w:pPr>
        <w:pStyle w:val="BodyText"/>
        <w:spacing w:line="300" w:lineRule="auto" w:before="24"/>
        <w:ind w:right="1032" w:firstLine="360"/>
        <w:jc w:val="left"/>
      </w:pPr>
      <w:r>
        <w:rPr/>
        <w:t>蔡开成先生：中国国籍，男，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月出生，大专文化，会计师。曾任温州安庆建设开发公司副总经理，瑞安华威印 刷机械有限公司副总经理，</w:t>
      </w:r>
      <w:r>
        <w:rPr>
          <w:rFonts w:ascii="Times New Roman" w:hAnsi="Times New Roman" w:cs="Times New Roman" w:eastAsia="Times New Roman" w:hint="default"/>
        </w:rPr>
        <w:t>2009</w:t>
      </w:r>
      <w:r>
        <w:rPr/>
        <w:t>年进入浙江华峰氨纶股份有限公司，曾任该公司财务总监兼财务部部长。现任本公司董事、 财务总监。</w:t>
      </w:r>
    </w:p>
    <w:p>
      <w:pPr>
        <w:pStyle w:val="BodyText"/>
        <w:spacing w:line="300" w:lineRule="auto" w:before="31"/>
        <w:ind w:right="1132" w:firstLine="360"/>
        <w:jc w:val="both"/>
      </w:pPr>
      <w:r>
        <w:rPr>
          <w:rFonts w:ascii="Times New Roman" w:hAnsi="Times New Roman" w:cs="Times New Roman" w:eastAsia="Times New Roman" w:hint="default"/>
        </w:rPr>
        <w:t>TIAN</w:t>
      </w:r>
      <w:r>
        <w:rPr>
          <w:rFonts w:ascii="Times New Roman" w:hAnsi="Times New Roman" w:cs="Times New Roman" w:eastAsia="Times New Roman" w:hint="default"/>
          <w:spacing w:val="-20"/>
        </w:rPr>
        <w:t> </w:t>
      </w:r>
      <w:r>
        <w:rPr>
          <w:rFonts w:ascii="Times New Roman" w:hAnsi="Times New Roman" w:cs="Times New Roman" w:eastAsia="Times New Roman" w:hint="default"/>
        </w:rPr>
        <w:t>Rencan</w:t>
      </w:r>
      <w:r>
        <w:rPr/>
        <w:t>（田仁灿），男，比利时国籍。</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7</w:t>
      </w:r>
      <w:r>
        <w:rPr/>
        <w:t>月出生，硕士学位；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月就职于富通基金管理 亚洲有限公司，担任首席执行官；</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月就职于海富通基金管理有限公司，担任董事、总经理；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 至今，担任瑞锐投资管理咨询（上海）有限公司总经理。现任本公司董事。</w:t>
      </w:r>
    </w:p>
    <w:p>
      <w:pPr>
        <w:pStyle w:val="BodyText"/>
        <w:spacing w:line="300" w:lineRule="auto" w:before="31"/>
        <w:ind w:right="1139" w:firstLine="360"/>
        <w:jc w:val="both"/>
      </w:pPr>
      <w:r>
        <w:rPr/>
        <w:t>程鸣先生：中国国籍，无境外永久居留权。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4</w:t>
      </w:r>
      <w:r>
        <w:rPr/>
        <w:t>月出生，硕士。曾供职于华峰集团有限公司投资发展部、华峰铝业 股份有限公司。现任本公司董事会秘书。</w:t>
      </w:r>
    </w:p>
    <w:p>
      <w:pPr>
        <w:pStyle w:val="BodyText"/>
        <w:spacing w:line="309" w:lineRule="auto" w:before="31"/>
        <w:ind w:right="1133" w:firstLine="360"/>
        <w:jc w:val="both"/>
      </w:pPr>
      <w:r>
        <w:rPr/>
        <w:t>易颜新先生：中国国籍，无境外永久居留权。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7</w:t>
      </w:r>
      <w:r>
        <w:rPr/>
        <w:t>月生，河北石家庄人，杭州电子科技大学会计学院教授，会计学 </w:t>
      </w:r>
      <w:r>
        <w:rPr>
          <w:spacing w:val="-2"/>
        </w:rPr>
        <w:t>博士，硕士生导师，财务管理系主任，中国非执业注册会计师，浙江省管理会计咨询专家，浙江省总会计师协会学术部副主</w:t>
      </w:r>
      <w:r>
        <w:rPr>
          <w:spacing w:val="-66"/>
        </w:rPr>
        <w:t> </w:t>
      </w:r>
      <w:r>
        <w:rPr>
          <w:spacing w:val="-66"/>
        </w:rPr>
      </w:r>
      <w:r>
        <w:rPr/>
        <w:t>任。本公司现任独立董事。</w:t>
      </w:r>
    </w:p>
    <w:p>
      <w:pPr>
        <w:pStyle w:val="BodyText"/>
        <w:spacing w:line="300" w:lineRule="auto" w:before="24"/>
        <w:ind w:right="1130" w:firstLine="360"/>
        <w:jc w:val="both"/>
      </w:pPr>
      <w:r>
        <w:rPr>
          <w:spacing w:val="-2"/>
        </w:rPr>
        <w:t>谭建英：女，中国国籍，无境外永久居留权。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12</w:t>
      </w:r>
      <w:r>
        <w:rPr>
          <w:spacing w:val="-2"/>
        </w:rPr>
        <w:t>月出生，硕士学历。曾任乌鲁木齐石油化工总厂财务，中石油股</w:t>
      </w:r>
      <w:r>
        <w:rPr/>
        <w:t> </w:t>
      </w:r>
      <w:r>
        <w:rPr>
          <w:spacing w:val="-2"/>
        </w:rPr>
        <w:t>份公司财务，中石油管道建设项目经理部财务，中石油炼化工程部财务，昆仑能源有限公司规划计划部财务。</w:t>
      </w:r>
      <w:r>
        <w:rPr>
          <w:rFonts w:ascii="Times New Roman" w:hAnsi="Times New Roman" w:cs="Times New Roman" w:eastAsia="Times New Roman" w:hint="default"/>
          <w:spacing w:val="-2"/>
        </w:rPr>
        <w:t>2010</w:t>
      </w:r>
      <w:r>
        <w:rPr>
          <w:spacing w:val="-2"/>
        </w:rPr>
        <w:t>年经评议</w:t>
      </w:r>
      <w:r>
        <w:rPr>
          <w:spacing w:val="-62"/>
        </w:rPr>
        <w:t> </w:t>
      </w:r>
      <w:r>
        <w:rPr/>
        <w:t>取得高级会计师资格。本公司现任独立董事。</w:t>
      </w:r>
    </w:p>
    <w:p>
      <w:pPr>
        <w:pStyle w:val="BodyText"/>
        <w:spacing w:line="300" w:lineRule="auto" w:before="31"/>
        <w:ind w:right="1032" w:firstLine="360"/>
        <w:jc w:val="left"/>
      </w:pPr>
      <w:r>
        <w:rPr/>
        <w:t>赵玉彪：男，中国国籍，香港地区居留权。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4</w:t>
      </w:r>
      <w:r>
        <w:rPr/>
        <w:t>月出生，博士学位。</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1996</w:t>
      </w:r>
      <w:r>
        <w:rPr/>
        <w:t>年，就职于吉林信托上海证券业 务部，历任会计、交易部经理；</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年，就职于吉林信托上海洪山路证券营业部，担任总经理；</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2002</w:t>
      </w:r>
      <w:r>
        <w:rPr/>
        <w:t>年， 就职于上海金路达投资管理有限公司，担任总经理；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月，就职于天治基金管理有限公司，担任总经理、副 董事长、董事长；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月至今，浙江南都电源动力股份有限公司，担任董事长助理。现任本公司独立董事。</w:t>
      </w:r>
    </w:p>
    <w:p>
      <w:pPr>
        <w:pStyle w:val="BodyText"/>
        <w:spacing w:line="300" w:lineRule="auto" w:before="13"/>
        <w:ind w:right="1129" w:firstLine="360"/>
        <w:jc w:val="both"/>
      </w:pPr>
      <w:r>
        <w:rPr/>
        <w:t>田轩，男，中国国籍，美国永久居留权，</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5</w:t>
      </w:r>
      <w:r>
        <w:rPr/>
        <w:t>月出生，博士学位，研究生学历。</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2016</w:t>
      </w:r>
      <w:r>
        <w:rPr/>
        <w:t>年，任职于美国印第 </w:t>
      </w:r>
      <w:r>
        <w:rPr>
          <w:spacing w:val="-2"/>
        </w:rPr>
        <w:t>安纳大学凯利商学院，历任助理教授、副教授（终身教职）、教授（终身教职）；</w:t>
      </w:r>
      <w:r>
        <w:rPr>
          <w:rFonts w:ascii="Times New Roman" w:hAnsi="Times New Roman" w:cs="Times New Roman" w:eastAsia="Times New Roman" w:hint="default"/>
          <w:spacing w:val="-2"/>
        </w:rPr>
        <w:t>2014</w:t>
      </w:r>
      <w:r>
        <w:rPr>
          <w:spacing w:val="-2"/>
        </w:rPr>
        <w:t>年至今，就职于清华大学五道口金融</w:t>
      </w:r>
      <w:r>
        <w:rPr>
          <w:spacing w:val="-65"/>
        </w:rPr>
        <w:t> </w:t>
      </w:r>
      <w:r>
        <w:rPr>
          <w:spacing w:val="-65"/>
        </w:rPr>
      </w:r>
      <w:r>
        <w:rPr/>
        <w:t>学院，担任院长助理、金融学讲席教授、博士生导师；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月，兼任浙江清华长三角研究院副院长；</w:t>
      </w:r>
      <w:r>
        <w:rPr>
          <w:rFonts w:ascii="Times New Roman" w:hAnsi="Times New Roman" w:cs="Times New Roman" w:eastAsia="Times New Roman" w:hint="default"/>
        </w:rPr>
        <w:t>2014 </w:t>
      </w:r>
      <w:r>
        <w:rPr/>
        <w:t>年至今，兼任清华大学国家金融研究院创业金融与经济增长研究中心主任；</w:t>
      </w:r>
      <w:r>
        <w:rPr>
          <w:rFonts w:ascii="Times New Roman" w:hAnsi="Times New Roman" w:cs="Times New Roman" w:eastAsia="Times New Roman" w:hint="default"/>
        </w:rPr>
        <w:t>2015</w:t>
      </w:r>
      <w:r>
        <w:rPr/>
        <w:t>年至今，兼任清华大学金融</w:t>
      </w:r>
      <w:r>
        <w:rPr>
          <w:rFonts w:ascii="Times New Roman" w:hAnsi="Times New Roman" w:cs="Times New Roman" w:eastAsia="Times New Roman" w:hint="default"/>
        </w:rPr>
        <w:t>MBA</w:t>
      </w:r>
      <w:r>
        <w:rPr/>
        <w:t>教育中心 </w:t>
      </w:r>
      <w:r>
        <w:rPr>
          <w:spacing w:val="-2"/>
        </w:rPr>
        <w:t>主任；</w:t>
      </w:r>
      <w:r>
        <w:rPr>
          <w:rFonts w:ascii="Times New Roman" w:hAnsi="Times New Roman" w:cs="Times New Roman" w:eastAsia="Times New Roman" w:hint="default"/>
          <w:spacing w:val="-2"/>
        </w:rPr>
        <w:t>2015</w:t>
      </w:r>
      <w:r>
        <w:rPr>
          <w:spacing w:val="-2"/>
        </w:rPr>
        <w:t>年至今，兼任清华大学国家金融研究院中国家族财富研究中心主任；</w:t>
      </w:r>
      <w:r>
        <w:rPr>
          <w:rFonts w:ascii="Times New Roman" w:hAnsi="Times New Roman" w:cs="Times New Roman" w:eastAsia="Times New Roman" w:hint="default"/>
          <w:spacing w:val="-2"/>
        </w:rPr>
        <w:t>2016</w:t>
      </w:r>
      <w:r>
        <w:rPr>
          <w:spacing w:val="-2"/>
        </w:rPr>
        <w:t>年至今，兼任中国证监会第六届上市公</w:t>
      </w:r>
      <w:r>
        <w:rPr>
          <w:spacing w:val="-57"/>
        </w:rPr>
        <w:t> </w:t>
      </w:r>
      <w:r>
        <w:rPr>
          <w:spacing w:val="-57"/>
        </w:rPr>
      </w:r>
      <w:r>
        <w:rPr/>
        <w:t>司并购重组审核委员会委员；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月至今，兼任长安基金管理有限公司董事；兼任广东宝丽华新能源股份有限公司（股 </w:t>
      </w:r>
      <w:r>
        <w:rPr>
          <w:spacing w:val="-2"/>
        </w:rPr>
        <w:t>票代码：</w:t>
      </w:r>
      <w:r>
        <w:rPr>
          <w:rFonts w:ascii="Times New Roman" w:hAnsi="Times New Roman" w:cs="Times New Roman" w:eastAsia="Times New Roman" w:hint="default"/>
          <w:spacing w:val="-2"/>
        </w:rPr>
        <w:t>000690</w:t>
      </w:r>
      <w:r>
        <w:rPr>
          <w:spacing w:val="-2"/>
        </w:rPr>
        <w:t>）、中国中期投资股份有限公司（股票代码：</w:t>
      </w:r>
      <w:r>
        <w:rPr>
          <w:rFonts w:ascii="Times New Roman" w:hAnsi="Times New Roman" w:cs="Times New Roman" w:eastAsia="Times New Roman" w:hint="default"/>
          <w:spacing w:val="-2"/>
        </w:rPr>
        <w:t>000996</w:t>
      </w:r>
      <w:r>
        <w:rPr>
          <w:spacing w:val="-2"/>
        </w:rPr>
        <w:t>）、中际旭创股份有限公司（股票代码：</w:t>
      </w:r>
      <w:r>
        <w:rPr>
          <w:rFonts w:ascii="Times New Roman" w:hAnsi="Times New Roman" w:cs="Times New Roman" w:eastAsia="Times New Roman" w:hint="default"/>
          <w:spacing w:val="-2"/>
        </w:rPr>
        <w:t>300308</w:t>
      </w:r>
      <w:r>
        <w:rPr>
          <w:spacing w:val="-2"/>
        </w:rPr>
        <w:t>）、长</w:t>
      </w:r>
      <w:r>
        <w:rPr>
          <w:spacing w:val="-50"/>
        </w:rPr>
        <w:t> </w:t>
      </w:r>
      <w:r>
        <w:rPr>
          <w:spacing w:val="-50"/>
        </w:rPr>
      </w:r>
      <w:r>
        <w:rPr/>
        <w:t>江证券股份有限公司（股票代码：</w:t>
      </w:r>
      <w:r>
        <w:rPr>
          <w:rFonts w:ascii="Times New Roman" w:hAnsi="Times New Roman" w:cs="Times New Roman" w:eastAsia="Times New Roman" w:hint="default"/>
        </w:rPr>
        <w:t>000783</w:t>
      </w:r>
      <w:r>
        <w:rPr/>
        <w:t>）独立董事。现任本公司独立董事。</w:t>
      </w:r>
    </w:p>
    <w:p>
      <w:pPr>
        <w:pStyle w:val="BodyText"/>
        <w:spacing w:line="300" w:lineRule="auto" w:before="13"/>
        <w:ind w:right="1042" w:firstLine="360"/>
        <w:jc w:val="both"/>
      </w:pPr>
      <w:r>
        <w:rPr>
          <w:spacing w:val="-2"/>
        </w:rPr>
        <w:t>刘勇胜先生：中国国籍，无境外永久居留权。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5</w:t>
      </w:r>
      <w:r>
        <w:rPr>
          <w:spacing w:val="-2"/>
        </w:rPr>
        <w:t>月出生，大专学历。曾任南京佳山纺织有限公司生产技术部经理，</w:t>
      </w:r>
      <w:r>
        <w:rPr/>
        <w:t> 温州人造革有限公司开发部经理。现任本公司技术部副经理、监事。</w:t>
      </w:r>
    </w:p>
    <w:p>
      <w:pPr>
        <w:pStyle w:val="BodyText"/>
        <w:spacing w:line="319" w:lineRule="auto" w:before="31"/>
        <w:ind w:right="1032" w:firstLine="360"/>
        <w:jc w:val="left"/>
      </w:pPr>
      <w:r>
        <w:rPr>
          <w:spacing w:val="-2"/>
        </w:rPr>
        <w:t>贺璇先生：中国国籍，</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11</w:t>
      </w:r>
      <w:r>
        <w:rPr>
          <w:spacing w:val="-2"/>
        </w:rPr>
        <w:t>月出生，硕士学历，工程师。曾任杭州新光塑料有限公司一分厂厂长助理、副厂长，曾</w:t>
      </w:r>
      <w:r>
        <w:rPr/>
        <w:t> 获</w:t>
      </w:r>
      <w:r>
        <w:rPr>
          <w:rFonts w:ascii="Times New Roman" w:hAnsi="Times New Roman" w:cs="Times New Roman" w:eastAsia="Times New Roman" w:hint="default"/>
        </w:rPr>
        <w:t>“</w:t>
      </w:r>
      <w:r>
        <w:rPr/>
        <w:t>上海市金山区技改创新标兵</w:t>
      </w:r>
      <w:r>
        <w:rPr>
          <w:rFonts w:ascii="Times New Roman" w:hAnsi="Times New Roman" w:cs="Times New Roman" w:eastAsia="Times New Roman" w:hint="default"/>
        </w:rPr>
        <w:t>”</w:t>
      </w:r>
      <w:r>
        <w:rPr/>
        <w:t>荣誉称号，现任本公司生产部经理、监事。 </w:t>
      </w:r>
      <w:r>
        <w:rPr>
          <w:spacing w:val="-2"/>
        </w:rPr>
        <w:t>余少挺先生：中国国籍，无境外永久居留权。</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10</w:t>
      </w:r>
      <w:r>
        <w:rPr>
          <w:spacing w:val="-2"/>
        </w:rPr>
        <w:t>月出生，本科学历，</w:t>
      </w:r>
      <w:r>
        <w:rPr>
          <w:rFonts w:ascii="Times New Roman" w:hAnsi="Times New Roman" w:cs="Times New Roman" w:eastAsia="Times New Roman" w:hint="default"/>
          <w:spacing w:val="-2"/>
        </w:rPr>
        <w:t>2003</w:t>
      </w:r>
      <w:r>
        <w:rPr>
          <w:spacing w:val="-2"/>
        </w:rPr>
        <w:t>年起至今一直在本公司营销部工作。现任本</w:t>
      </w:r>
    </w:p>
    <w:p>
      <w:pPr>
        <w:pStyle w:val="BodyText"/>
        <w:spacing w:line="233" w:lineRule="exact"/>
        <w:ind w:right="1032"/>
        <w:jc w:val="left"/>
      </w:pPr>
      <w:r>
        <w:rPr/>
        <w:t>公司监事。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1032"/>
        <w:jc w:val="left"/>
      </w:pPr>
      <w:r>
        <w:rPr/>
        <w:t>在股东单位任职情况</w:t>
      </w:r>
    </w:p>
    <w:p>
      <w:pPr>
        <w:pStyle w:val="BodyText"/>
        <w:spacing w:line="240" w:lineRule="auto" w:before="11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在股东单位任</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190;top:14;width:2;height:353" coordorigin="1190,14" coordsize="2,353">
              <v:shape style="position:absolute;left:1190;top:14;width:2;height:353" coordorigin="1190,14" coordsize="0,353" path="m1190,14l1190,367e" filled="false" stroked="true" strokeweight="1.2pt" strokecolor="#d2d2d2">
                <v:path arrowok="t"/>
              </v:shape>
            </v:group>
            <v:group style="position:absolute;left:32;top:14;width:1146;height:353" coordorigin="32,14" coordsize="1146,353">
              <v:shape style="position:absolute;left:32;top:14;width:1146;height:353" coordorigin="32,14" coordsize="1146,353" path="m32,367l1178,367,1178,14,32,14,32,367xe" filled="true" fillcolor="#d2d2d2" stroked="false">
                <v:path arrowok="t"/>
                <v:fill type="solid"/>
              </v:shape>
            </v:group>
            <v:group style="position:absolute;left:10;top:10;width:1192;height:2" coordorigin="10,10" coordsize="1192,2">
              <v:shape style="position:absolute;left:10;top:10;width:1192;height:2" coordorigin="10,10" coordsize="1192,0" path="m10,10l1202,10e" filled="false" stroked="true" strokeweight=".48pt" strokecolor="#000000">
                <v:path arrowok="t"/>
              </v:shape>
            </v:group>
            <v:group style="position:absolute;left:1211;top:10;width:8358;height:2" coordorigin="1211,10" coordsize="8358,2">
              <v:shape style="position:absolute;left:1211;top:10;width:8358;height:2" coordorigin="1211,10" coordsize="8358,0" path="m1211,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192;height:2" coordorigin="10,372" coordsize="1192,2">
              <v:shape style="position:absolute;left:10;top:372;width:1192;height:2" coordorigin="10,372" coordsize="1192,0" path="m10,372l1202,372e" filled="false" stroked="true" strokeweight=".48pt" strokecolor="#000000">
                <v:path arrowok="t"/>
              </v:shape>
            </v:group>
            <v:group style="position:absolute;left:1206;top:5;width:2;height:372" coordorigin="1206,5" coordsize="2,372">
              <v:shape style="position:absolute;left:1206;top:5;width:2;height:372" coordorigin="1206,5" coordsize="0,372" path="m1206,5l1206,377e" filled="false" stroked="true" strokeweight=".48pt" strokecolor="#000000">
                <v:path arrowok="t"/>
              </v:shape>
            </v:group>
            <v:group style="position:absolute;left:1211;top:372;width:8358;height:2" coordorigin="1211,372" coordsize="8358,2">
              <v:shape style="position:absolute;left:1211;top:372;width:8358;height:2" coordorigin="1211,372" coordsize="8358,0" path="m1211,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5;top:10;width:1202;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职情况的说明</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1032"/>
        <w:jc w:val="left"/>
      </w:pPr>
      <w:r>
        <w:rPr/>
        <w:t>在其他单位任职情况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65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深圳市希玛特识别系统有限公司、深圳 市购购通电商科技有限公司、深圳市汇 </w:t>
            </w:r>
            <w:r>
              <w:rPr>
                <w:rFonts w:ascii="宋体" w:hAnsi="宋体" w:cs="宋体" w:eastAsia="宋体" w:hint="default"/>
                <w:spacing w:val="-6"/>
                <w:sz w:val="18"/>
                <w:szCs w:val="18"/>
              </w:rPr>
              <w:t>商通盈实业中心（有限合伙）、深圳市白</w:t>
            </w:r>
            <w:r>
              <w:rPr>
                <w:rFonts w:ascii="宋体" w:hAnsi="宋体" w:cs="宋体" w:eastAsia="宋体" w:hint="default"/>
                <w:sz w:val="18"/>
                <w:szCs w:val="18"/>
              </w:rPr>
              <w:t> 龙移动科技有限公司、深圳市世明科技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杭州电子科技大学会计学院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45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田轩</w:t>
            </w:r>
          </w:p>
        </w:tc>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清华大学五道口金融学院，担任院长助 理、金融学讲席教授、博士生导师；清 华大学国家金融研究院创业金融与经济 </w:t>
            </w:r>
            <w:r>
              <w:rPr>
                <w:rFonts w:ascii="宋体" w:hAnsi="宋体" w:cs="宋体" w:eastAsia="宋体" w:hint="default"/>
                <w:spacing w:val="-12"/>
                <w:sz w:val="18"/>
                <w:szCs w:val="18"/>
              </w:rPr>
              <w:t>增长研究中心，主任；清华大学金融</w:t>
            </w:r>
            <w:r>
              <w:rPr>
                <w:rFonts w:ascii="宋体" w:hAnsi="宋体" w:cs="宋体" w:eastAsia="宋体" w:hint="default"/>
                <w:spacing w:val="-60"/>
                <w:sz w:val="18"/>
                <w:szCs w:val="18"/>
              </w:rPr>
              <w:t> </w:t>
            </w:r>
            <w:r>
              <w:rPr>
                <w:rFonts w:ascii="Times New Roman" w:hAnsi="Times New Roman" w:cs="Times New Roman" w:eastAsia="Times New Roman" w:hint="default"/>
                <w:w w:val="99"/>
                <w:sz w:val="18"/>
                <w:szCs w:val="18"/>
              </w:rPr>
              <w:t>MBA</w:t>
            </w:r>
            <w:r>
              <w:rPr>
                <w:rFonts w:ascii="Times New Roman" w:hAnsi="Times New Roman" w:cs="Times New Roman" w:eastAsia="Times New Roman" w:hint="default"/>
                <w:spacing w:val="-40"/>
                <w:w w:val="99"/>
                <w:sz w:val="18"/>
                <w:szCs w:val="18"/>
              </w:rPr>
              <w:t> </w:t>
            </w:r>
            <w:r>
              <w:rPr>
                <w:rFonts w:ascii="宋体" w:hAnsi="宋体" w:cs="宋体" w:eastAsia="宋体" w:hint="default"/>
                <w:sz w:val="18"/>
                <w:szCs w:val="18"/>
              </w:rPr>
              <w:t>教育中心，主任；清华大学国家金融研 究院中国家族财富研究中心，主任；中 国证监会第六届上市公司并购重组审核 委员会，委员；长安基金管理有限公司 董事；广东宝丽华新能源股份有限公司</w:t>
            </w:r>
          </w:p>
          <w:p>
            <w:pPr>
              <w:pStyle w:val="TableParagraph"/>
              <w:spacing w:line="304" w:lineRule="auto" w:before="19"/>
              <w:ind w:left="22" w:right="13"/>
              <w:jc w:val="left"/>
              <w:rPr>
                <w:rFonts w:ascii="宋体" w:hAnsi="宋体" w:cs="宋体" w:eastAsia="宋体" w:hint="default"/>
                <w:sz w:val="18"/>
                <w:szCs w:val="18"/>
              </w:rPr>
            </w:pPr>
            <w:r>
              <w:rPr>
                <w:rFonts w:ascii="宋体" w:hAnsi="宋体" w:cs="宋体" w:eastAsia="宋体" w:hint="default"/>
                <w:spacing w:val="-6"/>
                <w:sz w:val="18"/>
                <w:szCs w:val="18"/>
              </w:rPr>
              <w:t>（股票代码：</w:t>
            </w:r>
            <w:r>
              <w:rPr>
                <w:rFonts w:ascii="Times New Roman" w:hAnsi="Times New Roman" w:cs="Times New Roman" w:eastAsia="Times New Roman" w:hint="default"/>
                <w:spacing w:val="-6"/>
                <w:sz w:val="18"/>
                <w:szCs w:val="18"/>
              </w:rPr>
              <w:t>000690</w:t>
            </w:r>
            <w:r>
              <w:rPr>
                <w:rFonts w:ascii="宋体" w:hAnsi="宋体" w:cs="宋体" w:eastAsia="宋体" w:hint="default"/>
                <w:spacing w:val="-6"/>
                <w:sz w:val="18"/>
                <w:szCs w:val="18"/>
              </w:rPr>
              <w:t>）、中国中期投资股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份有限公司（股票代码：</w:t>
            </w:r>
            <w:r>
              <w:rPr>
                <w:rFonts w:ascii="Times New Roman" w:hAnsi="Times New Roman" w:cs="Times New Roman" w:eastAsia="Times New Roman" w:hint="default"/>
                <w:spacing w:val="-5"/>
                <w:sz w:val="18"/>
                <w:szCs w:val="18"/>
              </w:rPr>
              <w:t>000996</w:t>
            </w:r>
            <w:r>
              <w:rPr>
                <w:rFonts w:ascii="宋体" w:hAnsi="宋体" w:cs="宋体" w:eastAsia="宋体" w:hint="default"/>
                <w:spacing w:val="-5"/>
                <w:sz w:val="18"/>
                <w:szCs w:val="18"/>
              </w:rPr>
              <w:t>）、中际</w:t>
            </w:r>
            <w:r>
              <w:rPr>
                <w:rFonts w:ascii="宋体" w:hAnsi="宋体" w:cs="宋体" w:eastAsia="宋体" w:hint="default"/>
                <w:sz w:val="18"/>
                <w:szCs w:val="18"/>
              </w:rPr>
              <w:t> </w:t>
            </w:r>
            <w:r>
              <w:rPr>
                <w:rFonts w:ascii="宋体" w:hAnsi="宋体" w:cs="宋体" w:eastAsia="宋体" w:hint="default"/>
                <w:spacing w:val="-13"/>
                <w:sz w:val="18"/>
                <w:szCs w:val="18"/>
              </w:rPr>
              <w:t>旭创股份有限公司（股票代码：</w:t>
            </w:r>
            <w:r>
              <w:rPr>
                <w:rFonts w:ascii="Times New Roman" w:hAnsi="Times New Roman" w:cs="Times New Roman" w:eastAsia="Times New Roman" w:hint="default"/>
                <w:spacing w:val="-13"/>
                <w:sz w:val="18"/>
                <w:szCs w:val="18"/>
              </w:rPr>
              <w:t>300308</w:t>
            </w:r>
            <w:r>
              <w:rPr>
                <w:rFonts w:ascii="宋体" w:hAnsi="宋体" w:cs="宋体" w:eastAsia="宋体" w:hint="default"/>
                <w:spacing w:val="-13"/>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长江证券股份有限公司（股票代码：</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000783</w:t>
            </w:r>
            <w:r>
              <w:rPr>
                <w:rFonts w:ascii="宋体" w:hAnsi="宋体" w:cs="宋体" w:eastAsia="宋体" w:hint="default"/>
                <w:spacing w:val="-7"/>
                <w:sz w:val="18"/>
                <w:szCs w:val="18"/>
              </w:rPr>
              <w:t>），独立董事。</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0" w:lineRule="atLeast"/>
              <w:ind w:left="16" w:right="20"/>
              <w:jc w:val="left"/>
              <w:rPr>
                <w:rFonts w:ascii="宋体" w:hAnsi="宋体" w:cs="宋体" w:eastAsia="宋体" w:hint="default"/>
                <w:sz w:val="18"/>
                <w:szCs w:val="18"/>
              </w:rPr>
            </w:pPr>
            <w:r>
              <w:rPr>
                <w:rFonts w:ascii="宋体" w:hAnsi="宋体" w:cs="宋体" w:eastAsia="宋体" w:hint="default"/>
                <w:spacing w:val="-13"/>
                <w:sz w:val="18"/>
                <w:szCs w:val="18"/>
              </w:rPr>
              <w:t>院长助理，教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授，董事，独</w:t>
            </w:r>
          </w:p>
          <w:p>
            <w:pPr>
              <w:pStyle w:val="TableParagraph"/>
              <w:spacing w:line="117"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立董事等</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663" w:lineRule="exact"/>
              <w:ind w:left="16" w:right="-28"/>
              <w:jc w:val="left"/>
              <w:rPr>
                <w:rFonts w:ascii="宋体" w:hAnsi="宋体" w:cs="宋体" w:eastAsia="宋体" w:hint="default"/>
                <w:sz w:val="20"/>
                <w:szCs w:val="20"/>
              </w:rPr>
            </w:pPr>
            <w:r>
              <w:rPr>
                <w:rFonts w:ascii="宋体" w:hAnsi="宋体" w:cs="宋体" w:eastAsia="宋体" w:hint="default"/>
                <w:position w:val="-12"/>
                <w:sz w:val="20"/>
                <w:szCs w:val="20"/>
              </w:rPr>
              <w:pict>
                <v:group style="width:50.4pt;height:33.2pt;mso-position-horizontal-relative:char;mso-position-vertical-relative:line" coordorigin="0,0" coordsize="1008,664">
                  <v:group style="position:absolute;left:0;top:0;width:1008;height:312" coordorigin="0,0" coordsize="1008,312">
                    <v:shape style="position:absolute;left:0;top:0;width:1008;height:312" coordorigin="0,0" coordsize="1008,312" path="m0,312l1008,312,1008,0,0,0,0,312xe" filled="true" fillcolor="#ffffff" stroked="false">
                      <v:path arrowok="t"/>
                      <v:fill type="solid"/>
                    </v:shape>
                  </v:group>
                  <v:group style="position:absolute;left:0;top:312;width:1008;height:352" coordorigin="0,312" coordsize="1008,352">
                    <v:shape style="position:absolute;left:0;top:312;width:1008;height:352" coordorigin="0,312" coordsize="1008,352" path="m0,664l1008,664,1008,312,0,312,0,664xe" filled="true" fillcolor="#ffffff" stroked="false">
                      <v:path arrowok="t"/>
                      <v:fill type="solid"/>
                    </v:shape>
                  </v:group>
                </v:group>
              </w:pict>
            </w:r>
            <w:r>
              <w:rPr>
                <w:rFonts w:ascii="宋体" w:hAnsi="宋体" w:cs="宋体" w:eastAsia="宋体" w:hint="default"/>
                <w:position w:val="-1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TIAN</w:t>
            </w:r>
            <w:r>
              <w:rPr>
                <w:rFonts w:ascii="Times New Roman"/>
                <w:spacing w:val="-3"/>
                <w:sz w:val="18"/>
              </w:rPr>
              <w:t> </w:t>
            </w:r>
            <w:r>
              <w:rPr>
                <w:rFonts w:ascii="Times New Roman"/>
                <w:sz w:val="18"/>
              </w:rPr>
              <w:t>Rencan</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（田仁灿）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瑞锐投资管理咨询（上海）有限公司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谭建英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昆仑能源有限公司规划计划部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赵玉彪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浙江南都电源动力股份有限公司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董事长助理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032"/>
        <w:jc w:val="left"/>
      </w:pPr>
      <w:r>
        <w:rPr/>
        <w:t>公司现任及报告期内离任董事、监事和高级管理人员近三年证券监管机构处罚的情况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261"/>
        <w:gridCol w:w="5308"/>
      </w:tblGrid>
      <w:tr>
        <w:trPr>
          <w:trHeight w:val="1052"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9"/>
              <w:jc w:val="both"/>
              <w:rPr>
                <w:rFonts w:ascii="宋体" w:hAnsi="宋体" w:cs="宋体" w:eastAsia="宋体" w:hint="default"/>
                <w:sz w:val="18"/>
                <w:szCs w:val="18"/>
              </w:rPr>
            </w:pPr>
            <w:r>
              <w:rPr>
                <w:rFonts w:ascii="宋体" w:hAnsi="宋体" w:cs="宋体" w:eastAsia="宋体" w:hint="default"/>
                <w:sz w:val="18"/>
                <w:szCs w:val="18"/>
              </w:rPr>
              <w:t>董事、高管报酬由公司薪酬与考核委员会，根据其经营绩效、工作 能力、岗位职级等为依据考核确定，经董事会通过后，由股东大会 批准。监事薪酬经监事会通过后，由股东大会批准。</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261"/>
        <w:gridCol w:w="5308"/>
      </w:tblGrid>
      <w:tr>
        <w:trPr>
          <w:trHeight w:val="73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9"/>
              <w:jc w:val="left"/>
              <w:rPr>
                <w:rFonts w:ascii="宋体" w:hAnsi="宋体" w:cs="宋体" w:eastAsia="宋体" w:hint="default"/>
                <w:sz w:val="18"/>
                <w:szCs w:val="18"/>
              </w:rPr>
            </w:pPr>
            <w:r>
              <w:rPr>
                <w:rFonts w:ascii="宋体" w:hAnsi="宋体" w:cs="宋体" w:eastAsia="宋体" w:hint="default"/>
                <w:sz w:val="18"/>
                <w:szCs w:val="18"/>
              </w:rPr>
              <w:t>由公司薪酬与考核委员会和监事会，根据其经营绩效、工作能力、 岗位职级等为依据分别考核确定。</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根据股东大会审议情况最终确定。</w:t>
            </w:r>
          </w:p>
        </w:tc>
      </w:tr>
    </w:tbl>
    <w:p>
      <w:pPr>
        <w:spacing w:line="240" w:lineRule="auto" w:before="5"/>
        <w:rPr>
          <w:rFonts w:ascii="宋体" w:hAnsi="宋体" w:cs="宋体" w:eastAsia="宋体" w:hint="default"/>
          <w:sz w:val="24"/>
          <w:szCs w:val="24"/>
        </w:rPr>
      </w:pPr>
    </w:p>
    <w:p>
      <w:pPr>
        <w:pStyle w:val="BodyText"/>
        <w:spacing w:line="240" w:lineRule="auto" w:before="44"/>
        <w:ind w:right="1032"/>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鲜丹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公司董事、高级管理人员报告期内被授予的股权激励情况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r>
    </w:tbl>
    <w:p>
      <w:pPr>
        <w:spacing w:line="240" w:lineRule="auto" w:before="3"/>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t>公司以岗位、绩效、能力作为定薪的基本依据，将绩效考核与薪酬挂钩，发挥薪酬的激励作用，体现企业与员工共同利益， </w:t>
      </w:r>
      <w:r>
        <w:rPr>
          <w:spacing w:val="-2"/>
        </w:rPr>
        <w:t>共同发展的理念，遵循对外具有竞争力，对内公平公正，合理控制人工成本的原则下，结合上海市、江苏省、深圳市相关法</w:t>
      </w:r>
      <w:r>
        <w:rPr>
          <w:spacing w:val="-67"/>
        </w:rPr>
        <w:t> </w:t>
      </w:r>
      <w:r>
        <w:rPr>
          <w:spacing w:val="-67"/>
        </w:rPr>
      </w:r>
      <w:r>
        <w:rPr/>
        <w:t>律法规从而制定薪酬制度。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32"/>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t>公司培训主要分为三大部分如下：一</w:t>
      </w:r>
      <w:r>
        <w:rPr>
          <w:spacing w:val="-19"/>
        </w:rPr>
        <w:t> </w:t>
      </w:r>
      <w:r>
        <w:rPr/>
        <w:t>新员工入职培训：让新员工的更好的了解公司，更好的融入企业文化；让新员工明确</w:t>
      </w:r>
      <w:r>
        <w:rPr/>
        <w:t> 自己的工作目标及工作内容，掌握工作要领和操作规程；让新员工掌握企业安全生产制度、职业卫生健康等内容。二</w:t>
      </w:r>
      <w:r>
        <w:rPr>
          <w:spacing w:val="8"/>
        </w:rPr>
        <w:t> </w:t>
      </w:r>
      <w:r>
        <w:rPr/>
        <w:t>转岗</w:t>
      </w:r>
      <w:r>
        <w:rPr/>
        <w:t> 位培训：培训目标：使转岗员工掌握新岗位所必须的技术业务知识和岗；三</w:t>
      </w:r>
      <w:r>
        <w:rPr>
          <w:spacing w:val="-18"/>
        </w:rPr>
        <w:t> </w:t>
      </w:r>
      <w:r>
        <w:rPr/>
        <w:t>在岗培训：使在岗员工通过培训提高业务能力</w:t>
      </w:r>
      <w:r>
        <w:rPr/>
        <w:t> </w:t>
      </w:r>
      <w:r>
        <w:rPr>
          <w:spacing w:val="-2"/>
        </w:rPr>
        <w:t>水平及技能操作水平。培训主要采用外培和内培相结合。公司每年在年初制定全年培训计划，之后根据培训计划进行实施培</w:t>
      </w:r>
      <w:r>
        <w:rPr>
          <w:spacing w:val="-66"/>
        </w:rPr>
        <w:t> </w:t>
      </w:r>
      <w:r>
        <w:rPr>
          <w:spacing w:val="-66"/>
        </w:rPr>
      </w:r>
      <w:r>
        <w:rPr/>
        <w:t>训，最后对培训的效果进行评估。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32"/>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1,660,090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37,350,459.00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3" w:id="132"/>
      <w:bookmarkStart w:name="第九节 公司治理" w:id="133"/>
      <w:r>
        <w:rPr>
          <w:b w:val="0"/>
          <w:bCs w:val="0"/>
        </w:rPr>
      </w:r>
      <w:r>
        <w:rPr/>
        <w:t>第九节</w:t>
      </w:r>
      <w:r>
        <w:rPr>
          <w:spacing w:val="-3"/>
        </w:rPr>
        <w:t> </w:t>
      </w:r>
      <w:r>
        <w:rPr/>
        <w:t>公司治理</w:t>
      </w:r>
      <w:bookmarkEnd w:id="13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报告期内，公司持续优化上市公司规范治理结构，严格按照《公司法》、《证券法》、《上市公司治理规则》、《深圳</w:t>
      </w:r>
      <w:r>
        <w:rPr/>
        <w:t> </w:t>
      </w:r>
      <w:r>
        <w:rPr>
          <w:spacing w:val="-2"/>
        </w:rPr>
        <w:t>证券交易所创业板上市规则》、《深圳证券交易所创业板上市公司规范运作指引》及其他相关法律、法规、规范性文件，结</w:t>
      </w:r>
      <w:r>
        <w:rPr>
          <w:spacing w:val="-70"/>
        </w:rPr>
        <w:t> </w:t>
      </w:r>
      <w:r>
        <w:rPr>
          <w:spacing w:val="-70"/>
        </w:rPr>
      </w:r>
      <w:r>
        <w:rPr>
          <w:spacing w:val="-2"/>
        </w:rPr>
        <w:t>合公司实际情况，持续深入开展公司治理活动，促进公司规范运作，提高公司治理水平。截至报告期末，公司整体运作比较</w:t>
      </w:r>
      <w:r>
        <w:rPr>
          <w:spacing w:val="-66"/>
        </w:rPr>
        <w:t> </w:t>
      </w:r>
      <w:r>
        <w:rPr>
          <w:spacing w:val="-66"/>
        </w:rPr>
      </w:r>
      <w:r>
        <w:rPr>
          <w:spacing w:val="-2"/>
        </w:rPr>
        <w:t>规范，公司治理的实际状况符合《上市公司治理准则》、《深圳证券交易所创业板上市公司规范运作指引》和有关上市公司</w:t>
      </w:r>
      <w:r>
        <w:rPr>
          <w:spacing w:val="-67"/>
        </w:rPr>
        <w:t> </w:t>
      </w:r>
      <w:r>
        <w:rPr>
          <w:spacing w:val="-67"/>
        </w:rPr>
      </w:r>
      <w:r>
        <w:rPr/>
        <w:t>治理的规范性文件的要求。</w:t>
      </w:r>
    </w:p>
    <w:p>
      <w:pPr>
        <w:pStyle w:val="BodyText"/>
        <w:spacing w:line="316" w:lineRule="auto" w:before="19"/>
        <w:ind w:left="514" w:right="1032" w:hanging="360"/>
        <w:jc w:val="left"/>
      </w:pPr>
      <w:r>
        <w:rPr/>
        <w:t>（一）关于股东与股东大会： </w:t>
      </w:r>
      <w:r>
        <w:rPr>
          <w:spacing w:val="-2"/>
        </w:rPr>
        <w:t>公司严格按照《公司法》、《上市公司股东大会规则》、《公司章程》、《股东大会议事规则》等规定和要求，规范股</w:t>
      </w:r>
    </w:p>
    <w:p>
      <w:pPr>
        <w:pStyle w:val="BodyText"/>
        <w:spacing w:line="316" w:lineRule="auto" w:before="19"/>
        <w:ind w:right="1032"/>
        <w:jc w:val="left"/>
      </w:pPr>
      <w:r>
        <w:rPr>
          <w:spacing w:val="-4"/>
        </w:rPr>
        <w:t>东大会的召集、召开和表决程序，充分保证所有股东，特别是中小股东合法行使权益，保证了股东对公司重大事项的知情权、</w:t>
      </w:r>
      <w:r>
        <w:rPr>
          <w:spacing w:val="-46"/>
        </w:rPr>
        <w:t> </w:t>
      </w:r>
      <w:r>
        <w:rPr>
          <w:spacing w:val="-46"/>
        </w:rPr>
      </w:r>
      <w:r>
        <w:rPr>
          <w:spacing w:val="-2"/>
        </w:rPr>
        <w:t>参与权、表决权。公司股东大会提案审议符合程序，涉及关联交易的议案一律关联方回避表决，并尽可能地为股东参加股东</w:t>
      </w:r>
      <w:r>
        <w:rPr>
          <w:spacing w:val="-66"/>
        </w:rPr>
        <w:t> </w:t>
      </w:r>
      <w:r>
        <w:rPr>
          <w:spacing w:val="-66"/>
        </w:rPr>
      </w:r>
      <w:r>
        <w:rPr/>
        <w:t>大会提供便利，使其充分行使股东权利，慎重考虑股东提出的各项意见与建议，从股东的根本利益出发作出决策。</w:t>
      </w:r>
    </w:p>
    <w:p>
      <w:pPr>
        <w:pStyle w:val="BodyText"/>
        <w:spacing w:line="316" w:lineRule="auto" w:before="19"/>
        <w:ind w:left="514" w:right="1032" w:hanging="360"/>
        <w:jc w:val="left"/>
      </w:pPr>
      <w:r>
        <w:rPr/>
        <w:t>（二）关于公司与控股股东、实际控制人： </w:t>
      </w:r>
      <w:r>
        <w:rPr>
          <w:spacing w:val="-4"/>
        </w:rPr>
        <w:t>公司具有独立的业务经营能力及完备的运营体系，在业务、人员、资产、机构、财务上独立于实际控制人，公司董事会、</w:t>
      </w:r>
    </w:p>
    <w:p>
      <w:pPr>
        <w:pStyle w:val="BodyText"/>
        <w:spacing w:line="316" w:lineRule="auto" w:before="19"/>
        <w:ind w:right="1132"/>
        <w:jc w:val="both"/>
      </w:pPr>
      <w:r>
        <w:rPr>
          <w:spacing w:val="-2"/>
        </w:rPr>
        <w:t>监事会和业务部门均独立运作。公司实际控制人严格规范自己的行为，通过股东大会依法行使其权利并承担义务，没有超越</w:t>
      </w:r>
      <w:r>
        <w:rPr>
          <w:spacing w:val="-66"/>
        </w:rPr>
        <w:t> </w:t>
      </w:r>
      <w:r>
        <w:rPr>
          <w:spacing w:val="-66"/>
        </w:rPr>
      </w:r>
      <w:r>
        <w:rPr>
          <w:spacing w:val="-2"/>
        </w:rPr>
        <w:t>股东大会直接或间接干预公司的决策和经营活动。报告期内，公司控股股东通过股东大会依法行使其权利并承担义务，没有</w:t>
      </w:r>
      <w:r>
        <w:rPr>
          <w:spacing w:val="-66"/>
        </w:rPr>
        <w:t> </w:t>
      </w:r>
      <w:r>
        <w:rPr>
          <w:spacing w:val="-66"/>
        </w:rPr>
      </w:r>
      <w:r>
        <w:rPr>
          <w:spacing w:val="-2"/>
        </w:rPr>
        <w:t>超越股东大会直接或间接干预公司经营活动，公司没有为控股股东提供担保，亦不存在控股股东非经营性占用公司资金的行</w:t>
      </w:r>
      <w:r>
        <w:rPr>
          <w:spacing w:val="-64"/>
        </w:rPr>
        <w:t> </w:t>
      </w:r>
      <w:r>
        <w:rPr>
          <w:spacing w:val="-64"/>
        </w:rPr>
      </w:r>
      <w:r>
        <w:rPr/>
        <w:t>为。</w:t>
      </w:r>
    </w:p>
    <w:p>
      <w:pPr>
        <w:pStyle w:val="BodyText"/>
        <w:spacing w:line="316" w:lineRule="auto" w:before="19"/>
        <w:ind w:left="514" w:right="1122" w:hanging="360"/>
        <w:jc w:val="left"/>
      </w:pPr>
      <w:r>
        <w:rPr/>
        <w:t>（三）关于董事和董事会： 公司董事会设董事</w:t>
      </w:r>
      <w:r>
        <w:rPr>
          <w:rFonts w:ascii="Times New Roman" w:hAnsi="Times New Roman" w:cs="Times New Roman" w:eastAsia="Times New Roman" w:hint="default"/>
        </w:rPr>
        <w:t>10</w:t>
      </w:r>
      <w:r>
        <w:rPr/>
        <w:t>名，其中独立董事</w:t>
      </w:r>
      <w:r>
        <w:rPr>
          <w:rFonts w:ascii="Times New Roman" w:hAnsi="Times New Roman" w:cs="Times New Roman" w:eastAsia="Times New Roman" w:hint="default"/>
        </w:rPr>
        <w:t>4</w:t>
      </w:r>
      <w:r>
        <w:rPr/>
        <w:t>名，截止报告期末公司现有董事</w:t>
      </w:r>
      <w:r>
        <w:rPr>
          <w:rFonts w:ascii="Times New Roman" w:hAnsi="Times New Roman" w:cs="Times New Roman" w:eastAsia="Times New Roman" w:hint="default"/>
        </w:rPr>
        <w:t>8</w:t>
      </w:r>
      <w:r>
        <w:rPr/>
        <w:t>名，其中独立董事</w:t>
      </w:r>
      <w:r>
        <w:rPr>
          <w:rFonts w:ascii="Times New Roman" w:hAnsi="Times New Roman" w:cs="Times New Roman" w:eastAsia="Times New Roman" w:hint="default"/>
        </w:rPr>
        <w:t>3</w:t>
      </w:r>
      <w:r>
        <w:rPr/>
        <w:t>名。公司选聘董事，董事</w:t>
      </w:r>
    </w:p>
    <w:p>
      <w:pPr>
        <w:pStyle w:val="BodyText"/>
        <w:spacing w:line="316" w:lineRule="auto"/>
        <w:ind w:right="1130"/>
        <w:jc w:val="both"/>
      </w:pPr>
      <w:r>
        <w:rPr>
          <w:spacing w:val="-2"/>
        </w:rPr>
        <w:t>会人数、构成及资格均符合法律、法规和《公司章程》的规定。报告期内，各位董事能够依据《深圳证券交易所创业板上市</w:t>
      </w:r>
      <w:r>
        <w:rPr>
          <w:spacing w:val="-72"/>
        </w:rPr>
        <w:t> </w:t>
      </w:r>
      <w:r>
        <w:rPr>
          <w:spacing w:val="-72"/>
        </w:rPr>
      </w:r>
      <w:r>
        <w:rPr>
          <w:spacing w:val="-2"/>
        </w:rPr>
        <w:t>公司规范运作指引》、《董事会议事规则》、《独立董事工作制度》等开展工作，出席董事会和股东大会，勤勉尽责地履行</w:t>
      </w:r>
      <w:r>
        <w:rPr>
          <w:spacing w:val="-69"/>
        </w:rPr>
        <w:t> </w:t>
      </w:r>
      <w:r>
        <w:rPr>
          <w:spacing w:val="-69"/>
        </w:rPr>
      </w:r>
      <w:r>
        <w:rPr>
          <w:spacing w:val="-2"/>
        </w:rPr>
        <w:t>职责和义务，同时积极参加相关培训，熟悉相关法律法规。董事会会议程序符合规定，会议记录完整、真实，会议相关信息</w:t>
      </w:r>
      <w:r>
        <w:rPr>
          <w:spacing w:val="-67"/>
        </w:rPr>
        <w:t> </w:t>
      </w:r>
      <w:r>
        <w:rPr>
          <w:spacing w:val="-67"/>
        </w:rPr>
      </w:r>
      <w:r>
        <w:rPr/>
        <w:t>披露及时、准确、充分。</w:t>
      </w:r>
    </w:p>
    <w:p>
      <w:pPr>
        <w:pStyle w:val="BodyText"/>
        <w:spacing w:line="316" w:lineRule="auto" w:before="19"/>
        <w:ind w:right="1050" w:firstLine="360"/>
        <w:jc w:val="both"/>
      </w:pPr>
      <w:r>
        <w:rPr/>
        <w:t>公司董事会下设战略委员会、提名委员会、薪酬与考核委员会和审计委员会，各委员会独立董事占比均超过二分之一， 提高了董事会履职能力和专业化程度，保障了董事会决策的科学性和规范性。</w:t>
      </w:r>
    </w:p>
    <w:p>
      <w:pPr>
        <w:pStyle w:val="BodyText"/>
        <w:spacing w:line="240" w:lineRule="auto" w:before="19"/>
        <w:ind w:left="514" w:right="1032"/>
        <w:jc w:val="left"/>
      </w:pPr>
      <w:r>
        <w:rPr/>
        <w:t>公司独立董事独立履行职责，不受公司控股股东、实际控制人以及其他与公司有利害关系的单位或个人影响。</w:t>
      </w:r>
    </w:p>
    <w:p>
      <w:pPr>
        <w:pStyle w:val="BodyText"/>
        <w:spacing w:line="316" w:lineRule="auto" w:before="76"/>
        <w:ind w:left="514" w:right="1032" w:hanging="360"/>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2</w:t>
      </w:r>
      <w:r>
        <w:rPr>
          <w:spacing w:val="-2"/>
        </w:rPr>
        <w:t>名，监事会的人数及人员构成符合法律、法规和《公司章程》的要求。各位监事</w:t>
      </w:r>
    </w:p>
    <w:p>
      <w:pPr>
        <w:pStyle w:val="BodyText"/>
        <w:spacing w:line="316" w:lineRule="auto"/>
        <w:ind w:right="1032"/>
        <w:jc w:val="left"/>
      </w:pPr>
      <w:r>
        <w:rPr>
          <w:spacing w:val="-4"/>
        </w:rPr>
        <w:t>能够按照《监事会议事规则》的要求，认真履行自己的职责，本着对全体股东尤其是中小股东负责的精神，对公司重大事项、</w:t>
      </w:r>
      <w:r>
        <w:rPr>
          <w:spacing w:val="-44"/>
        </w:rPr>
        <w:t> </w:t>
      </w:r>
      <w:r>
        <w:rPr>
          <w:spacing w:val="-44"/>
        </w:rPr>
      </w:r>
      <w:r>
        <w:rPr>
          <w:spacing w:val="-2"/>
        </w:rPr>
        <w:t>关联交易、财务状况以及董事、高级管理人员履行职责的合法合规性进行监督，维护公司及股东的合法权益。公司也采取了</w:t>
      </w:r>
      <w:r>
        <w:rPr>
          <w:spacing w:val="-66"/>
        </w:rPr>
        <w:t> </w:t>
      </w:r>
      <w:r>
        <w:rPr>
          <w:spacing w:val="-66"/>
        </w:rPr>
      </w:r>
      <w:r>
        <w:rPr/>
        <w:t>有效过失保障监事的知情权，能够独立有效地行使对董事、经历和其他高级管理人员进行监督。</w:t>
      </w:r>
    </w:p>
    <w:p>
      <w:pPr>
        <w:pStyle w:val="BodyText"/>
        <w:spacing w:line="316" w:lineRule="auto" w:before="19"/>
        <w:ind w:left="514" w:right="1032" w:hanging="360"/>
        <w:jc w:val="left"/>
      </w:pPr>
      <w:r>
        <w:rPr/>
        <w:t>（五）关于绩效评价与激励约束机制： </w:t>
      </w:r>
      <w:r>
        <w:rPr>
          <w:spacing w:val="-2"/>
        </w:rPr>
        <w:t>公司董事会下设提名委员会、薪酬与考核委员，制定了薪酬管理制度和绩效考评管理办法，建立和完善公正、透明的董</w:t>
      </w:r>
    </w:p>
    <w:p>
      <w:pPr>
        <w:pStyle w:val="BodyText"/>
        <w:spacing w:line="319" w:lineRule="auto" w:before="19"/>
        <w:ind w:right="1131"/>
        <w:jc w:val="both"/>
      </w:pPr>
      <w:r>
        <w:rPr>
          <w:spacing w:val="-2"/>
        </w:rPr>
        <w:t>事、监事和高管人员的绩效评价标准和激励约束机制，公司经理人员的聘任公开、透明，符合法律法规的规定。公司董事会</w:t>
      </w:r>
      <w:r>
        <w:rPr>
          <w:spacing w:val="-66"/>
        </w:rPr>
        <w:t> </w:t>
      </w:r>
      <w:r>
        <w:rPr>
          <w:spacing w:val="-66"/>
        </w:rPr>
      </w:r>
      <w:r>
        <w:rPr>
          <w:spacing w:val="-2"/>
        </w:rPr>
        <w:t>下设的薪酬和考核委员会负责对公司的董事、监事、高管进行绩效考核，公司现有考核机制符合相关法律法规，同时符合公</w:t>
      </w:r>
      <w:r>
        <w:rPr>
          <w:spacing w:val="-66"/>
        </w:rPr>
        <w:t> </w:t>
      </w:r>
      <w:r>
        <w:rPr>
          <w:spacing w:val="-66"/>
        </w:rPr>
      </w:r>
      <w:r>
        <w:rPr/>
        <w:t>司发展情况。</w:t>
      </w:r>
    </w:p>
    <w:p>
      <w:pPr>
        <w:pStyle w:val="BodyText"/>
        <w:spacing w:line="316" w:lineRule="auto" w:before="17"/>
        <w:ind w:left="514" w:right="1032" w:hanging="360"/>
        <w:jc w:val="left"/>
      </w:pPr>
      <w:r>
        <w:rPr/>
        <w:t>（六）关于信息披露与透明度： </w:t>
      </w:r>
      <w:r>
        <w:rPr>
          <w:spacing w:val="-2"/>
        </w:rPr>
        <w:t>公司严格按照有关法律法规以及《公司章程》、《公司信息披露管理办法》等的要求，真实、准确、及时、公平、完整</w:t>
      </w:r>
    </w:p>
    <w:p>
      <w:pPr>
        <w:pStyle w:val="BodyText"/>
        <w:spacing w:line="240" w:lineRule="auto" w:before="19"/>
        <w:ind w:right="0"/>
        <w:jc w:val="left"/>
      </w:pPr>
      <w:r>
        <w:rPr/>
        <w:t>地披露有关信息，并指定公司董事会秘书负责信息披露工作，协调公司与投资者的关系，接待股东来访，回答投资者咨询，</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向投资者提供公司已披露的资料；并指定《证券时报》、《上海证券报》、《中国证券报》、《证券日报》和巨潮资讯网</w:t>
      </w:r>
    </w:p>
    <w:p>
      <w:pPr>
        <w:pStyle w:val="BodyText"/>
        <w:spacing w:line="300" w:lineRule="auto" w:before="76"/>
        <w:ind w:right="1204"/>
        <w:jc w:val="both"/>
      </w:pPr>
      <w:r>
        <w:rPr/>
        <w:t>（</w:t>
      </w:r>
      <w:hyperlink r:id="rId13">
        <w:r>
          <w:rPr>
            <w:rFonts w:ascii="Times New Roman" w:hAnsi="Times New Roman" w:cs="Times New Roman" w:eastAsia="Times New Roman" w:hint="default"/>
          </w:rPr>
          <w:t>www.cninfo.com.cn</w:t>
        </w:r>
      </w:hyperlink>
      <w:r>
        <w:rPr/>
        <w:t>）为公司信息披露的指定报纸和网站，确保公司所有股东能够以平等的机会获得信息。同时，公司还</w:t>
      </w:r>
      <w:r>
        <w:rPr>
          <w:w w:val="99"/>
        </w:rPr>
        <w:t> </w:t>
      </w:r>
      <w:r>
        <w:rPr/>
        <w:t>根据《信息披露管理办法》的要求，加强与投资者的沟通，促进投资者对公司的了解和认同。</w:t>
      </w:r>
    </w:p>
    <w:p>
      <w:pPr>
        <w:pStyle w:val="BodyText"/>
        <w:spacing w:line="240" w:lineRule="auto" w:before="31"/>
        <w:ind w:right="0"/>
        <w:jc w:val="both"/>
      </w:pPr>
      <w:r>
        <w:rPr/>
        <w:t>（七）关于相关利益者：</w:t>
      </w:r>
    </w:p>
    <w:p>
      <w:pPr>
        <w:pStyle w:val="BodyText"/>
        <w:spacing w:line="300" w:lineRule="auto" w:before="77"/>
        <w:ind w:right="1141" w:firstLine="360"/>
        <w:jc w:val="both"/>
      </w:pPr>
      <w:r>
        <w:rPr>
          <w:rFonts w:ascii="Times New Roman" w:hAnsi="Times New Roman" w:cs="Times New Roman" w:eastAsia="Times New Roman" w:hint="default"/>
        </w:rPr>
        <w:t>1</w:t>
      </w:r>
      <w:r>
        <w:rPr/>
        <w:t>、公司能够充分尊重和维护相关利益者的合法权益，实现股东、员工、社会等各方利益的协调平衡，共同推动公司持 续、健康的发展。</w:t>
      </w:r>
    </w:p>
    <w:p>
      <w:pPr>
        <w:pStyle w:val="BodyText"/>
        <w:spacing w:line="309" w:lineRule="auto" w:before="31"/>
        <w:ind w:right="1133" w:firstLine="360"/>
        <w:jc w:val="both"/>
      </w:pPr>
      <w:r>
        <w:rPr>
          <w:rFonts w:ascii="Times New Roman" w:hAnsi="Times New Roman" w:cs="Times New Roman" w:eastAsia="Times New Roman" w:hint="default"/>
        </w:rPr>
        <w:t>2</w:t>
      </w:r>
      <w:r>
        <w:rPr/>
        <w:t>、投资者关系管理：报告期内，公司严格执行《投资者关系管理制度》等有关制度，认真做好投资者关系管理工作， </w:t>
      </w:r>
      <w:r>
        <w:rPr>
          <w:spacing w:val="-2"/>
        </w:rPr>
        <w:t>不断学习投资者关系管理经验，便于以更好的方式和途径使广大投资者能够平等地获取公司经营管理、未来发展等信息，构</w:t>
      </w:r>
      <w:r>
        <w:rPr>
          <w:spacing w:val="-66"/>
        </w:rPr>
        <w:t> </w:t>
      </w:r>
      <w:r>
        <w:rPr>
          <w:spacing w:val="-66"/>
        </w:rPr>
      </w:r>
      <w:r>
        <w:rPr/>
        <w:t>建与投资者的良好互动关系，树立公司在资本市场的规范形象。</w:t>
      </w:r>
    </w:p>
    <w:p>
      <w:pPr>
        <w:pStyle w:val="BodyText"/>
        <w:spacing w:line="309" w:lineRule="auto" w:before="24"/>
        <w:ind w:right="1132" w:firstLine="360"/>
        <w:jc w:val="both"/>
      </w:pPr>
      <w:r>
        <w:rPr/>
        <w:t>（</w:t>
      </w:r>
      <w:r>
        <w:rPr>
          <w:rFonts w:ascii="Times New Roman" w:hAnsi="Times New Roman" w:cs="Times New Roman" w:eastAsia="Times New Roman" w:hint="default"/>
        </w:rPr>
        <w:t>1</w:t>
      </w:r>
      <w:r>
        <w:rPr/>
        <w:t>）公司制定董事会秘书作为投资者关系管理的负责人，负责投资者来访接待工作，合理、妥善地安排个人投资者、 </w:t>
      </w:r>
      <w:r>
        <w:rPr>
          <w:spacing w:val="-2"/>
        </w:rPr>
        <w:t>机构投资者、分析师等相关人员到公司进行调研，做好调研的会议记录和相关信息的保密工作，并对调研会议记录进行存档</w:t>
      </w:r>
      <w:r>
        <w:rPr>
          <w:spacing w:val="-66"/>
        </w:rPr>
        <w:t> </w:t>
      </w:r>
      <w:r>
        <w:rPr>
          <w:spacing w:val="-66"/>
        </w:rPr>
      </w:r>
      <w:r>
        <w:rPr/>
        <w:t>保管及向深圳证券交易所报备。</w:t>
      </w:r>
    </w:p>
    <w:p>
      <w:pPr>
        <w:pStyle w:val="BodyText"/>
        <w:spacing w:line="300" w:lineRule="auto" w:before="24"/>
        <w:ind w:right="1141" w:firstLine="360"/>
        <w:jc w:val="both"/>
      </w:pPr>
      <w:r>
        <w:rPr/>
        <w:t>（</w:t>
      </w:r>
      <w:r>
        <w:rPr>
          <w:rFonts w:ascii="Times New Roman" w:hAnsi="Times New Roman" w:cs="Times New Roman" w:eastAsia="Times New Roman" w:hint="default"/>
        </w:rPr>
        <w:t>2</w:t>
      </w:r>
      <w:r>
        <w:rPr/>
        <w:t>）通过公司网站、投资者关系管理电话、电子信箱、互动平台等多种渠道与投资者加强沟通，尽可能地解答投资者 的疑问。</w:t>
      </w:r>
    </w:p>
    <w:p>
      <w:pPr>
        <w:pStyle w:val="BodyText"/>
        <w:spacing w:line="316" w:lineRule="auto" w:before="31"/>
        <w:ind w:left="514" w:right="1032" w:hanging="360"/>
        <w:jc w:val="left"/>
      </w:pPr>
      <w:r>
        <w:rPr/>
        <w:t>（八）内部审计制度的建立和执行情况 </w:t>
      </w:r>
      <w:r>
        <w:rPr>
          <w:spacing w:val="-2"/>
        </w:rPr>
        <w:t>为加强内部控制活动的监督和评价，有效控制风险，保证公司资产的安全与完整，董事会下设审计委员会，负责全面审</w:t>
      </w:r>
    </w:p>
    <w:p>
      <w:pPr>
        <w:pStyle w:val="BodyText"/>
        <w:spacing w:line="316" w:lineRule="auto" w:before="19"/>
        <w:ind w:right="1130"/>
        <w:jc w:val="both"/>
      </w:pPr>
      <w:r>
        <w:rPr>
          <w:spacing w:val="-2"/>
        </w:rPr>
        <w:t>查和监督公司的财务报告、内部审计方案及内部控制的有效性，审阅和审查财务、经营、合规、风险管理情况。公司设置内</w:t>
      </w:r>
      <w:r>
        <w:rPr>
          <w:spacing w:val="-67"/>
        </w:rPr>
        <w:t> </w:t>
      </w:r>
      <w:r>
        <w:rPr>
          <w:spacing w:val="-67"/>
        </w:rPr>
      </w:r>
      <w:r>
        <w:rPr>
          <w:spacing w:val="-2"/>
        </w:rPr>
        <w:t>部审计部门，建立了内部审计制度，配备专职审计人员，对审计委员会负责，向审计委员会报告工作。内部审计部对公司财</w:t>
      </w:r>
      <w:r>
        <w:rPr>
          <w:spacing w:val="-66"/>
        </w:rPr>
        <w:t> </w:t>
      </w:r>
      <w:r>
        <w:rPr>
          <w:spacing w:val="-66"/>
        </w:rPr>
      </w:r>
      <w:r>
        <w:rPr>
          <w:spacing w:val="-2"/>
        </w:rPr>
        <w:t>务信息及内部控制制度的建立和实施等进行检查和监督，对公司对外担保、关联交易等行为进行重点审计，及时向审计委员</w:t>
      </w:r>
      <w:r>
        <w:rPr>
          <w:spacing w:val="-66"/>
        </w:rPr>
        <w:t> </w:t>
      </w:r>
      <w:r>
        <w:rPr>
          <w:spacing w:val="-66"/>
        </w:rPr>
      </w:r>
      <w:r>
        <w:rPr/>
        <w:t>会提交工作计划并汇报审计工作报告，就审计过程中发现的问题进行督促整改。</w:t>
      </w:r>
    </w:p>
    <w:p>
      <w:pPr>
        <w:pStyle w:val="BodyText"/>
        <w:spacing w:line="316" w:lineRule="auto" w:before="19"/>
        <w:ind w:left="514" w:right="1032" w:hanging="360"/>
        <w:jc w:val="left"/>
      </w:pPr>
      <w:r>
        <w:rPr/>
        <w:t>（九）公司董事履职情况 </w:t>
      </w:r>
      <w:r>
        <w:rPr>
          <w:spacing w:val="-2"/>
        </w:rPr>
        <w:t>报告期内，公司全体董事严格按照《公司法》、《证券法》、《深圳证券交易所创业板上市公司规范运作指引》、《上</w:t>
      </w:r>
    </w:p>
    <w:p>
      <w:pPr>
        <w:pStyle w:val="BodyText"/>
        <w:spacing w:line="316" w:lineRule="auto" w:before="19"/>
        <w:ind w:right="1131"/>
        <w:jc w:val="both"/>
      </w:pPr>
      <w:r>
        <w:rPr>
          <w:spacing w:val="-2"/>
        </w:rPr>
        <w:t>市公司治理准则》及《公司章程》等法律、法规及规章制度的规定和要求，履行董事职责，遵守董事行为规范，积极参加相</w:t>
      </w:r>
      <w:r>
        <w:rPr>
          <w:spacing w:val="-72"/>
        </w:rPr>
        <w:t> </w:t>
      </w:r>
      <w:r>
        <w:rPr>
          <w:spacing w:val="-72"/>
        </w:rPr>
      </w:r>
      <w:r>
        <w:rPr>
          <w:spacing w:val="-2"/>
        </w:rPr>
        <w:t>关培训，提高自身经营决策水平，发挥各自的专业所长，积极履行职责，董事在董事会会议投票表决重大事项或其他对公司</w:t>
      </w:r>
      <w:r>
        <w:rPr>
          <w:spacing w:val="-66"/>
        </w:rPr>
        <w:t> </w:t>
      </w:r>
      <w:r>
        <w:rPr>
          <w:spacing w:val="-66"/>
        </w:rPr>
      </w:r>
      <w:r>
        <w:rPr>
          <w:spacing w:val="-2"/>
        </w:rPr>
        <w:t>有重大影响的事项时，严格遵循公司董事会议事规则的有关审议事项，审慎决策，切实保护公司和股东特别是社会公众股东</w:t>
      </w:r>
      <w:r>
        <w:rPr>
          <w:spacing w:val="-66"/>
        </w:rPr>
        <w:t> </w:t>
      </w:r>
      <w:r>
        <w:rPr>
          <w:spacing w:val="-66"/>
        </w:rPr>
      </w:r>
      <w:r>
        <w:rPr/>
        <w:t>的利益。</w:t>
      </w:r>
    </w:p>
    <w:p>
      <w:pPr>
        <w:pStyle w:val="BodyText"/>
        <w:spacing w:line="316" w:lineRule="auto" w:before="19"/>
        <w:ind w:right="1132" w:firstLine="360"/>
        <w:jc w:val="both"/>
      </w:pPr>
      <w:r>
        <w:rPr>
          <w:spacing w:val="-2"/>
        </w:rPr>
        <w:t>董事会充分发挥了各专门委员会的职能作用，战略与发展委员会多次就公司发展战略的重大问题开展研讨；审计委员会</w:t>
      </w:r>
      <w:r>
        <w:rPr/>
        <w:t> </w:t>
      </w:r>
      <w:r>
        <w:rPr>
          <w:spacing w:val="-2"/>
        </w:rPr>
        <w:t>参与了对公司定期报告的审计保管；提名委员会对高管及董事的任职提出了审核意见；薪酬与考核委员会对公司董事、高管</w:t>
      </w:r>
      <w:r>
        <w:rPr>
          <w:spacing w:val="-66"/>
        </w:rPr>
        <w:t> </w:t>
      </w:r>
      <w:r>
        <w:rPr>
          <w:spacing w:val="-66"/>
        </w:rPr>
      </w:r>
      <w:r>
        <w:rPr/>
        <w:t>人员的薪酬机制实施发挥了积极作用。独立董事充分发挥自身职能，对相关事项发表独立意见</w:t>
      </w:r>
      <w:r>
        <w:rPr>
          <w:rFonts w:ascii="Times New Roman" w:hAnsi="Times New Roman" w:cs="Times New Roman" w:eastAsia="Times New Roman" w:hint="default"/>
        </w:rPr>
        <w:t>9</w:t>
      </w:r>
      <w:r>
        <w:rPr/>
        <w:t>次。</w:t>
      </w:r>
    </w:p>
    <w:p>
      <w:pPr>
        <w:pStyle w:val="BodyText"/>
        <w:spacing w:line="235" w:lineRule="exact"/>
        <w:ind w:right="0"/>
        <w:jc w:val="both"/>
      </w:pPr>
      <w:r>
        <w:rPr/>
        <w:t>（十）其他</w:t>
      </w:r>
    </w:p>
    <w:p>
      <w:pPr>
        <w:pStyle w:val="BodyText"/>
        <w:spacing w:line="300" w:lineRule="auto" w:before="76"/>
        <w:ind w:right="1051" w:firstLine="360"/>
        <w:jc w:val="both"/>
      </w:pPr>
      <w:r>
        <w:rPr>
          <w:rFonts w:ascii="Times New Roman" w:hAnsi="Times New Roman" w:cs="Times New Roman" w:eastAsia="Times New Roman" w:hint="default"/>
        </w:rPr>
        <w:t>2018</w:t>
      </w:r>
      <w:r>
        <w:rPr/>
        <w:t>年公司未受到中国证监会、深圳证券交易所就公司内控存在问题的处分，公司内部控制方面没有亟待整改的问题。 今后公司将进一步优化和完善公司的内控制度。</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both"/>
      </w:pPr>
      <w:r>
        <w:rPr>
          <w:spacing w:val="-2"/>
        </w:rPr>
        <w:t>公司严格按照《公司法》、《证券法》等有关法律、法规和《公司章程》的要求规范运作，在业务、资产、人员、机构、财</w:t>
      </w:r>
      <w:r>
        <w:rPr>
          <w:spacing w:val="-66"/>
        </w:rPr>
        <w:t> </w:t>
      </w:r>
      <w:r>
        <w:rPr>
          <w:spacing w:val="-66"/>
        </w:rPr>
      </w:r>
      <w:r>
        <w:rPr/>
        <w:t>务等方面一直独立于控股股东及其他关联方，具备完整的业务体系及直接面向市场独立经营的能力。</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32"/>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2"/>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2018-029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2018-034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2018-069</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尹建平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1032"/>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131" w:firstLine="360"/>
        <w:jc w:val="both"/>
      </w:pPr>
      <w:r>
        <w:rPr>
          <w:spacing w:val="-2"/>
        </w:rPr>
        <w:t>公司独立董事勤勉尽责，严格按照中国证监会的相关规定及公司制度开展工作，关注公司运作，独立履行职责，对公司</w:t>
      </w:r>
      <w:r>
        <w:rPr/>
        <w:t> </w:t>
      </w:r>
      <w:r>
        <w:rPr>
          <w:spacing w:val="-2"/>
        </w:rPr>
        <w:t>内部控制建设、管理体系建设、人才梯队建设和重大决策等方面提出了很多宝贵的专业性建议，对公司财务及生产经营活动</w:t>
      </w:r>
      <w:r>
        <w:rPr>
          <w:spacing w:val="-66"/>
        </w:rPr>
        <w:t> </w:t>
      </w:r>
      <w:r>
        <w:rPr>
          <w:spacing w:val="-66"/>
        </w:rPr>
      </w:r>
      <w:r>
        <w:rPr/>
        <w:t>进行了有效监督，提高了公司决策的科学性，为完善公司监督机制，维护公司和全体股东的合法权益发挥了应有的作用。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032"/>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514" w:right="1032"/>
        <w:jc w:val="left"/>
      </w:pPr>
      <w:r>
        <w:rPr>
          <w:spacing w:val="-4"/>
        </w:rPr>
        <w:t>公司董事会下设审计委员会、提名委员会、薪酬与考核委员会、战略委员会。各专门委员会在报告期内的履职情况如下：</w:t>
      </w:r>
      <w:r>
        <w:rPr>
          <w:spacing w:val="-54"/>
        </w:rPr>
        <w:t> </w:t>
      </w:r>
      <w:r>
        <w:rPr>
          <w:spacing w:val="-54"/>
        </w:rPr>
      </w:r>
      <w:r>
        <w:rPr>
          <w:rFonts w:ascii="Times New Roman" w:hAnsi="Times New Roman" w:cs="Times New Roman" w:eastAsia="Times New Roman" w:hint="default"/>
        </w:rPr>
        <w:t>1</w:t>
      </w:r>
      <w:r>
        <w:rPr/>
        <w:t>、审计委员会的履职情况： </w:t>
      </w:r>
      <w:r>
        <w:rPr>
          <w:spacing w:val="-2"/>
        </w:rPr>
        <w:t>根据公司相关细则，审计委员会充分发挥了审核与监督作用，主要负责公司财务监督和核查工作及与外部审计机构的沟</w:t>
      </w:r>
    </w:p>
    <w:p>
      <w:pPr>
        <w:pStyle w:val="BodyText"/>
        <w:spacing w:line="316" w:lineRule="auto" w:before="24"/>
        <w:ind w:right="1032"/>
        <w:jc w:val="left"/>
      </w:pPr>
      <w:r>
        <w:rPr>
          <w:spacing w:val="-2"/>
        </w:rPr>
        <w:t>通、协调工作。审计委员会就会计师事务所从事公司年度审计的工作进行了总结评价，并就审计过程中发现的问题与相关人</w:t>
      </w:r>
      <w:r>
        <w:rPr>
          <w:spacing w:val="-66"/>
        </w:rPr>
        <w:t> </w:t>
      </w:r>
      <w:r>
        <w:rPr>
          <w:spacing w:val="-66"/>
        </w:rPr>
      </w:r>
      <w:r>
        <w:rPr/>
        <w:t>员进行有效沟通。同时，审计委员会审议审计部提交的审计计划及总结，切实履行了审计委员会工作职责。</w:t>
      </w:r>
    </w:p>
    <w:p>
      <w:pPr>
        <w:pStyle w:val="BodyText"/>
        <w:spacing w:line="309" w:lineRule="auto" w:before="19"/>
        <w:ind w:left="514" w:right="5532"/>
        <w:jc w:val="left"/>
      </w:pPr>
      <w:r>
        <w:rPr>
          <w:rFonts w:ascii="Times New Roman" w:hAnsi="Times New Roman" w:cs="Times New Roman" w:eastAsia="Times New Roman" w:hint="default"/>
        </w:rPr>
        <w:t>2</w:t>
      </w:r>
      <w:r>
        <w:rPr/>
        <w:t>、提名委员会履职情况： 报告期，董事会提名委员会依照相关法规，积极履行了职责。 </w:t>
      </w:r>
      <w:r>
        <w:rPr>
          <w:rFonts w:ascii="Times New Roman" w:hAnsi="Times New Roman" w:cs="Times New Roman" w:eastAsia="Times New Roman" w:hint="default"/>
        </w:rPr>
        <w:t>3</w:t>
      </w:r>
      <w:r>
        <w:rPr/>
        <w:t>、薪酬与考核委员会履职情况：</w:t>
      </w:r>
    </w:p>
    <w:p>
      <w:pPr>
        <w:pStyle w:val="BodyText"/>
        <w:spacing w:line="316" w:lineRule="auto" w:before="5"/>
        <w:ind w:right="1132" w:firstLine="360"/>
        <w:jc w:val="both"/>
      </w:pPr>
      <w:r>
        <w:rPr>
          <w:spacing w:val="-2"/>
        </w:rPr>
        <w:t>报告期，薪酬与考核委员会对公司上年度董事和高级管理人员薪酬等事项进行了讨论与审议，认为上年度绩效考核体现</w:t>
      </w:r>
      <w:r>
        <w:rPr/>
        <w:t> 了公平原则，公司董事及高级管理人员的薪酬发放符合公司薪酬管理制度的规定。</w:t>
      </w:r>
    </w:p>
    <w:p>
      <w:pPr>
        <w:pStyle w:val="BodyText"/>
        <w:spacing w:line="300" w:lineRule="auto" w:before="19"/>
        <w:ind w:left="514" w:right="1032"/>
        <w:jc w:val="left"/>
      </w:pPr>
      <w:r>
        <w:rPr>
          <w:rFonts w:ascii="Times New Roman" w:hAnsi="Times New Roman" w:cs="Times New Roman" w:eastAsia="Times New Roman" w:hint="default"/>
        </w:rPr>
        <w:t>4</w:t>
      </w:r>
      <w:r>
        <w:rPr/>
        <w:t>、战略委员会履职情况： </w:t>
      </w:r>
      <w:r>
        <w:rPr>
          <w:spacing w:val="-2"/>
        </w:rPr>
        <w:t>报告期，董事会战略委员会根据相关细则的规定，对公司战略执行情况进行回顾总结。同时，战略委员会结合公司所处</w:t>
      </w:r>
    </w:p>
    <w:p>
      <w:pPr>
        <w:pStyle w:val="BodyText"/>
        <w:spacing w:line="240" w:lineRule="auto" w:before="31"/>
        <w:ind w:right="1032"/>
        <w:jc w:val="left"/>
      </w:pPr>
      <w:r>
        <w:rPr/>
        <w:t>行业发展情况及公司自身发展状况，对公司长期发展战略和重大投资决策进行审议并提出建议。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032"/>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监事会在报告期内的监督活动中发现公司是否存在风险</w:t>
      </w:r>
    </w:p>
    <w:p>
      <w:pPr>
        <w:pStyle w:val="BodyText"/>
        <w:spacing w:line="338" w:lineRule="auto" w:before="117"/>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032"/>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公司建立了完善的高级管理人员绩效考评体系和薪酬制度，公司董事会下设薪酬与考核委员会，公司高级管理人员报酬</w:t>
      </w:r>
      <w:r>
        <w:rPr/>
        <w:t> </w:t>
      </w:r>
      <w:r>
        <w:rPr>
          <w:spacing w:val="-4"/>
        </w:rPr>
        <w:t>由薪酬委员会提出，经董事会审议批准后决定。公司建立了高级管理人员的薪酬与公司业绩挂钩的绩效考核与激励约束机制，</w:t>
      </w:r>
      <w:r>
        <w:rPr>
          <w:spacing w:val="-44"/>
        </w:rPr>
        <w:t> </w:t>
      </w:r>
      <w:r>
        <w:rPr>
          <w:spacing w:val="-44"/>
        </w:rPr>
      </w:r>
      <w:r>
        <w:rPr/>
        <w:t>公司高级管理人员实行基本薪酬和年终绩效考核相结合的薪酬制度，有利于有效调动管理层的积极性。</w:t>
      </w:r>
    </w:p>
    <w:p>
      <w:pPr>
        <w:pStyle w:val="BodyText"/>
        <w:spacing w:line="319" w:lineRule="auto" w:before="19"/>
        <w:ind w:right="1132" w:firstLine="360"/>
        <w:jc w:val="both"/>
      </w:pPr>
      <w:r>
        <w:rPr>
          <w:spacing w:val="-2"/>
        </w:rPr>
        <w:t>公司将积极探索与现代企业制度相适应的考评及激励机制，体现高级管理人员的管理价值贡献导向，以调动高级管理人</w:t>
      </w:r>
      <w:r>
        <w:rPr/>
        <w:t> </w:t>
      </w:r>
      <w:r>
        <w:rPr>
          <w:spacing w:val="-2"/>
        </w:rPr>
        <w:t>员的积极性、主动性与创造性，提升企业核心竞争力，以确保公司经营目标的实现，改善并提高企业经营管理水平，促进企</w:t>
      </w:r>
      <w:r>
        <w:rPr>
          <w:spacing w:val="-66"/>
        </w:rPr>
        <w:t> </w:t>
      </w:r>
      <w:r>
        <w:rPr>
          <w:spacing w:val="-66"/>
        </w:rPr>
      </w:r>
      <w:r>
        <w:rPr/>
        <w:t>业效益持续稳定增长。</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1032"/>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2"/>
              <w:ind w:left="22" w:right="48"/>
              <w:jc w:val="both"/>
              <w:rPr>
                <w:rFonts w:ascii="宋体" w:hAnsi="宋体" w:cs="宋体" w:eastAsia="宋体" w:hint="default"/>
                <w:sz w:val="18"/>
                <w:szCs w:val="18"/>
              </w:rPr>
            </w:pPr>
            <w:r>
              <w:rPr>
                <w:rFonts w:ascii="宋体" w:hAnsi="宋体" w:cs="宋体" w:eastAsia="宋体" w:hint="default"/>
                <w:spacing w:val="-5"/>
                <w:sz w:val="18"/>
                <w:szCs w:val="18"/>
              </w:rPr>
              <w:t>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w:t>
            </w:r>
            <w:r>
              <w:rPr>
                <w:rFonts w:ascii="宋体" w:hAnsi="宋体" w:cs="宋体" w:eastAsia="宋体" w:hint="default"/>
                <w:spacing w:val="-85"/>
                <w:sz w:val="18"/>
                <w:szCs w:val="18"/>
              </w:rPr>
              <w:t> </w:t>
            </w:r>
            <w:r>
              <w:rPr>
                <w:rFonts w:ascii="宋体" w:hAnsi="宋体" w:cs="宋体" w:eastAsia="宋体" w:hint="default"/>
                <w:spacing w:val="-5"/>
                <w:sz w:val="18"/>
                <w:szCs w:val="18"/>
              </w:rPr>
              <w:t>事和高级管理人员的舞弊行为；（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w:t>
            </w:r>
            <w:r>
              <w:rPr>
                <w:rFonts w:ascii="宋体" w:hAnsi="宋体" w:cs="宋体" w:eastAsia="宋体" w:hint="default"/>
                <w:spacing w:val="-85"/>
                <w:sz w:val="18"/>
                <w:szCs w:val="18"/>
              </w:rPr>
              <w:t> </w:t>
            </w:r>
            <w:r>
              <w:rPr>
                <w:rFonts w:ascii="宋体" w:hAnsi="宋体" w:cs="宋体" w:eastAsia="宋体" w:hint="default"/>
                <w:spacing w:val="-5"/>
                <w:sz w:val="18"/>
                <w:szCs w:val="18"/>
              </w:rPr>
              <w:t>更正已公布的财务报告；（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w:t>
            </w:r>
            <w:r>
              <w:rPr>
                <w:rFonts w:ascii="宋体" w:hAnsi="宋体" w:cs="宋体" w:eastAsia="宋体" w:hint="default"/>
                <w:spacing w:val="-85"/>
                <w:sz w:val="18"/>
                <w:szCs w:val="18"/>
              </w:rPr>
              <w:t> </w:t>
            </w:r>
            <w:r>
              <w:rPr>
                <w:rFonts w:ascii="宋体" w:hAnsi="宋体" w:cs="宋体" w:eastAsia="宋体" w:hint="default"/>
                <w:sz w:val="18"/>
                <w:szCs w:val="18"/>
              </w:rPr>
              <w:t>发现的却未被公司内部控制识别的当期财 </w:t>
            </w:r>
            <w:r>
              <w:rPr>
                <w:rFonts w:ascii="宋体" w:hAnsi="宋体" w:cs="宋体" w:eastAsia="宋体" w:hint="default"/>
                <w:spacing w:val="-5"/>
                <w:sz w:val="18"/>
                <w:szCs w:val="18"/>
              </w:rPr>
              <w:t>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w:t>
            </w:r>
            <w:r>
              <w:rPr>
                <w:rFonts w:ascii="宋体" w:hAnsi="宋体" w:cs="宋体" w:eastAsia="宋体" w:hint="default"/>
                <w:spacing w:val="-85"/>
                <w:sz w:val="18"/>
                <w:szCs w:val="18"/>
              </w:rPr>
              <w:t> </w:t>
            </w:r>
            <w:r>
              <w:rPr>
                <w:rFonts w:ascii="宋体" w:hAnsi="宋体" w:cs="宋体" w:eastAsia="宋体" w:hint="default"/>
                <w:sz w:val="18"/>
                <w:szCs w:val="18"/>
              </w:rPr>
              <w:t>审计部门对公司的对外财务报告和财务报 告内部控制监督无效。 重要缺陷的迹 </w:t>
            </w:r>
            <w:r>
              <w:rPr>
                <w:rFonts w:ascii="宋体" w:hAnsi="宋体" w:cs="宋体" w:eastAsia="宋体" w:hint="default"/>
                <w:spacing w:val="-5"/>
                <w:sz w:val="18"/>
                <w:szCs w:val="18"/>
              </w:rPr>
              <w:t>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w:t>
            </w:r>
            <w:r>
              <w:rPr>
                <w:rFonts w:ascii="宋体" w:hAnsi="宋体" w:cs="宋体" w:eastAsia="宋体" w:hint="default"/>
                <w:spacing w:val="-85"/>
                <w:sz w:val="18"/>
                <w:szCs w:val="18"/>
              </w:rPr>
              <w:t> </w:t>
            </w:r>
            <w:r>
              <w:rPr>
                <w:rFonts w:ascii="宋体" w:hAnsi="宋体" w:cs="宋体" w:eastAsia="宋体" w:hint="default"/>
                <w:spacing w:val="-5"/>
                <w:sz w:val="18"/>
                <w:szCs w:val="18"/>
              </w:rPr>
              <w:t>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w:t>
            </w:r>
            <w:r>
              <w:rPr>
                <w:rFonts w:ascii="宋体" w:hAnsi="宋体" w:cs="宋体" w:eastAsia="宋体" w:hint="default"/>
                <w:spacing w:val="-85"/>
                <w:sz w:val="18"/>
                <w:szCs w:val="18"/>
              </w:rPr>
              <w:t> </w:t>
            </w:r>
            <w:r>
              <w:rPr>
                <w:rFonts w:ascii="宋体" w:hAnsi="宋体" w:cs="宋体" w:eastAsia="宋体" w:hint="default"/>
                <w:spacing w:val="-5"/>
                <w:sz w:val="18"/>
                <w:szCs w:val="18"/>
              </w:rPr>
              <w:t>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）对于非常规或特殊交易的</w:t>
            </w:r>
            <w:r>
              <w:rPr>
                <w:rFonts w:ascii="宋体" w:hAnsi="宋体" w:cs="宋体" w:eastAsia="宋体" w:hint="default"/>
                <w:spacing w:val="-85"/>
                <w:sz w:val="18"/>
                <w:szCs w:val="18"/>
              </w:rPr>
              <w:t> </w:t>
            </w:r>
            <w:r>
              <w:rPr>
                <w:rFonts w:ascii="宋体" w:hAnsi="宋体" w:cs="宋体" w:eastAsia="宋体" w:hint="default"/>
                <w:sz w:val="18"/>
                <w:szCs w:val="18"/>
              </w:rPr>
              <w:t>账务处理没有建立相应的控制机制或没有 </w:t>
            </w:r>
            <w:r>
              <w:rPr>
                <w:rFonts w:ascii="宋体" w:hAnsi="宋体" w:cs="宋体" w:eastAsia="宋体" w:hint="default"/>
                <w:spacing w:val="-5"/>
                <w:sz w:val="18"/>
                <w:szCs w:val="18"/>
              </w:rPr>
              <w:t>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w:t>
            </w:r>
            <w:r>
              <w:rPr>
                <w:rFonts w:ascii="宋体" w:hAnsi="宋体" w:cs="宋体" w:eastAsia="宋体" w:hint="default"/>
                <w:spacing w:val="-85"/>
                <w:sz w:val="18"/>
                <w:szCs w:val="18"/>
              </w:rPr>
              <w:t> </w:t>
            </w:r>
            <w:r>
              <w:rPr>
                <w:rFonts w:ascii="宋体" w:hAnsi="宋体" w:cs="宋体" w:eastAsia="宋体" w:hint="default"/>
                <w:sz w:val="18"/>
                <w:szCs w:val="18"/>
              </w:rPr>
              <w:t>期末财务报告过程的控制存在一项或多项 缺陷且不能合理保证编制的财务报表达到 真实、完整的目标。 一般缺陷是指除 上述重大缺陷、重要缺陷之外的其他控制 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92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tabs>
                <w:tab w:pos="1972" w:val="left" w:leader="none"/>
              </w:tabs>
              <w:spacing w:line="312"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作为财务报表整 体重要性水平，当潜在错报大于或等于财 务报表整体重要性水平时为重大缺陷。 当潜在错报小于财务报表整体重要性水平 大于或等于财务报表整体重要性水平的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时为重要缺陷。</w:t>
              <w:tab/>
              <w:t>当潜在错报小于 财务报表整体重要性水平的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时为一般</w:t>
            </w:r>
          </w:p>
        </w:tc>
        <w:tc>
          <w:tcPr>
            <w:tcW w:w="3051" w:type="dxa"/>
            <w:vMerge w:val="restart"/>
            <w:tcBorders>
              <w:top w:val="single" w:sz="4" w:space="0" w:color="000000"/>
              <w:left w:val="single" w:sz="4" w:space="0" w:color="000000"/>
              <w:right w:val="single" w:sz="4" w:space="0" w:color="000000"/>
            </w:tcBorders>
          </w:tcPr>
          <w:p>
            <w:pPr>
              <w:pStyle w:val="TableParagraph"/>
              <w:tabs>
                <w:tab w:pos="858" w:val="left" w:leader="none"/>
              </w:tabs>
              <w:spacing w:line="312"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作为财务报表 </w:t>
            </w:r>
            <w:r>
              <w:rPr>
                <w:rFonts w:ascii="宋体" w:hAnsi="宋体" w:cs="宋体" w:eastAsia="宋体" w:hint="default"/>
                <w:spacing w:val="-4"/>
                <w:sz w:val="18"/>
                <w:szCs w:val="18"/>
              </w:rPr>
              <w:t>整体重要性水平，当潜在错报大于或等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于财务报表整体重要性水平时为重大 缺陷。</w:t>
              <w:tab/>
              <w:t>当潜在错报小于财务报表整 体重要性水平大于或等于财务报表整 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时为重要缺陷。 当潜在错报小于财务报表整体重要性</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92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032"/>
        <w:jc w:val="left"/>
        <w:rPr>
          <w:b w:val="0"/>
          <w:bCs w:val="0"/>
        </w:rPr>
      </w:pPr>
      <w:bookmarkStart w:name="_TOC_250002" w:id="151"/>
      <w:bookmarkStart w:name="第十节 公司债券相关情况" w:id="152"/>
      <w:r>
        <w:rPr>
          <w:b w:val="0"/>
          <w:bCs w:val="0"/>
        </w:rPr>
      </w:r>
      <w:r>
        <w:rPr/>
        <w:t>第十节</w:t>
      </w:r>
      <w:r>
        <w:rPr>
          <w:spacing w:val="-9"/>
        </w:rPr>
        <w:t> </w:t>
      </w:r>
      <w:r>
        <w:rPr/>
        <w:t>公司债券相关情况</w:t>
      </w:r>
      <w:bookmarkEnd w:id="151"/>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032"/>
        <w:jc w:val="left"/>
        <w:rPr>
          <w:b w:val="0"/>
          <w:bCs w:val="0"/>
        </w:rPr>
      </w:pPr>
      <w:bookmarkStart w:name="_TOC_250001" w:id="153"/>
      <w:bookmarkStart w:name="第十一节 财务报告" w:id="154"/>
      <w:r>
        <w:rPr>
          <w:b w:val="0"/>
          <w:bCs w:val="0"/>
        </w:rPr>
      </w:r>
      <w:r>
        <w:rPr/>
        <w:t>第十一节</w:t>
      </w:r>
      <w:r>
        <w:rPr>
          <w:spacing w:val="-6"/>
        </w:rPr>
        <w:t> </w:t>
      </w:r>
      <w:r>
        <w:rPr/>
        <w:t>财务报告</w:t>
      </w:r>
      <w:bookmarkEnd w:id="15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朱伟、倪金林</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pStyle w:val="BodyText"/>
        <w:spacing w:line="717" w:lineRule="auto"/>
        <w:ind w:right="-20"/>
        <w:jc w:val="left"/>
      </w:pPr>
      <w:r>
        <w:rPr/>
        <w:t>上海华峰超纤材料股份有限公司全体股东： 审计意见</w:t>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700" w:left="980" w:right="0"/>
          <w:cols w:num="2" w:equalWidth="0">
            <w:col w:w="3575" w:space="705"/>
            <w:col w:w="6650"/>
          </w:cols>
        </w:sectPr>
      </w:pPr>
    </w:p>
    <w:p>
      <w:pPr>
        <w:pStyle w:val="BodyText"/>
        <w:spacing w:line="300" w:lineRule="auto" w:before="109"/>
        <w:ind w:right="1140"/>
        <w:jc w:val="both"/>
      </w:pPr>
      <w:r>
        <w:rPr/>
        <w:t>我们审计了上海华峰超纤材料股份有限公司（以下简称华峰超纤）财务报表，包括</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日的合并及母公司资产 负债表，</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年度的合并及母公司利润表、合并及母公司现金流量表、合并及母公司股东权益变动表以及相关财务报表附 注。</w:t>
      </w:r>
    </w:p>
    <w:p>
      <w:pPr>
        <w:pStyle w:val="BodyText"/>
        <w:spacing w:line="240" w:lineRule="auto" w:before="70"/>
        <w:ind w:right="1032"/>
        <w:jc w:val="left"/>
      </w:pPr>
      <w:r>
        <w:rPr/>
        <w:t>我们认为，后附的财务报表在所有重大方面按照企业会计准则的规定编制，公允反映了华峰超纤</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日的合并</w:t>
      </w:r>
    </w:p>
    <w:p>
      <w:pPr>
        <w:pStyle w:val="BodyText"/>
        <w:spacing w:line="679" w:lineRule="auto" w:before="64"/>
        <w:ind w:right="5083"/>
        <w:jc w:val="left"/>
      </w:pPr>
      <w:r>
        <w:rPr/>
        <w:t>及母公司财务状况以及</w:t>
      </w:r>
      <w:r>
        <w:rPr>
          <w:spacing w:val="-46"/>
        </w:rPr>
        <w:t> </w:t>
      </w:r>
      <w:r>
        <w:rPr>
          <w:rFonts w:ascii="Times New Roman" w:hAnsi="Times New Roman" w:cs="Times New Roman" w:eastAsia="Times New Roman" w:hint="default"/>
        </w:rPr>
        <w:t>2018 </w:t>
      </w:r>
      <w:r>
        <w:rPr/>
        <w:t>年度的合并及母公司经营成果和现金流量。 形成审计意见的基础</w:t>
      </w:r>
    </w:p>
    <w:p>
      <w:pPr>
        <w:pStyle w:val="BodyText"/>
        <w:spacing w:line="309" w:lineRule="auto" w:before="137"/>
        <w:ind w:right="1032"/>
        <w:jc w:val="left"/>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 </w:t>
      </w:r>
      <w:r>
        <w:rPr>
          <w:spacing w:val="-4"/>
        </w:rPr>
        <w:t>了我们在这些准则下的责任。按照中国注册会计师职业道德守则，我们独立于华峰超纤，并履行了职业道德方面的其他责任。</w:t>
      </w:r>
      <w:r>
        <w:rPr>
          <w:spacing w:val="-44"/>
        </w:rPr>
        <w:t> </w:t>
      </w:r>
      <w:r>
        <w:rPr>
          <w:spacing w:val="-44"/>
        </w:rPr>
      </w: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right="1032"/>
        <w:jc w:val="left"/>
      </w:pPr>
      <w:r>
        <w:rPr/>
        <w:t>关键审计事项</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9" w:lineRule="auto"/>
        <w:ind w:right="1032"/>
        <w:jc w:val="left"/>
      </w:pPr>
      <w:r>
        <w:rPr>
          <w:spacing w:val="-2"/>
        </w:rPr>
        <w:t>关键审计事项是我们根据职业判断，认为对本期财务报表审计最为重要的事项。这些事项的应对以对财务报表整体进行审计</w:t>
      </w:r>
      <w:r>
        <w:rPr>
          <w:spacing w:val="-63"/>
        </w:rPr>
        <w:t> </w:t>
      </w:r>
      <w:r>
        <w:rPr>
          <w:spacing w:val="-63"/>
        </w:rPr>
      </w:r>
      <w:r>
        <w:rPr/>
        <w:t>并形成审计意见为背景，我们不对这些事项单独发表意见。我们确定下列事项是需要在审计报告中沟通的关键审计事项。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4154"/>
        <w:gridCol w:w="4070"/>
      </w:tblGrid>
      <w:tr>
        <w:trPr>
          <w:trHeight w:val="42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该事项在审计中是如何应对的</w:t>
            </w:r>
          </w:p>
        </w:tc>
      </w:tr>
      <w:tr>
        <w:trPr>
          <w:trHeight w:val="427"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（一）收入确认</w:t>
            </w:r>
          </w:p>
        </w:tc>
      </w:tr>
      <w:tr>
        <w:trPr>
          <w:trHeight w:val="1715"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2"/>
              <w:ind w:left="2" w:right="14"/>
              <w:jc w:val="left"/>
              <w:rPr>
                <w:rFonts w:ascii="宋体" w:hAnsi="宋体" w:cs="宋体" w:eastAsia="宋体" w:hint="default"/>
                <w:sz w:val="18"/>
                <w:szCs w:val="18"/>
              </w:rPr>
            </w:pPr>
            <w:r>
              <w:rPr>
                <w:rFonts w:ascii="宋体" w:hAnsi="宋体" w:cs="宋体" w:eastAsia="宋体" w:hint="default"/>
                <w:sz w:val="18"/>
                <w:szCs w:val="18"/>
              </w:rPr>
              <w:t>华峰超纤收入确认的会计政策详情及收入的情况请 参阅合并财务报表附注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三、重要会计政策和会计估 计</w:t>
            </w:r>
            <w:r>
              <w:rPr>
                <w:rFonts w:ascii="Times New Roman" w:hAnsi="Times New Roman" w:cs="Times New Roman" w:eastAsia="Times New Roman" w:hint="default"/>
                <w:sz w:val="18"/>
                <w:szCs w:val="18"/>
              </w:rPr>
              <w:t>”</w:t>
            </w:r>
            <w:r>
              <w:rPr>
                <w:rFonts w:ascii="宋体" w:hAnsi="宋体" w:cs="宋体" w:eastAsia="宋体" w:hint="default"/>
                <w:sz w:val="18"/>
                <w:szCs w:val="18"/>
              </w:rPr>
              <w:t>注释二十所述的会计政策及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五、合并财务报表项 目附注</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注释三十五。</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与评价收入确认相关的审计程序中包括以下程序：</w:t>
            </w:r>
          </w:p>
          <w:p>
            <w:pPr>
              <w:pStyle w:val="TableParagraph"/>
              <w:spacing w:line="302" w:lineRule="auto" w:before="11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、了解和评价管理层与收入确认相关的关键内部控 制的设计和运行有效性。</w:t>
            </w:r>
          </w:p>
          <w:p>
            <w:pPr>
              <w:pStyle w:val="TableParagraph"/>
              <w:spacing w:line="300" w:lineRule="auto" w:before="6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、选取样本检查销售合同，识别与商品所有权上的 风险和报酬转移相关的合同条款与条件，评价收入</w:t>
            </w:r>
          </w:p>
        </w:tc>
      </w:tr>
    </w:tbl>
    <w:p>
      <w:pPr>
        <w:spacing w:after="0" w:line="300" w:lineRule="auto"/>
        <w:jc w:val="left"/>
        <w:rPr>
          <w:rFonts w:ascii="宋体" w:hAnsi="宋体" w:cs="宋体" w:eastAsia="宋体" w:hint="default"/>
          <w:sz w:val="18"/>
          <w:szCs w:val="18"/>
        </w:rPr>
        <w:sectPr>
          <w:type w:val="continuous"/>
          <w:pgSz w:w="11910" w:h="16840"/>
          <w:pgMar w:top="1060" w:bottom="7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2466"/>
        <w:jc w:val="right"/>
      </w:pPr>
      <w:r>
        <w:rPr/>
        <w:pict>
          <v:shape style="position:absolute;margin-left:56.34pt;margin-top:-83.768265pt;width:412.3pt;height:634.9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4"/>
                    <w:gridCol w:w="4070"/>
                  </w:tblGrid>
                  <w:tr>
                    <w:trPr>
                      <w:trHeight w:val="4331"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由于收入是华峰超纤的关键业绩指标之一，从而存在 管理层为了达到特定目标或期望而操纵收入确认时 点的固有风险，我们将华峰超纤收入确认识别为关键 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确认时点是否符合企业会计准则的要求。</w:t>
                        </w:r>
                      </w:p>
                      <w:p>
                        <w:pPr>
                          <w:pStyle w:val="TableParagraph"/>
                          <w:spacing w:line="309" w:lineRule="auto" w:before="11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、结合产品类型和销售模式对收入以及毛利率情况 执行分析性程序，判断本期收入、毛利率是否出现 异常波动的情况。</w:t>
                        </w:r>
                      </w:p>
                      <w:p>
                        <w:pPr>
                          <w:pStyle w:val="TableParagraph"/>
                          <w:spacing w:line="309"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、结合产品类型和销售模式，取得相应的支持性文 件，例如合同、出库单、报关单、提单、验收单等 评价账面记录的收入是否真实、准确。</w:t>
                        </w:r>
                      </w:p>
                      <w:p>
                        <w:pPr>
                          <w:pStyle w:val="TableParagraph"/>
                          <w:spacing w:line="312"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、结合产品类型和销售模式，就资产负债表日前后 记录的收入交易，选取样本，核对出库单、提单、 验收单等支持性文件，以评价收入是否被记录于恰 当的会计期间。</w:t>
                        </w:r>
                      </w:p>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、对主要客户的交易情况及应收账款执行函证。</w:t>
                        </w:r>
                      </w:p>
                      <w:p>
                        <w:pPr>
                          <w:pStyle w:val="TableParagraph"/>
                          <w:spacing w:line="240" w:lineRule="auto" w:before="10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、对重点客户执行实地走访。</w:t>
                        </w:r>
                      </w:p>
                    </w:tc>
                  </w:tr>
                  <w:tr>
                    <w:trPr>
                      <w:trHeight w:val="427"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（二）商誉减值</w:t>
                        </w:r>
                      </w:p>
                    </w:tc>
                  </w:tr>
                  <w:tr>
                    <w:trPr>
                      <w:trHeight w:val="7924"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2"/>
                          <w:ind w:left="2" w:right="15"/>
                          <w:jc w:val="left"/>
                          <w:rPr>
                            <w:rFonts w:ascii="宋体" w:hAnsi="宋体" w:cs="宋体" w:eastAsia="宋体" w:hint="default"/>
                            <w:sz w:val="18"/>
                            <w:szCs w:val="18"/>
                          </w:rPr>
                        </w:pPr>
                        <w:r>
                          <w:rPr>
                            <w:rFonts w:ascii="宋体" w:hAnsi="宋体" w:cs="宋体" w:eastAsia="宋体" w:hint="default"/>
                            <w:sz w:val="18"/>
                            <w:szCs w:val="18"/>
                          </w:rPr>
                          <w:t>商誉减值的会计政策详情及分析请参阅财务报表附 注</w:t>
                        </w:r>
                        <w:r>
                          <w:rPr>
                            <w:rFonts w:ascii="Times New Roman" w:hAnsi="Times New Roman" w:cs="Times New Roman" w:eastAsia="Times New Roman" w:hint="default"/>
                            <w:sz w:val="18"/>
                            <w:szCs w:val="18"/>
                          </w:rPr>
                          <w:t>“</w:t>
                        </w:r>
                        <w:r>
                          <w:rPr>
                            <w:rFonts w:ascii="宋体" w:hAnsi="宋体" w:cs="宋体" w:eastAsia="宋体" w:hint="default"/>
                            <w:sz w:val="18"/>
                            <w:szCs w:val="18"/>
                          </w:rPr>
                          <w:t>三、重要会计政策及会计估计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注释（十七）所述 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五、合并财务报表项目注释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注释（十 </w:t>
                        </w:r>
                        <w:r>
                          <w:rPr>
                            <w:rFonts w:ascii="宋体" w:hAnsi="宋体" w:cs="宋体" w:eastAsia="宋体" w:hint="default"/>
                            <w:spacing w:val="-30"/>
                            <w:sz w:val="18"/>
                            <w:szCs w:val="18"/>
                          </w:rPr>
                          <w:t>五）。</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日，威富通商誉账面原值合计</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173,315.02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万元、商誉减值准备余额为</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8,426.13 </w:t>
                        </w: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2" w:right="-3"/>
                          <w:jc w:val="left"/>
                          <w:rPr>
                            <w:rFonts w:ascii="宋体" w:hAnsi="宋体" w:cs="宋体" w:eastAsia="宋体" w:hint="default"/>
                            <w:sz w:val="18"/>
                            <w:szCs w:val="18"/>
                          </w:rPr>
                        </w:pPr>
                        <w:r>
                          <w:rPr>
                            <w:rFonts w:ascii="宋体" w:hAnsi="宋体" w:cs="宋体" w:eastAsia="宋体" w:hint="default"/>
                            <w:sz w:val="18"/>
                            <w:szCs w:val="18"/>
                          </w:rPr>
                          <w:t>管理层于每年年度终了对企业合并所形成的商誉进 行减值测试。商誉的减值测试结果由管理层依据其聘 任的外部评估师编制的相关资产组可回收价值评估 报告进行确定。相关资产组的可收回金额按照预计未 来现金流量现值计算确定。折现现金流预测的编制涉 及运用重大判断和估计，特别是确定预测期增长率、 永续增长率、毛利率、折现率等。</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 w:right="2"/>
                          <w:jc w:val="left"/>
                          <w:rPr>
                            <w:rFonts w:ascii="宋体" w:hAnsi="宋体" w:cs="宋体" w:eastAsia="宋体" w:hint="default"/>
                            <w:sz w:val="18"/>
                            <w:szCs w:val="18"/>
                          </w:rPr>
                        </w:pPr>
                        <w:r>
                          <w:rPr>
                            <w:rFonts w:ascii="宋体" w:hAnsi="宋体" w:cs="宋体" w:eastAsia="宋体" w:hint="default"/>
                            <w:sz w:val="18"/>
                            <w:szCs w:val="18"/>
                          </w:rPr>
                          <w:t>由于商誉减值测试过程较为复杂，同时涉及重大管理 层判断，我们将商誉减值确定为关键审计事项。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与评价收入确认相关的审计程序中包括以下程序：</w:t>
                        </w:r>
                      </w:p>
                      <w:p>
                        <w:pPr>
                          <w:pStyle w:val="TableParagraph"/>
                          <w:spacing w:line="309" w:lineRule="auto" w:before="115"/>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、我们评估及测试了与商誉减值测试相关的内部控 制的设计及执行有效性，包括关键假设的采用及减 值计提金额的复核及审批；</w:t>
                        </w:r>
                      </w:p>
                      <w:p>
                        <w:pPr>
                          <w:pStyle w:val="TableParagraph"/>
                          <w:spacing w:line="302"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、评价管理层聘请的外部评估机构专家的胜任能 力、专业素质和客观性；</w:t>
                        </w:r>
                      </w:p>
                      <w:p>
                        <w:pPr>
                          <w:pStyle w:val="TableParagraph"/>
                          <w:spacing w:line="302"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、通过参考行业惯例，评估了管理层进行现金流量 预测时使用的估值方法的适当性；</w:t>
                        </w:r>
                      </w:p>
                      <w:p>
                        <w:pPr>
                          <w:pStyle w:val="TableParagraph"/>
                          <w:spacing w:line="309"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、通过将收入增长率、永续增长率和成本上涨等关 键输入值与过往业绩进行比较，审慎评价编制折现 现金流预测中采用的关键假设及判断；</w:t>
                        </w:r>
                      </w:p>
                      <w:p>
                        <w:pPr>
                          <w:pStyle w:val="TableParagraph"/>
                          <w:spacing w:line="312"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、与管理层聘请的外部评估机构专家等讨论商誉减 值测试过程中所使用的方法、关键评估的假设、参 数的选择、预测未来收入及现金流折现率等的合理 性；</w:t>
                        </w:r>
                      </w:p>
                      <w:p>
                        <w:pPr>
                          <w:pStyle w:val="TableParagraph"/>
                          <w:spacing w:line="312"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、利用其他外部评估专家的工作，基于企业会计准 则的要求，评价管理层聘请的外部评估机构专家在 评估资产组可回收价值时采用的方法、假设和关键 参数；</w:t>
                        </w:r>
                      </w:p>
                      <w:p>
                        <w:pPr>
                          <w:pStyle w:val="TableParagraph"/>
                          <w:spacing w:line="309" w:lineRule="auto" w:before="61"/>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、通过对比上一年度的预测和本年度的业绩进行追 溯性审核，以评估管理层预测过程的可靠性和历史 准确性；</w:t>
                        </w:r>
                      </w:p>
                      <w:p>
                        <w:pPr>
                          <w:pStyle w:val="TableParagraph"/>
                          <w:spacing w:line="302" w:lineRule="auto" w:before="64"/>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、检查与商誉减值相关的信息是否已在财务报表中 作出恰当列报和披露。</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1032"/>
        <w:jc w:val="left"/>
      </w:pPr>
      <w:r>
        <w:rPr/>
        <w:t>其他信息</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2"/>
        <w:jc w:val="left"/>
      </w:pPr>
      <w:r>
        <w:rPr/>
        <w:t>华峰超纤管理层（以下简称管理层）对其他信息负责。其他信息包括华峰超纤</w:t>
      </w:r>
      <w:r>
        <w:rPr>
          <w:spacing w:val="-45"/>
        </w:rPr>
        <w:t> </w:t>
      </w:r>
      <w:r>
        <w:rPr>
          <w:rFonts w:ascii="Times New Roman" w:hAnsi="Times New Roman" w:cs="Times New Roman" w:eastAsia="Times New Roman" w:hint="default"/>
        </w:rPr>
        <w:t>2018 </w:t>
      </w:r>
      <w:r>
        <w:rPr/>
        <w:t>年年度报告中涵盖的信息，但不包括财 务报表和我们的审计报告。</w:t>
      </w:r>
    </w:p>
    <w:p>
      <w:pPr>
        <w:pStyle w:val="BodyText"/>
        <w:spacing w:line="338" w:lineRule="auto" w:before="69"/>
        <w:ind w:right="103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6"/>
        </w:rPr>
        <w:t> </w:t>
      </w:r>
      <w:r>
        <w:rPr>
          <w:spacing w:val="-66"/>
        </w:rPr>
      </w:r>
      <w:r>
        <w:rPr/>
        <w:t>了解到的情况存在重大不一致或者似乎存在重大错报。</w:t>
      </w:r>
    </w:p>
    <w:p>
      <w:pPr>
        <w:pStyle w:val="BodyText"/>
        <w:spacing w:line="240" w:lineRule="auto" w:before="42"/>
        <w:ind w:right="1032"/>
        <w:jc w:val="left"/>
      </w:pPr>
      <w:r>
        <w:rPr>
          <w:spacing w:val="-4"/>
        </w:rPr>
        <w:t>基于我们已执行的工作，如果我们确定其他信息存在重大错报，我们应当报告该事实。在这方面，我们无任何事项需要报告。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1032"/>
        <w:jc w:val="left"/>
      </w:pPr>
      <w:r>
        <w:rPr/>
        <w:t>管理层和治理层对财务报表的责任</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338" w:lineRule="auto"/>
        <w:ind w:right="1032"/>
        <w:jc w:val="left"/>
      </w:pPr>
      <w:r>
        <w:rPr>
          <w:spacing w:val="-2"/>
        </w:rPr>
        <w:t>管理层负责按照企业会计准则的规定编制财务报表，使其实现公允反映，并设计、执行和维护必要的内部控制，以使财务报</w:t>
      </w:r>
      <w:r>
        <w:rPr>
          <w:spacing w:val="-66"/>
        </w:rPr>
        <w:t> </w:t>
      </w:r>
      <w:r>
        <w:rPr>
          <w:spacing w:val="-66"/>
        </w:rPr>
      </w:r>
      <w:r>
        <w:rPr/>
        <w:t>表不存在由于舞弊或错误导致的重大错报。 </w:t>
      </w:r>
      <w:r>
        <w:rPr>
          <w:spacing w:val="-2"/>
        </w:rPr>
        <w:t>在编制财务报表时，管理层负责评估华峰超纤的持续经营能力，披露与持续经营相关的事项（如适用），并运用持续经营假</w:t>
      </w:r>
    </w:p>
    <w:p>
      <w:pPr>
        <w:pStyle w:val="BodyText"/>
        <w:spacing w:line="357" w:lineRule="auto" w:before="4"/>
        <w:ind w:right="6072"/>
        <w:jc w:val="left"/>
      </w:pPr>
      <w:r>
        <w:rPr/>
        <w:t>设，除非计划进行清算、终止运营或别无其他现实的选择。 治理层负责监督华峰超纤的财务报告过程。</w:t>
      </w:r>
    </w:p>
    <w:p>
      <w:pPr>
        <w:spacing w:line="240" w:lineRule="auto" w:before="0"/>
        <w:rPr>
          <w:rFonts w:ascii="宋体" w:hAnsi="宋体" w:cs="宋体" w:eastAsia="宋体" w:hint="default"/>
          <w:sz w:val="18"/>
          <w:szCs w:val="18"/>
        </w:rPr>
      </w:pPr>
    </w:p>
    <w:p>
      <w:pPr>
        <w:pStyle w:val="BodyText"/>
        <w:spacing w:line="240" w:lineRule="auto" w:before="145"/>
        <w:ind w:right="1032"/>
        <w:jc w:val="left"/>
      </w:pPr>
      <w:r>
        <w:rPr/>
        <w:t>注册会计师对财务报表审计的责任</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319" w:lineRule="auto"/>
        <w:ind w:right="1032"/>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58"/>
        <w:ind w:right="1032"/>
        <w:jc w:val="left"/>
      </w:pPr>
      <w:r>
        <w:rPr/>
        <w:t>在按照审计准则执行审计工作的过程中，我们运用职业判断，并保持职业怀疑。同时，我们也执行以下工作：</w:t>
      </w:r>
    </w:p>
    <w:p>
      <w:pPr>
        <w:pStyle w:val="BodyText"/>
        <w:spacing w:line="309" w:lineRule="auto" w:before="115"/>
        <w:ind w:right="113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64"/>
        <w:ind w:right="1032"/>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3"/>
        <w:ind w:right="1032"/>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1"/>
        <w:ind w:right="1132"/>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）对管理层使用持续经营假设的恰当性得出结论。同时，根据获取的审计证据，就可能导致对华峰超纤持续经营能力产 </w:t>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6"/>
        </w:rPr>
        <w:t> </w:t>
      </w:r>
      <w:r>
        <w:rPr>
          <w:spacing w:val="-66"/>
        </w:rPr>
      </w:r>
      <w:r>
        <w:rPr/>
        <w:t>至审计报告日可获得的信息。然而，未来的事项或情况可能导致华峰超纤不能持续经营。</w:t>
      </w:r>
    </w:p>
    <w:p>
      <w:pPr>
        <w:pStyle w:val="BodyText"/>
        <w:spacing w:line="240" w:lineRule="auto" w:before="62"/>
        <w:ind w:right="1032"/>
        <w:jc w:val="left"/>
      </w:pPr>
      <w:r>
        <w:rPr/>
        <w:t>（</w:t>
      </w:r>
      <w:r>
        <w:rPr>
          <w:rFonts w:ascii="Times New Roman" w:hAnsi="Times New Roman" w:cs="Times New Roman" w:eastAsia="Times New Roman" w:hint="default"/>
        </w:rPr>
        <w:t>5</w:t>
      </w:r>
      <w:r>
        <w:rPr/>
        <w:t>）评价财务报表的总体列报、结构和内容（包括披露</w:t>
      </w:r>
      <w:r>
        <w:rPr>
          <w:spacing w:val="-90"/>
        </w:rPr>
        <w:t>）</w:t>
      </w:r>
      <w:r>
        <w:rPr/>
        <w:t>，并评价财务报表是否公允反映相关交易和事项。</w:t>
      </w:r>
    </w:p>
    <w:p>
      <w:pPr>
        <w:pStyle w:val="BodyText"/>
        <w:spacing w:line="302" w:lineRule="auto" w:before="102"/>
        <w:ind w:right="1122"/>
        <w:jc w:val="left"/>
      </w:pPr>
      <w:r>
        <w:rPr/>
        <w:t>（</w:t>
      </w:r>
      <w:r>
        <w:rPr>
          <w:rFonts w:ascii="Times New Roman" w:hAnsi="Times New Roman" w:cs="Times New Roman" w:eastAsia="Times New Roman" w:hint="default"/>
        </w:rPr>
        <w:t>6</w:t>
      </w:r>
      <w:r>
        <w:rPr/>
        <w:t>）就华峰超纤中实体或业务活动的财务信息获取充分、适当的审计证据，以对财务报表发表审计意见。我们负责指导、 监督和执行集团审计，并对审计意见承担全部责任。</w:t>
      </w:r>
    </w:p>
    <w:p>
      <w:pPr>
        <w:pStyle w:val="BodyText"/>
        <w:spacing w:line="338" w:lineRule="auto" w:before="68"/>
        <w:ind w:right="1032"/>
        <w:jc w:val="left"/>
      </w:pP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p>
    <w:p>
      <w:pPr>
        <w:pStyle w:val="BodyText"/>
        <w:spacing w:line="338" w:lineRule="auto" w:before="4"/>
        <w:ind w:right="1032"/>
        <w:jc w:val="left"/>
      </w:pPr>
      <w:r>
        <w:rPr>
          <w:spacing w:val="-5"/>
        </w:rPr>
        <w:t>系和其他事项，以及相关的防范措施（如适用）。</w:t>
      </w:r>
      <w:r>
        <w:rPr>
          <w:spacing w:val="-70"/>
        </w:rPr>
        <w:t> </w:t>
      </w:r>
      <w:r>
        <w:rPr>
          <w:spacing w:val="-70"/>
        </w:rPr>
      </w:r>
      <w:r>
        <w:rPr>
          <w:spacing w:val="-2"/>
        </w:rPr>
        <w:t>从与治理层沟通过的事项中，我们确定哪些事项对本期财务报表审计最为重要，因而构成关键审计事项。我们在审计报告中</w:t>
      </w:r>
      <w:r>
        <w:rPr>
          <w:spacing w:val="-65"/>
        </w:rPr>
        <w:t> </w:t>
      </w:r>
      <w:r>
        <w:rPr>
          <w:spacing w:val="-65"/>
        </w:rPr>
      </w:r>
      <w:r>
        <w:rPr>
          <w:spacing w:val="-2"/>
        </w:rPr>
        <w:t>描述这些事项，除非法律法规禁止公开披露这些事项，或在极少数情形下，如果合理预期在审计报告中沟通某事项造成的负</w:t>
      </w:r>
    </w:p>
    <w:p>
      <w:pPr>
        <w:pStyle w:val="BodyText"/>
        <w:spacing w:line="240" w:lineRule="auto" w:before="4"/>
        <w:ind w:right="1032"/>
        <w:jc w:val="left"/>
      </w:pPr>
      <w:r>
        <w:rPr/>
        <w:t>面后果超过在公众利益方面产生的益处，我们确定不应在审计报告中沟通该事项。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1032"/>
        <w:jc w:val="left"/>
        <w:rPr>
          <w:b w:val="0"/>
          <w:bCs w:val="0"/>
        </w:rPr>
      </w:pPr>
      <w:bookmarkStart w:name="二、财务报表" w:id="156"/>
      <w:bookmarkEnd w:id="156"/>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t>编制单位：上海华峰超纤材料股份有限公司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3"/>
              <w:jc w:val="right"/>
              <w:rPr>
                <w:rFonts w:ascii="宋体" w:hAnsi="宋体" w:cs="宋体" w:eastAsia="宋体" w:hint="default"/>
                <w:sz w:val="18"/>
                <w:szCs w:val="18"/>
              </w:rPr>
            </w:pPr>
            <w:r>
              <w:rPr>
                <w:rFonts w:ascii="宋体" w:hAnsi="宋体" w:cs="宋体" w:eastAsia="宋体" w:hint="default"/>
                <w:sz w:val="18"/>
                <w:szCs w:val="18"/>
              </w:rPr>
              <w:t>现金及存放中央银行款项</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316,788,918.80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303,846,223.57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贵金属</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79,195,735.70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633,254,813.03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431,076,952.95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231,133,972.94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149,980,774.31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402,120,840.09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281,096,178.64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67,037,976.60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42,020,877.12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69,417,403.15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83,557,350.15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50,752.41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486,753,017.34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464,157,537.19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3"/>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392,843,413.36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416,553,624.38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2,045,291,277.98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1,741,212,565.36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21,254,140.92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10,752,070.41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9,168,279.25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7,171,268.81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3,100,324,727.22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2,292,372,679.07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177,412,312.83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291,968,437.54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320,156,093.00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311,392,790.54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1,648,888,850.68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1,733,150,150.68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10,255,680.35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4,152,375.24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37,721,293.32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57,171,749.63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157,701,835.16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171,717,771.24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5,494,283,212.73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4,879,849,293.16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7,539,574,490.71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6,621,061,858.52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597,511,960.78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602,086,000.00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同业及其他金融机构存放款项</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3,518,534.90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395,398,803.86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449,753,831.11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52,528,861.66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44,724,189.25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41,538,214.27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62,040,249.54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20,098,331.13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12,187,595.58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410,353,272.90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100,306,673.47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1,041,797.79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3,027,900.74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1,561,294,444.60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1,274,617,073.85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268,325,000.00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206,060,611.93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207,582,158.60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11,879,360.36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842,399,972.29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476,307,158.60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2,403,694,416.89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1,750,924,232.45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1,135,835,710.00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631,019,839.00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2,819,656,448.92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3,324,472,319.92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342,118.85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108,796,789.78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89,221,946.68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1,064,757,987.89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820,462,519.05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5,129,389,055.44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4,864,742,156.12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6,491,018.38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5,395,469.95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5,135,880,073.82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4,870,137,626.07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7,539,574,490.71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6,621,061,858.52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法定代表人：尤小平</w:t>
        <w:tab/>
        <w:t>主管会计工作负责人：蔡开成</w:t>
        <w:tab/>
        <w:t>会计机构负责人：蔡开成</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02"/>
        <w:gridCol w:w="2983"/>
        <w:gridCol w:w="2973"/>
      </w:tblGrid>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现金及存放中央银行款项</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66,250,854.42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121,308,155.23</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贵金属</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79,195,735.70</w:t>
            </w: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404,011,968.88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270,961,611.84</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28,667,943.43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22,149,690.76</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375,344,025.45</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248,811,921.08</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13,974,711.41</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18,554,129.14</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313,715,296.03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270,990,854.50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602"/>
        <w:gridCol w:w="2983"/>
        <w:gridCol w:w="2973"/>
      </w:tblGrid>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272,466,362.17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281,034,243.70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1,150,114,928.61</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962,848,994.41</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3,550,005,885.95</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3,550,000,000.00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587,686,543.82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649,728,510.95</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12,499,940.13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4,585,310.60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59,384,617.58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59,770,626.98</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2,292,633.69</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2,300,508.33</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1,491,693.47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20,235,382.79</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4,613,361,314.64</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4,286,620,339.65</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5,763,476,243.25</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5,249,469,334.06</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322,086,000.00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同业及其他金融机构存放款项</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602"/>
        <w:gridCol w:w="2983"/>
        <w:gridCol w:w="2973"/>
      </w:tblGrid>
      <w:tr>
        <w:trPr>
          <w:trHeight w:val="36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3,518,534.90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87,112,050.77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106,140,113.67</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17,247,108.51</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24,030,856.08</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22,046,067.57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19,596,251.30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12,812,896.28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5,271,234.85</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8,510,495.04</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2,385,517.57</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417,728,618.17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483,028,508.37</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11,879,360.36</w:t>
            </w: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20,125,000.00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16,895,000.00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432,004,360.36</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16,895,000.00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849,732,978.53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499,923,508.37</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1,135,835,710.00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631,019,839.00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2,817,930,648.92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3,322,746,519.92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624"/>
        <w:gridCol w:w="2972"/>
        <w:gridCol w:w="2973"/>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108,796,789.78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89,221,946.68</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851,180,116.02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706,557,520.09</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4,913,743,264.72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4,749,545,825.69</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5,763,476,243.25</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5,249,469,334.06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02"/>
        <w:gridCol w:w="2983"/>
        <w:gridCol w:w="2973"/>
      </w:tblGrid>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3,065,127,058.50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2,505,593,912.49</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3,065,127,058.50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2,505,593,912.49</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2,813,057,133.93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2,229,615,297.65</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2,250,235,443.12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1,839,322,136.26</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14,695,908.63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11,541,853.42</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62,073,736.07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49,533,616.69</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202,420,674.62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165,427,248.45</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140,104,207.57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118,333,115.40</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39,964,712.89</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30,483,884.74</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44,843,347.70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20,392,970.69</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1,496,043.00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1,030,641.47</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103,562,451.03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14,973,442.69</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624"/>
        <w:gridCol w:w="2972"/>
        <w:gridCol w:w="2973"/>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29,898,426.67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22,686,851.60</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6,386,958.95</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-3,522,433.87</w:t>
            </w: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-1,874,884.56</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-2,570,655.56</w:t>
            </w: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9"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以摊余成本计量的金融资产终 止确认产生的收益（损失以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82,714,270.60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-3,518,534.90</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-67,879.92</w:t>
            </w:r>
            <w:r>
              <w:rPr>
                <w:rFonts w:ascii="Times New Roman"/>
                <w:sz w:val="18"/>
              </w:rPr>
            </w: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371,001,700.87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291,624,497.67</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729,000.17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800,191.42</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1,108,188.76</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816,383.29</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370,622,512.28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291,608,305.80</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69,107,822.46</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35,803,213.33</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301,514,689.82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255,805,092.47</w:t>
            </w: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3" w:firstLine="356"/>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301,514,689.82</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255,805,092.47</w:t>
            </w: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3" w:firstLine="356"/>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295,421,303.89</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249,291,729.69</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6,093,385.93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6,513,362.78</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776,587.38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 净额</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776,587.38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1"/>
                <w:w w:val="95"/>
                <w:sz w:val="18"/>
                <w:szCs w:val="18"/>
              </w:rPr>
              <w:t>（一）不能重分类进损益的其他综合收益</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其他权益工具投资公允价值变动</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企业自身信用风险公允价值变动</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776,587.38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权益法下可转损益的其他综合收</w:t>
            </w:r>
          </w:p>
        </w:tc>
        <w:tc>
          <w:tcPr>
            <w:tcW w:w="2972" w:type="dxa"/>
            <w:tcBorders>
              <w:top w:val="single" w:sz="4" w:space="0" w:color="000000"/>
              <w:left w:val="single" w:sz="4" w:space="0" w:color="000000"/>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602"/>
        <w:gridCol w:w="2983"/>
        <w:gridCol w:w="2973"/>
      </w:tblGrid>
      <w:tr>
        <w:trPr>
          <w:trHeight w:val="36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其他债权投资公允价值变动</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 售金融资产损益</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其他债权投资信用减值准备</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776,587.38</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8"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 额</w:t>
            </w:r>
          </w:p>
        </w:tc>
        <w:tc>
          <w:tcPr>
            <w:tcW w:w="2983" w:type="dxa"/>
            <w:tcBorders>
              <w:top w:val="single" w:sz="4" w:space="0" w:color="000000"/>
              <w:left w:val="single" w:sz="13" w:space="0" w:color="D2D2D2"/>
              <w:bottom w:val="single" w:sz="4" w:space="0" w:color="000000"/>
              <w:right w:val="single" w:sz="4" w:space="0" w:color="000000"/>
            </w:tcBorders>
          </w:tcPr>
          <w:p>
            <w:pPr/>
          </w:p>
        </w:tc>
        <w:tc>
          <w:tcPr>
            <w:tcW w:w="29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302,291,277.20</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255,370,623.94</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8"/>
              <w:jc w:val="righ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296,197,891.27</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248,857,261.16</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6,093,385.93</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6,513,362.78</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9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2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法定代表人：尤小平</w:t>
        <w:tab/>
        <w:t>主管会计工作负责人：蔡开成</w:t>
        <w:tab/>
        <w:t>会计机构负责人：蔡开成 </w:t>
      </w:r>
      <w:bookmarkStart w:name="4、母公司利润表" w:id="160"/>
      <w:bookmarkEnd w:id="1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68"/>
        <w:gridCol w:w="3033"/>
        <w:gridCol w:w="2856"/>
      </w:tblGrid>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1,350,662,255.88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1,466,570,026.16</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1,076,552,512.34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1,165,784,872.10</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3,201,616.84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1,799,711.33</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35,517,539.88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27,618,031.03</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83,548,795.14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80,722,769.99</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42,448,908.07</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49,326,713.18</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7,452,836.01</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23,019,341.04</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4"/>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12,595,887.95</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13,212,277.72</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84"/>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395,078.66</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650,388.28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41.460007pt;margin-top:223.72998pt;width:149.450pt;height:20.8pt;mso-position-horizontal-relative:page;mso-position-vertical-relative:page;z-index:-946504" coordorigin="4829,4475" coordsize="2989,416">
            <v:group style="position:absolute;left:4841;top:4486;width:2;height:393" coordorigin="4841,4486" coordsize="2,393">
              <v:shape style="position:absolute;left:4841;top:4486;width:2;height:393" coordorigin="4841,4486" coordsize="0,393" path="m4841,4486l4841,4878e" filled="false" stroked="true" strokeweight="1.140pt" strokecolor="#ffffff">
                <v:path arrowok="t"/>
              </v:shape>
            </v:group>
            <v:group style="position:absolute;left:4852;top:4486;width:2966;height:393" coordorigin="4852,4486" coordsize="2966,393">
              <v:shape style="position:absolute;left:4852;top:4486;width:2966;height:393" coordorigin="4852,4486" coordsize="2966,393" path="m4852,4878l7818,4878,7818,4486,4852,4486,4852,487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679"/>
        <w:gridCol w:w="3033"/>
        <w:gridCol w:w="2856"/>
      </w:tblGrid>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5,803,796.30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1,866,035.05</w:t>
            </w: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11,322,000.00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3,398,216.00</w:t>
            </w: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29,978,010.00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-5,038,810.35</w:t>
            </w:r>
          </w:p>
        </w:tc>
      </w:tr>
      <w:tr>
        <w:trPr>
          <w:trHeight w:val="714"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-194,114.05</w:t>
            </w: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4"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 确认产生的收益（损失以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82,714,270.60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-3,518,534.90</w:t>
            </w: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43,864.15</w:t>
            </w: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220,194,396.05</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111,273,423.19</w:t>
            </w: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633,387.96</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508,060.70</w:t>
            </w: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875,249.83</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309,309.58</w:t>
            </w: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219,952,534.18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111,472,174.31</w:t>
            </w: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24,204,103.20</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13,289,584.76</w:t>
            </w: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195,748,430.98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98,182,589.55</w:t>
            </w:r>
          </w:p>
        </w:tc>
      </w:tr>
      <w:tr>
        <w:trPr>
          <w:trHeight w:val="714"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6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195,748,430.98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98,182,589.55</w:t>
            </w:r>
          </w:p>
        </w:tc>
      </w:tr>
      <w:tr>
        <w:trPr>
          <w:trHeight w:val="714"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6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4"/>
              <w:jc w:val="righ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其他权益工具投资公允价值变动</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企业自身信用风险公允价值变动</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668"/>
        <w:gridCol w:w="3033"/>
        <w:gridCol w:w="2856"/>
      </w:tblGrid>
      <w:tr>
        <w:trPr>
          <w:trHeight w:val="714"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 售金融资产损益</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0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68" w:right="0"/>
              <w:jc w:val="left"/>
              <w:rPr>
                <w:rFonts w:ascii="Times New Roman" w:hAnsi="Times New Roman" w:cs="Times New Roman" w:eastAsia="Times New Roman" w:hint="default"/>
                <w:sz w:val="18"/>
                <w:szCs w:val="18"/>
              </w:rPr>
            </w:pPr>
            <w:r>
              <w:rPr>
                <w:rFonts w:ascii="Times New Roman"/>
                <w:sz w:val="18"/>
              </w:rPr>
              <w:t>195,748,430.98</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9" w:right="0"/>
              <w:jc w:val="left"/>
              <w:rPr>
                <w:rFonts w:ascii="Times New Roman" w:hAnsi="Times New Roman" w:cs="Times New Roman" w:eastAsia="Times New Roman" w:hint="default"/>
                <w:sz w:val="18"/>
                <w:szCs w:val="18"/>
              </w:rPr>
            </w:pPr>
            <w:r>
              <w:rPr>
                <w:rFonts w:ascii="Times New Roman"/>
                <w:sz w:val="18"/>
              </w:rPr>
              <w:t>98,182,589.55</w:t>
            </w: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0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033" w:type="dxa"/>
            <w:tcBorders>
              <w:top w:val="single" w:sz="4" w:space="0" w:color="000000"/>
              <w:left w:val="single" w:sz="9" w:space="0" w:color="D2D2D2"/>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1,725,910,628.36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1,682,637,673.48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19,585,290.17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14,559,767.51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56,835,090.37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14,415,195.42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1,802,331,008.90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1,711,612,636.41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1,031,870,416.10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1,054,189,017.29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为交易目的而持有的金融资产净 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返售业务资金净增加额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367,237,000.29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259,981,642.29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83,784,034.25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70,661,948.50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210,768,747.12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148,520,751.16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1,693,660,197.76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1,533,353,359.24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108,670,811.14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178,259,277.17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1,496,828,105.00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1,023,087,032.04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10,089,719.46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154,337.44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1,578,780.93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1,509,172,161.90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1,031,165,812.97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683,619,421.11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459,117,866.74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1,461,202,070.51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1,138,875,000.00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155,028,232.09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11,900,931.32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69,845,353.56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2,156,722,422.94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1,822,866,452.39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-647,550,261.04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-791,700,639.42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239,105,026.36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853,086,000.00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1,153,716,885.00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325,020,500.00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2,011,341,885.00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1,417,211,526.36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889,711,000.00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421,320,500.00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101,621,621.60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49,337,430.33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4,997,837.50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397,998,946.35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203,414,603.56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1,389,331,567.95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674,072,533.89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622,010,317.05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743,138,992.47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4,637,091.96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-8,625,185.46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87,767,959.11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121,072,444.76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222,991,193.57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101,918,748.81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310,759,152.68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222,991,193.57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986,749,276.63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1,193,194,783.63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18,490,187.75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14,373,282.57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24,167,531.58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2,540,622.49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1,029,406,995.96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1,210,108,688.69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575,636,157.95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831,477,956.67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为交易目的而持有的金融资产净 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返售业务资金净增加额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129,395,749.97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124,856,235.10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17,217,343.70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29,436,027.83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85,489,022.50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78,793,394.42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807,738,274.12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1,064,563,614.02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221,668,721.84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145,545,074.67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128,248.73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4,321,413.70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570,243,083.38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169,233,044.96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602,371,332.11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173,554,458.66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16,015,841.53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49,891,072.06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291,150,309.38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1,168,877,752.60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329,314,959.48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1,185,093,594.13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670,356,340.92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-582,722,262.02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-496,801,882.26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239,105,026.36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377,086,000.00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520,716,885.00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115,020,500.00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848,341,885.00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731,211,526.36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379,711,000.00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285,020,500.00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45,380,405.64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26,446,451.50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63,091,885.00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483,216,405.64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374,558,836.50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365,125,479.36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356,652,689.86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3,925,790.01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-8,188,643.17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7,997,729.19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-2,792,760.90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58,253,125.23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61,045,886.13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66,250,854.42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58,253,125.23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8"/>
        <w:gridCol w:w="468"/>
        <w:gridCol w:w="582"/>
        <w:gridCol w:w="585"/>
        <w:gridCol w:w="584"/>
        <w:gridCol w:w="583"/>
        <w:gridCol w:w="583"/>
        <w:gridCol w:w="584"/>
        <w:gridCol w:w="585"/>
        <w:gridCol w:w="583"/>
        <w:gridCol w:w="584"/>
        <w:gridCol w:w="584"/>
        <w:gridCol w:w="577"/>
      </w:tblGrid>
      <w:tr>
        <w:trPr>
          <w:trHeight w:val="402"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832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95" w:hRule="exact"/>
        </w:trPr>
        <w:tc>
          <w:tcPr>
            <w:tcW w:w="1230" w:type="dxa"/>
            <w:vMerge/>
            <w:tcBorders>
              <w:left w:val="single" w:sz="4" w:space="0" w:color="000000"/>
              <w:right w:val="single" w:sz="4" w:space="0" w:color="000000"/>
            </w:tcBorders>
            <w:shd w:val="clear" w:color="auto" w:fill="D2D2D2"/>
          </w:tcPr>
          <w:p>
            <w:pPr/>
          </w:p>
        </w:tc>
        <w:tc>
          <w:tcPr>
            <w:tcW w:w="7161"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7161" w:type="dxa"/>
            <w:gridSpan w:val="13"/>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7161" w:type="dxa"/>
            <w:gridSpan w:val="13"/>
            <w:vMerge/>
            <w:tcBorders>
              <w:left w:val="single" w:sz="4" w:space="0" w:color="000000"/>
              <w:bottom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6"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7" w:type="dxa"/>
            <w:vMerge/>
            <w:tcBorders>
              <w:left w:val="single" w:sz="4" w:space="0" w:color="000000"/>
              <w:right w:val="single" w:sz="4" w:space="0" w:color="000000"/>
            </w:tcBorders>
            <w:shd w:val="clear" w:color="auto" w:fill="D2D2D2"/>
          </w:tcPr>
          <w:p>
            <w:pPr/>
          </w:p>
        </w:tc>
      </w:tr>
      <w:tr>
        <w:trPr>
          <w:trHeight w:val="206" w:hRule="exact"/>
        </w:trPr>
        <w:tc>
          <w:tcPr>
            <w:tcW w:w="12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5"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6"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6"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6" w:right="10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r>
      <w:tr>
        <w:trPr>
          <w:trHeight w:val="164"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5" w:right="104"/>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8" w:right="20"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6" w:right="10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6" w:right="10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tcBorders>
              <w:left w:val="single" w:sz="4" w:space="0" w:color="000000"/>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r>
      <w:tr>
        <w:trPr>
          <w:trHeight w:val="192" w:hRule="exact"/>
        </w:trPr>
        <w:tc>
          <w:tcPr>
            <w:tcW w:w="1230" w:type="dxa"/>
            <w:vMerge w:val="restart"/>
            <w:tcBorders>
              <w:top w:val="nil" w:sz="6" w:space="0" w:color="auto"/>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138" w:right="4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139" w:right="4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2" w:type="dxa"/>
            <w:vMerge/>
            <w:tcBorders>
              <w:left w:val="single" w:sz="4" w:space="0" w:color="000000"/>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r>
      <w:tr>
        <w:trPr>
          <w:trHeight w:val="191"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2" w:type="dxa"/>
            <w:vMerge/>
            <w:tcBorders>
              <w:left w:val="single" w:sz="4" w:space="0" w:color="000000"/>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r>
      <w:tr>
        <w:trPr>
          <w:trHeight w:val="134"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2" w:type="dxa"/>
            <w:vMerge/>
            <w:tcBorders>
              <w:left w:val="single" w:sz="4" w:space="0" w:color="000000"/>
              <w:bottom w:val="nil" w:sz="6" w:space="0" w:color="auto"/>
              <w:right w:val="single" w:sz="4" w:space="0" w:color="000000"/>
            </w:tcBorders>
            <w:shd w:val="clear" w:color="auto" w:fill="D2D2D2"/>
          </w:tcPr>
          <w:p>
            <w:pPr/>
          </w:p>
        </w:tc>
        <w:tc>
          <w:tcPr>
            <w:tcW w:w="585"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r>
      <w:tr>
        <w:trPr>
          <w:trHeight w:val="123"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2" w:type="dxa"/>
            <w:vMerge w:val="restart"/>
            <w:tcBorders>
              <w:top w:val="nil" w:sz="6" w:space="0" w:color="auto"/>
              <w:left w:val="single" w:sz="4" w:space="0" w:color="000000"/>
              <w:right w:val="single" w:sz="4" w:space="0" w:color="000000"/>
            </w:tcBorders>
            <w:shd w:val="clear" w:color="auto" w:fill="D2D2D2"/>
          </w:tcPr>
          <w:p>
            <w:pPr/>
          </w:p>
        </w:tc>
        <w:tc>
          <w:tcPr>
            <w:tcW w:w="585"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5"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r>
      <w:tr>
        <w:trPr>
          <w:trHeight w:val="95"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2" w:type="dxa"/>
            <w:vMerge/>
            <w:tcBorders>
              <w:left w:val="single" w:sz="4" w:space="0" w:color="000000"/>
              <w:bottom w:val="single" w:sz="4" w:space="0" w:color="000000"/>
              <w:right w:val="single" w:sz="4" w:space="0" w:color="000000"/>
            </w:tcBorders>
            <w:shd w:val="clear" w:color="auto" w:fill="D2D2D2"/>
          </w:tcPr>
          <w:p>
            <w:pPr/>
          </w:p>
        </w:tc>
        <w:tc>
          <w:tcPr>
            <w:tcW w:w="585"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5"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631,0</w:t>
            </w:r>
          </w:p>
          <w:p>
            <w:pPr>
              <w:pStyle w:val="TableParagraph"/>
              <w:spacing w:line="240" w:lineRule="auto" w:before="104"/>
              <w:ind w:left="59"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9.00</w:t>
            </w: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3,324,</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472,31</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9.92</w:t>
            </w:r>
          </w:p>
        </w:tc>
        <w:tc>
          <w:tcPr>
            <w:tcW w:w="585"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68.53</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,946.6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84" w:type="dxa"/>
            <w:vMerge w:val="restart"/>
            <w:tcBorders>
              <w:top w:val="single" w:sz="18" w:space="0" w:color="D2D2D2"/>
              <w:left w:val="single" w:sz="4" w:space="0" w:color="000000"/>
              <w:right w:val="single" w:sz="4" w:space="0" w:color="000000"/>
            </w:tcBorders>
          </w:tcPr>
          <w:p>
            <w:pPr/>
          </w:p>
        </w:tc>
        <w:tc>
          <w:tcPr>
            <w:tcW w:w="585" w:type="dxa"/>
            <w:vMerge w:val="restart"/>
            <w:tcBorders>
              <w:top w:val="single" w:sz="18" w:space="0" w:color="D2D2D2"/>
              <w:left w:val="single" w:sz="4" w:space="0" w:color="000000"/>
              <w:right w:val="single" w:sz="4" w:space="0" w:color="000000"/>
            </w:tcBorders>
          </w:tcPr>
          <w:p>
            <w:pPr>
              <w:pStyle w:val="TableParagraph"/>
              <w:spacing w:line="240" w:lineRule="auto" w:before="73"/>
              <w:ind w:left="56" w:right="0"/>
              <w:jc w:val="left"/>
              <w:rPr>
                <w:rFonts w:ascii="Times New Roman" w:hAnsi="Times New Roman" w:cs="Times New Roman" w:eastAsia="Times New Roman" w:hint="default"/>
                <w:sz w:val="18"/>
                <w:szCs w:val="18"/>
              </w:rPr>
            </w:pPr>
            <w:r>
              <w:rPr>
                <w:rFonts w:ascii="Times New Roman"/>
                <w:sz w:val="18"/>
              </w:rPr>
              <w:t>820,46</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2,519.</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05</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4,864,</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742,15</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6.12</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5,395,</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469.95</w:t>
            </w:r>
          </w:p>
        </w:tc>
        <w:tc>
          <w:tcPr>
            <w:tcW w:w="577" w:type="dxa"/>
            <w:vMerge w:val="restart"/>
            <w:tcBorders>
              <w:top w:val="single" w:sz="36" w:space="0" w:color="D2D2D2"/>
              <w:left w:val="single" w:sz="4" w:space="0" w:color="000000"/>
              <w:right w:val="single" w:sz="4" w:space="0" w:color="000000"/>
            </w:tcBorders>
          </w:tcPr>
          <w:p>
            <w:pPr>
              <w:pStyle w:val="TableParagraph"/>
              <w:spacing w:line="240" w:lineRule="auto" w:before="51"/>
              <w:ind w:left="72" w:right="0"/>
              <w:jc w:val="center"/>
              <w:rPr>
                <w:rFonts w:ascii="Times New Roman" w:hAnsi="Times New Roman" w:cs="Times New Roman" w:eastAsia="Times New Roman" w:hint="default"/>
                <w:sz w:val="18"/>
                <w:szCs w:val="18"/>
              </w:rPr>
            </w:pPr>
            <w:r>
              <w:rPr>
                <w:rFonts w:ascii="Times New Roman"/>
                <w:sz w:val="18"/>
              </w:rPr>
              <w:t>4,870,</w:t>
            </w:r>
          </w:p>
          <w:p>
            <w:pPr>
              <w:pStyle w:val="TableParagraph"/>
              <w:spacing w:line="240" w:lineRule="auto" w:before="104"/>
              <w:ind w:left="28" w:right="0"/>
              <w:jc w:val="center"/>
              <w:rPr>
                <w:rFonts w:ascii="Times New Roman" w:hAnsi="Times New Roman" w:cs="Times New Roman" w:eastAsia="Times New Roman" w:hint="default"/>
                <w:sz w:val="18"/>
                <w:szCs w:val="18"/>
              </w:rPr>
            </w:pPr>
            <w:r>
              <w:rPr>
                <w:rFonts w:ascii="Times New Roman"/>
                <w:sz w:val="18"/>
              </w:rPr>
              <w:t>137,62</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6.07</w:t>
            </w:r>
          </w:p>
        </w:tc>
      </w:tr>
      <w:tr>
        <w:trPr>
          <w:trHeight w:val="70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585"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5"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5"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5"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r>
      <w:tr>
        <w:trPr>
          <w:trHeight w:val="71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5"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8"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其他</w:t>
            </w:r>
          </w:p>
        </w:tc>
        <w:tc>
          <w:tcPr>
            <w:tcW w:w="505"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631,0</w:t>
            </w:r>
          </w:p>
          <w:p>
            <w:pPr>
              <w:pStyle w:val="TableParagraph"/>
              <w:spacing w:line="240" w:lineRule="auto" w:before="104"/>
              <w:ind w:left="59"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9.00</w:t>
            </w: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3,324,</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472,31</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9.92</w:t>
            </w:r>
          </w:p>
        </w:tc>
        <w:tc>
          <w:tcPr>
            <w:tcW w:w="585"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68.53</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,946.6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84" w:type="dxa"/>
            <w:vMerge w:val="restart"/>
            <w:tcBorders>
              <w:top w:val="single" w:sz="4" w:space="0" w:color="000000"/>
              <w:left w:val="single" w:sz="4" w:space="0" w:color="000000"/>
              <w:right w:val="single" w:sz="4" w:space="0" w:color="000000"/>
            </w:tcBorders>
          </w:tcPr>
          <w:p>
            <w:pPr/>
          </w:p>
        </w:tc>
        <w:tc>
          <w:tcPr>
            <w:tcW w:w="585" w:type="dxa"/>
            <w:vMerge w:val="restart"/>
            <w:tcBorders>
              <w:top w:val="single" w:sz="4" w:space="0" w:color="000000"/>
              <w:left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820,46</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2,519.</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05</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4,864,</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742,15</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6.12</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5,395,</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469.95</w:t>
            </w: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4,870,</w:t>
            </w:r>
          </w:p>
          <w:p>
            <w:pPr>
              <w:pStyle w:val="TableParagraph"/>
              <w:spacing w:line="240" w:lineRule="auto" w:before="104"/>
              <w:ind w:left="28" w:right="0"/>
              <w:jc w:val="center"/>
              <w:rPr>
                <w:rFonts w:ascii="Times New Roman" w:hAnsi="Times New Roman" w:cs="Times New Roman" w:eastAsia="Times New Roman" w:hint="default"/>
                <w:sz w:val="18"/>
                <w:szCs w:val="18"/>
              </w:rPr>
            </w:pPr>
            <w:r>
              <w:rPr>
                <w:rFonts w:ascii="Times New Roman"/>
                <w:sz w:val="18"/>
              </w:rPr>
              <w:t>137,62</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6.07</w:t>
            </w:r>
          </w:p>
        </w:tc>
      </w:tr>
      <w:tr>
        <w:trPr>
          <w:trHeight w:val="70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585"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5"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5"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5"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4"/>
              <w:ind w:left="55" w:right="0"/>
              <w:jc w:val="lef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4"/>
              <w:ind w:left="55" w:right="0"/>
              <w:jc w:val="left"/>
              <w:rPr>
                <w:rFonts w:ascii="Times New Roman" w:hAnsi="Times New Roman" w:cs="Times New Roman" w:eastAsia="Times New Roman" w:hint="default"/>
                <w:sz w:val="18"/>
                <w:szCs w:val="18"/>
              </w:rPr>
            </w:pPr>
            <w:r>
              <w:rPr>
                <w:rFonts w:ascii="Times New Roman"/>
                <w:sz w:val="18"/>
              </w:rPr>
              <w:t>15,871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.00</w:t>
            </w: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776,58</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7.38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,843.1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244,29</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5,468.</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84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264,64</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6,899.</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32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1,095,</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548.43</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265,74</w:t>
            </w:r>
          </w:p>
          <w:p>
            <w:pPr>
              <w:pStyle w:val="TableParagraph"/>
              <w:spacing w:line="240" w:lineRule="auto" w:before="104"/>
              <w:ind w:left="94" w:right="0"/>
              <w:jc w:val="left"/>
              <w:rPr>
                <w:rFonts w:ascii="Times New Roman" w:hAnsi="Times New Roman" w:cs="Times New Roman" w:eastAsia="Times New Roman" w:hint="default"/>
                <w:sz w:val="18"/>
                <w:szCs w:val="18"/>
              </w:rPr>
            </w:pPr>
            <w:r>
              <w:rPr>
                <w:rFonts w:ascii="Times New Roman"/>
                <w:sz w:val="18"/>
              </w:rPr>
              <w:t>2,447.</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75</w:t>
            </w: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
        </w:tc>
        <w:tc>
          <w:tcPr>
            <w:tcW w:w="585"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776,58</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7.38</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5" w:type="dxa"/>
            <w:vMerge w:val="restart"/>
            <w:tcBorders>
              <w:top w:val="single" w:sz="4" w:space="0" w:color="000000"/>
              <w:left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295,42</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1,303.</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89</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296,19</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7,891.</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27</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6,093,</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385.93</w:t>
            </w: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302,29</w:t>
            </w:r>
          </w:p>
          <w:p>
            <w:pPr>
              <w:pStyle w:val="TableParagraph"/>
              <w:spacing w:line="240" w:lineRule="auto" w:before="104"/>
              <w:ind w:left="94" w:right="0"/>
              <w:jc w:val="left"/>
              <w:rPr>
                <w:rFonts w:ascii="Times New Roman" w:hAnsi="Times New Roman" w:cs="Times New Roman" w:eastAsia="Times New Roman" w:hint="default"/>
                <w:sz w:val="18"/>
                <w:szCs w:val="18"/>
              </w:rPr>
            </w:pPr>
            <w:r>
              <w:rPr>
                <w:rFonts w:ascii="Times New Roman"/>
                <w:sz w:val="18"/>
              </w:rPr>
              <w:t>1,277.</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20</w:t>
            </w:r>
          </w:p>
        </w:tc>
      </w:tr>
      <w:tr>
        <w:trPr>
          <w:trHeight w:val="70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585"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5"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5"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5"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r>
      <w:tr>
        <w:trPr>
          <w:trHeight w:val="71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505"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05"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505"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3"/>
        <w:gridCol w:w="493"/>
        <w:gridCol w:w="466"/>
        <w:gridCol w:w="468"/>
        <w:gridCol w:w="468"/>
        <w:gridCol w:w="582"/>
        <w:gridCol w:w="585"/>
        <w:gridCol w:w="584"/>
        <w:gridCol w:w="583"/>
        <w:gridCol w:w="583"/>
        <w:gridCol w:w="584"/>
        <w:gridCol w:w="585"/>
        <w:gridCol w:w="583"/>
        <w:gridCol w:w="584"/>
        <w:gridCol w:w="584"/>
        <w:gridCol w:w="577"/>
      </w:tblGrid>
      <w:tr>
        <w:trPr>
          <w:trHeight w:val="67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38"/>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,843.1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-51,12</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5,835.</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05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-31,55</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0,991.</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95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837.50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-36,54</w:t>
            </w:r>
          </w:p>
          <w:p>
            <w:pPr>
              <w:pStyle w:val="TableParagraph"/>
              <w:spacing w:line="240" w:lineRule="auto" w:before="104"/>
              <w:ind w:left="94" w:right="0"/>
              <w:jc w:val="left"/>
              <w:rPr>
                <w:rFonts w:ascii="Times New Roman" w:hAnsi="Times New Roman" w:cs="Times New Roman" w:eastAsia="Times New Roman" w:hint="default"/>
                <w:sz w:val="18"/>
                <w:szCs w:val="18"/>
              </w:rPr>
            </w:pPr>
            <w:r>
              <w:rPr>
                <w:rFonts w:ascii="Times New Roman"/>
                <w:sz w:val="18"/>
              </w:rPr>
              <w:t>8,829.</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,843.1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-19,57</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4,843.</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10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-31,55</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0,991.</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95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-31,55</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0,991.</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95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837.50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-36,54</w:t>
            </w:r>
          </w:p>
          <w:p>
            <w:pPr>
              <w:pStyle w:val="TableParagraph"/>
              <w:spacing w:line="240" w:lineRule="auto" w:before="104"/>
              <w:ind w:left="94" w:right="0"/>
              <w:jc w:val="left"/>
              <w:rPr>
                <w:rFonts w:ascii="Times New Roman" w:hAnsi="Times New Roman" w:cs="Times New Roman" w:eastAsia="Times New Roman" w:hint="default"/>
                <w:sz w:val="18"/>
                <w:szCs w:val="18"/>
              </w:rPr>
            </w:pPr>
            <w:r>
              <w:rPr>
                <w:rFonts w:ascii="Times New Roman"/>
                <w:sz w:val="18"/>
              </w:rPr>
              <w:t>8,829.</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4"/>
              <w:ind w:left="55" w:right="0"/>
              <w:jc w:val="lef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4"/>
              <w:ind w:left="55" w:right="0"/>
              <w:jc w:val="left"/>
              <w:rPr>
                <w:rFonts w:ascii="Times New Roman" w:hAnsi="Times New Roman" w:cs="Times New Roman" w:eastAsia="Times New Roman" w:hint="default"/>
                <w:sz w:val="18"/>
                <w:szCs w:val="18"/>
              </w:rPr>
            </w:pPr>
            <w:r>
              <w:rPr>
                <w:rFonts w:ascii="Times New Roman"/>
                <w:sz w:val="18"/>
              </w:rPr>
              <w:t>15,871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.00</w:t>
            </w: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4"/>
              <w:ind w:left="55" w:right="0"/>
              <w:jc w:val="lef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-504,8</w:t>
            </w:r>
          </w:p>
          <w:p>
            <w:pPr>
              <w:pStyle w:val="TableParagraph"/>
              <w:spacing w:line="240" w:lineRule="auto" w:before="104"/>
              <w:ind w:left="55" w:right="0"/>
              <w:jc w:val="left"/>
              <w:rPr>
                <w:rFonts w:ascii="Times New Roman" w:hAnsi="Times New Roman" w:cs="Times New Roman" w:eastAsia="Times New Roman" w:hint="default"/>
                <w:sz w:val="18"/>
                <w:szCs w:val="18"/>
              </w:rPr>
            </w:pPr>
            <w:r>
              <w:rPr>
                <w:rFonts w:ascii="Times New Roman"/>
                <w:sz w:val="18"/>
              </w:rPr>
              <w:t>15,871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.00</w:t>
            </w: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3"/>
        <w:gridCol w:w="493"/>
        <w:gridCol w:w="466"/>
        <w:gridCol w:w="468"/>
        <w:gridCol w:w="468"/>
        <w:gridCol w:w="582"/>
        <w:gridCol w:w="585"/>
        <w:gridCol w:w="584"/>
        <w:gridCol w:w="583"/>
        <w:gridCol w:w="583"/>
        <w:gridCol w:w="584"/>
        <w:gridCol w:w="585"/>
        <w:gridCol w:w="583"/>
        <w:gridCol w:w="584"/>
        <w:gridCol w:w="584"/>
        <w:gridCol w:w="577"/>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1,135</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710.0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2,819,</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656,44</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8.92</w:t>
            </w:r>
          </w:p>
        </w:tc>
        <w:tc>
          <w:tcPr>
            <w:tcW w:w="58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342,11</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8.85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108,79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6,789.</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78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1,064,</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757,98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7.89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5,129,</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389,05</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5.44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6,491,</w:t>
            </w:r>
          </w:p>
          <w:p>
            <w:pPr>
              <w:pStyle w:val="TableParagraph"/>
              <w:spacing w:line="240" w:lineRule="auto" w:before="106"/>
              <w:ind w:left="56" w:right="0"/>
              <w:jc w:val="left"/>
              <w:rPr>
                <w:rFonts w:ascii="Times New Roman" w:hAnsi="Times New Roman" w:cs="Times New Roman" w:eastAsia="Times New Roman" w:hint="default"/>
                <w:sz w:val="18"/>
                <w:szCs w:val="18"/>
              </w:rPr>
            </w:pPr>
            <w:r>
              <w:rPr>
                <w:rFonts w:ascii="Times New Roman"/>
                <w:sz w:val="18"/>
              </w:rPr>
              <w:t>018.38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5,135,</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880,07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3.82</w:t>
            </w:r>
          </w:p>
        </w:tc>
      </w:tr>
    </w:tbl>
    <w:p>
      <w:pPr>
        <w:pStyle w:val="BodyText"/>
        <w:spacing w:line="240" w:lineRule="auto" w:before="51"/>
        <w:ind w:right="103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1"/>
        <w:gridCol w:w="450"/>
        <w:gridCol w:w="449"/>
        <w:gridCol w:w="491"/>
        <w:gridCol w:w="576"/>
        <w:gridCol w:w="578"/>
        <w:gridCol w:w="577"/>
        <w:gridCol w:w="576"/>
        <w:gridCol w:w="576"/>
        <w:gridCol w:w="577"/>
        <w:gridCol w:w="590"/>
        <w:gridCol w:w="568"/>
        <w:gridCol w:w="566"/>
        <w:gridCol w:w="643"/>
        <w:gridCol w:w="650"/>
      </w:tblGrid>
      <w:tr>
        <w:trPr>
          <w:trHeight w:val="402"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51" w:hRule="exact"/>
        </w:trPr>
        <w:tc>
          <w:tcPr>
            <w:tcW w:w="1190" w:type="dxa"/>
            <w:vMerge/>
            <w:tcBorders>
              <w:left w:val="single" w:sz="4" w:space="0" w:color="000000"/>
              <w:right w:val="single" w:sz="4" w:space="0" w:color="000000"/>
            </w:tcBorders>
            <w:shd w:val="clear" w:color="auto" w:fill="D2D2D2"/>
          </w:tcPr>
          <w:p>
            <w:pPr/>
          </w:p>
        </w:tc>
        <w:tc>
          <w:tcPr>
            <w:tcW w:w="7074"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4" w:type="dxa"/>
            <w:gridSpan w:val="13"/>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0"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1"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4"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9"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45" w:right="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0" w:type="dxa"/>
            <w:vMerge/>
            <w:tcBorders>
              <w:left w:val="single" w:sz="4" w:space="0" w:color="000000"/>
              <w:right w:val="single" w:sz="4" w:space="0" w:color="000000"/>
            </w:tcBorders>
            <w:shd w:val="clear" w:color="auto" w:fill="D2D2D2"/>
          </w:tcPr>
          <w:p>
            <w:pPr/>
          </w:p>
        </w:tc>
      </w:tr>
      <w:tr>
        <w:trPr>
          <w:trHeight w:val="165"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1"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3" w:right="22" w:hanging="81"/>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7"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tcBorders>
              <w:left w:val="single" w:sz="4" w:space="0" w:color="000000"/>
              <w:right w:val="single" w:sz="4" w:space="0" w:color="000000"/>
            </w:tcBorders>
            <w:shd w:val="clear" w:color="auto" w:fill="D2D2D2"/>
          </w:tcPr>
          <w:p>
            <w:pPr/>
          </w:p>
        </w:tc>
        <w:tc>
          <w:tcPr>
            <w:tcW w:w="590"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r>
      <w:tr>
        <w:trPr>
          <w:trHeight w:val="193"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8" w:right="3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90"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r>
      <w:tr>
        <w:trPr>
          <w:trHeight w:val="191" w:hRule="exact"/>
        </w:trPr>
        <w:tc>
          <w:tcPr>
            <w:tcW w:w="1190" w:type="dxa"/>
            <w:vMerge/>
            <w:tcBorders>
              <w:left w:val="single" w:sz="4" w:space="0" w:color="000000"/>
              <w:right w:val="single" w:sz="4" w:space="0" w:color="000000"/>
            </w:tcBorders>
            <w:shd w:val="clear" w:color="auto" w:fill="D2D2D2"/>
          </w:tcPr>
          <w:p>
            <w:pPr/>
          </w:p>
        </w:tc>
        <w:tc>
          <w:tcPr>
            <w:tcW w:w="501" w:type="dxa"/>
            <w:vMerge/>
            <w:tcBorders>
              <w:left w:val="single" w:sz="4" w:space="0" w:color="000000"/>
              <w:bottom w:val="nil" w:sz="6" w:space="0" w:color="auto"/>
              <w:right w:val="single" w:sz="4" w:space="0" w:color="000000"/>
            </w:tcBorders>
            <w:shd w:val="clear" w:color="auto" w:fill="D2D2D2"/>
          </w:tcPr>
          <w:p>
            <w:pPr/>
          </w:p>
        </w:tc>
        <w:tc>
          <w:tcPr>
            <w:tcW w:w="450"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90"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r>
      <w:tr>
        <w:trPr>
          <w:trHeight w:val="133" w:hRule="exact"/>
        </w:trPr>
        <w:tc>
          <w:tcPr>
            <w:tcW w:w="1190" w:type="dxa"/>
            <w:vMerge/>
            <w:tcBorders>
              <w:left w:val="single" w:sz="4" w:space="0" w:color="000000"/>
              <w:right w:val="single" w:sz="4" w:space="0" w:color="000000"/>
            </w:tcBorders>
            <w:shd w:val="clear" w:color="auto" w:fill="D2D2D2"/>
          </w:tcPr>
          <w:p>
            <w:pPr/>
          </w:p>
        </w:tc>
        <w:tc>
          <w:tcPr>
            <w:tcW w:w="501" w:type="dxa"/>
            <w:vMerge w:val="restart"/>
            <w:tcBorders>
              <w:top w:val="nil" w:sz="6" w:space="0" w:color="auto"/>
              <w:left w:val="single" w:sz="4" w:space="0" w:color="000000"/>
              <w:right w:val="single" w:sz="4" w:space="0" w:color="000000"/>
            </w:tcBorders>
            <w:shd w:val="clear" w:color="auto" w:fill="D2D2D2"/>
          </w:tcPr>
          <w:p>
            <w:pPr/>
          </w:p>
        </w:tc>
        <w:tc>
          <w:tcPr>
            <w:tcW w:w="450"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90"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
        </w:tc>
        <w:tc>
          <w:tcPr>
            <w:tcW w:w="650"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1" w:type="dxa"/>
            <w:vMerge/>
            <w:tcBorders>
              <w:left w:val="single" w:sz="4" w:space="0" w:color="000000"/>
              <w:bottom w:val="single" w:sz="4" w:space="0" w:color="000000"/>
              <w:right w:val="single" w:sz="4" w:space="0" w:color="000000"/>
            </w:tcBorders>
            <w:shd w:val="clear" w:color="auto" w:fill="D2D2D2"/>
          </w:tcPr>
          <w:p>
            <w:pPr/>
          </w:p>
        </w:tc>
        <w:tc>
          <w:tcPr>
            <w:tcW w:w="45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1" w:type="dxa"/>
            <w:vMerge w:val="restart"/>
            <w:tcBorders>
              <w:top w:val="single" w:sz="4" w:space="0" w:color="000000"/>
              <w:left w:val="single" w:sz="9" w:space="0" w:color="D2D2D2"/>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475,0</w:t>
            </w:r>
          </w:p>
          <w:p>
            <w:pPr>
              <w:pStyle w:val="TableParagraph"/>
              <w:spacing w:line="240" w:lineRule="auto" w:before="104"/>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0.00</w:t>
            </w:r>
          </w:p>
        </w:tc>
        <w:tc>
          <w:tcPr>
            <w:tcW w:w="45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1,482,</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537,44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1.94</w:t>
            </w:r>
          </w:p>
        </w:tc>
        <w:tc>
          <w:tcPr>
            <w:tcW w:w="578"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18"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79,403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,687.7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577" w:type="dxa"/>
            <w:vMerge w:val="restart"/>
            <w:tcBorders>
              <w:top w:val="single" w:sz="18" w:space="0" w:color="D2D2D2"/>
              <w:left w:val="single" w:sz="4" w:space="0" w:color="000000"/>
              <w:right w:val="single" w:sz="4" w:space="0" w:color="000000"/>
            </w:tcBorders>
          </w:tcPr>
          <w:p>
            <w:pPr/>
          </w:p>
        </w:tc>
        <w:tc>
          <w:tcPr>
            <w:tcW w:w="590" w:type="dxa"/>
            <w:vMerge w:val="restart"/>
            <w:tcBorders>
              <w:top w:val="single" w:sz="18" w:space="0" w:color="D2D2D2"/>
              <w:left w:val="single" w:sz="4" w:space="0" w:color="000000"/>
              <w:right w:val="single" w:sz="4" w:space="0" w:color="000000"/>
            </w:tcBorders>
          </w:tcPr>
          <w:p>
            <w:pPr>
              <w:pStyle w:val="TableParagraph"/>
              <w:spacing w:line="240" w:lineRule="auto" w:before="75"/>
              <w:ind w:left="61" w:right="0"/>
              <w:jc w:val="left"/>
              <w:rPr>
                <w:rFonts w:ascii="Times New Roman" w:hAnsi="Times New Roman" w:cs="Times New Roman" w:eastAsia="Times New Roman" w:hint="default"/>
                <w:sz w:val="18"/>
                <w:szCs w:val="18"/>
              </w:rPr>
            </w:pPr>
            <w:r>
              <w:rPr>
                <w:rFonts w:ascii="Times New Roman"/>
                <w:sz w:val="18"/>
              </w:rPr>
              <w:t>595,23</w:t>
            </w:r>
          </w:p>
          <w:p>
            <w:pPr>
              <w:pStyle w:val="TableParagraph"/>
              <w:spacing w:line="240" w:lineRule="auto" w:before="104"/>
              <w:ind w:left="105" w:right="0"/>
              <w:jc w:val="left"/>
              <w:rPr>
                <w:rFonts w:ascii="Times New Roman" w:hAnsi="Times New Roman" w:cs="Times New Roman" w:eastAsia="Times New Roman" w:hint="default"/>
                <w:sz w:val="18"/>
                <w:szCs w:val="18"/>
              </w:rPr>
            </w:pPr>
            <w:r>
              <w:rPr>
                <w:rFonts w:ascii="Times New Roman"/>
                <w:sz w:val="18"/>
              </w:rPr>
              <w:t>9,048.</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32</w:t>
            </w: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2,632,</w:t>
            </w:r>
          </w:p>
          <w:p>
            <w:pPr>
              <w:pStyle w:val="TableParagraph"/>
              <w:spacing w:line="240" w:lineRule="auto" w:before="104"/>
              <w:ind w:left="17" w:right="0"/>
              <w:jc w:val="center"/>
              <w:rPr>
                <w:rFonts w:ascii="Times New Roman" w:hAnsi="Times New Roman" w:cs="Times New Roman" w:eastAsia="Times New Roman" w:hint="default"/>
                <w:sz w:val="18"/>
                <w:szCs w:val="18"/>
              </w:rPr>
            </w:pPr>
            <w:r>
              <w:rPr>
                <w:rFonts w:ascii="Times New Roman"/>
                <w:sz w:val="18"/>
              </w:rPr>
              <w:t>180,17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7.98</w:t>
            </w:r>
          </w:p>
        </w:tc>
        <w:tc>
          <w:tcPr>
            <w:tcW w:w="643" w:type="dxa"/>
            <w:vMerge w:val="restart"/>
            <w:tcBorders>
              <w:top w:val="single" w:sz="4" w:space="0" w:color="000000"/>
              <w:left w:val="single" w:sz="4" w:space="0" w:color="000000"/>
              <w:right w:val="single" w:sz="4" w:space="0" w:color="000000"/>
            </w:tcBorders>
          </w:tcPr>
          <w:p>
            <w:pP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80,177.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1" w:type="dxa"/>
            <w:vMerge/>
            <w:tcBorders>
              <w:left w:val="single" w:sz="9" w:space="0" w:color="D2D2D2"/>
              <w:right w:val="single" w:sz="4" w:space="0" w:color="000000"/>
            </w:tcBorders>
          </w:tcPr>
          <w:p>
            <w:pPr/>
          </w:p>
        </w:tc>
        <w:tc>
          <w:tcPr>
            <w:tcW w:w="45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1" w:type="dxa"/>
            <w:vMerge/>
            <w:tcBorders>
              <w:left w:val="single" w:sz="9" w:space="0" w:color="D2D2D2"/>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r>
      <w:tr>
        <w:trPr>
          <w:trHeight w:val="714"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1"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1"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1"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1" w:type="dxa"/>
            <w:tcBorders>
              <w:top w:val="single" w:sz="4" w:space="0" w:color="000000"/>
              <w:left w:val="single" w:sz="13" w:space="0" w:color="D2D2D2"/>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1" w:type="dxa"/>
            <w:vMerge w:val="restart"/>
            <w:tcBorders>
              <w:top w:val="single" w:sz="4" w:space="0" w:color="000000"/>
              <w:left w:val="single" w:sz="9" w:space="0" w:color="D2D2D2"/>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475,0</w:t>
            </w:r>
          </w:p>
          <w:p>
            <w:pPr>
              <w:pStyle w:val="TableParagraph"/>
              <w:spacing w:line="240" w:lineRule="auto" w:before="104"/>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0.00</w:t>
            </w:r>
          </w:p>
        </w:tc>
        <w:tc>
          <w:tcPr>
            <w:tcW w:w="45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1,482,</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537,44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1.94</w:t>
            </w:r>
          </w:p>
        </w:tc>
        <w:tc>
          <w:tcPr>
            <w:tcW w:w="578"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79,403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,687.7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577"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595,23</w:t>
            </w:r>
          </w:p>
          <w:p>
            <w:pPr>
              <w:pStyle w:val="TableParagraph"/>
              <w:spacing w:line="240" w:lineRule="auto" w:before="104"/>
              <w:ind w:left="105" w:right="0"/>
              <w:jc w:val="left"/>
              <w:rPr>
                <w:rFonts w:ascii="Times New Roman" w:hAnsi="Times New Roman" w:cs="Times New Roman" w:eastAsia="Times New Roman" w:hint="default"/>
                <w:sz w:val="18"/>
                <w:szCs w:val="18"/>
              </w:rPr>
            </w:pPr>
            <w:r>
              <w:rPr>
                <w:rFonts w:ascii="Times New Roman"/>
                <w:sz w:val="18"/>
              </w:rPr>
              <w:t>9,048.</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32</w:t>
            </w: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2,632,</w:t>
            </w:r>
          </w:p>
          <w:p>
            <w:pPr>
              <w:pStyle w:val="TableParagraph"/>
              <w:spacing w:line="240" w:lineRule="auto" w:before="104"/>
              <w:ind w:left="17" w:right="0"/>
              <w:jc w:val="center"/>
              <w:rPr>
                <w:rFonts w:ascii="Times New Roman" w:hAnsi="Times New Roman" w:cs="Times New Roman" w:eastAsia="Times New Roman" w:hint="default"/>
                <w:sz w:val="18"/>
                <w:szCs w:val="18"/>
              </w:rPr>
            </w:pPr>
            <w:r>
              <w:rPr>
                <w:rFonts w:ascii="Times New Roman"/>
                <w:sz w:val="18"/>
              </w:rPr>
              <w:t>180,17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7.98</w:t>
            </w:r>
          </w:p>
        </w:tc>
        <w:tc>
          <w:tcPr>
            <w:tcW w:w="643" w:type="dxa"/>
            <w:vMerge w:val="restart"/>
            <w:tcBorders>
              <w:top w:val="single" w:sz="4" w:space="0" w:color="000000"/>
              <w:left w:val="single" w:sz="4" w:space="0" w:color="000000"/>
              <w:right w:val="single" w:sz="4" w:space="0" w:color="000000"/>
            </w:tcBorders>
          </w:tcPr>
          <w:p>
            <w:pP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80,177.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1" w:type="dxa"/>
            <w:vMerge/>
            <w:tcBorders>
              <w:left w:val="single" w:sz="9" w:space="0" w:color="D2D2D2"/>
              <w:right w:val="single" w:sz="4" w:space="0" w:color="000000"/>
            </w:tcBorders>
          </w:tcPr>
          <w:p>
            <w:pPr/>
          </w:p>
        </w:tc>
        <w:tc>
          <w:tcPr>
            <w:tcW w:w="45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1" w:type="dxa"/>
            <w:vMerge/>
            <w:tcBorders>
              <w:left w:val="single" w:sz="9" w:space="0" w:color="D2D2D2"/>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r>
      <w:tr>
        <w:trPr>
          <w:trHeight w:val="1338"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11" w:right="8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4"/>
              <w:ind w:left="52"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9.00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1,841,</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934,87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7.98</w:t>
            </w: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68.53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9,818,</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258.96</w:t>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225,22</w:t>
            </w:r>
          </w:p>
          <w:p>
            <w:pPr>
              <w:pStyle w:val="TableParagraph"/>
              <w:spacing w:line="240" w:lineRule="auto" w:before="104"/>
              <w:ind w:left="105" w:right="0"/>
              <w:jc w:val="left"/>
              <w:rPr>
                <w:rFonts w:ascii="Times New Roman" w:hAnsi="Times New Roman" w:cs="Times New Roman" w:eastAsia="Times New Roman" w:hint="default"/>
                <w:sz w:val="18"/>
                <w:szCs w:val="18"/>
              </w:rPr>
            </w:pPr>
            <w:r>
              <w:rPr>
                <w:rFonts w:ascii="Times New Roman"/>
                <w:sz w:val="18"/>
              </w:rPr>
              <w:t>3,470.</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73</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2,232,</w:t>
            </w:r>
          </w:p>
          <w:p>
            <w:pPr>
              <w:pStyle w:val="TableParagraph"/>
              <w:spacing w:line="240" w:lineRule="auto" w:before="104"/>
              <w:ind w:left="17" w:right="0"/>
              <w:jc w:val="center"/>
              <w:rPr>
                <w:rFonts w:ascii="Times New Roman" w:hAnsi="Times New Roman" w:cs="Times New Roman" w:eastAsia="Times New Roman" w:hint="default"/>
                <w:sz w:val="18"/>
                <w:szCs w:val="18"/>
              </w:rPr>
            </w:pPr>
            <w:r>
              <w:rPr>
                <w:rFonts w:ascii="Times New Roman"/>
                <w:sz w:val="18"/>
              </w:rPr>
              <w:t>561,97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8.14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5,395,4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69.95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2,237,9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57,448.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r>
      <w:tr>
        <w:trPr>
          <w:trHeight w:val="162"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1" w:type="dxa"/>
            <w:vMerge w:val="restart"/>
            <w:tcBorders>
              <w:top w:val="single" w:sz="4" w:space="0" w:color="000000"/>
              <w:left w:val="single" w:sz="9" w:space="0" w:color="D2D2D2"/>
              <w:right w:val="single" w:sz="4" w:space="0" w:color="000000"/>
            </w:tcBorders>
          </w:tcPr>
          <w:p>
            <w:pPr/>
          </w:p>
        </w:tc>
        <w:tc>
          <w:tcPr>
            <w:tcW w:w="45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68.53</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249,29</w:t>
            </w:r>
          </w:p>
          <w:p>
            <w:pPr>
              <w:pStyle w:val="TableParagraph"/>
              <w:spacing w:line="240" w:lineRule="auto" w:before="104"/>
              <w:ind w:left="105" w:right="0"/>
              <w:jc w:val="left"/>
              <w:rPr>
                <w:rFonts w:ascii="Times New Roman" w:hAnsi="Times New Roman" w:cs="Times New Roman" w:eastAsia="Times New Roman" w:hint="default"/>
                <w:sz w:val="18"/>
                <w:szCs w:val="18"/>
              </w:rPr>
            </w:pPr>
            <w:r>
              <w:rPr>
                <w:rFonts w:ascii="Times New Roman"/>
                <w:sz w:val="18"/>
              </w:rPr>
              <w:t>1,729.</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69</w:t>
            </w: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248,85</w:t>
            </w:r>
          </w:p>
          <w:p>
            <w:pPr>
              <w:pStyle w:val="TableParagraph"/>
              <w:spacing w:line="240" w:lineRule="auto" w:before="104"/>
              <w:ind w:left="83" w:right="0"/>
              <w:jc w:val="left"/>
              <w:rPr>
                <w:rFonts w:ascii="Times New Roman" w:hAnsi="Times New Roman" w:cs="Times New Roman" w:eastAsia="Times New Roman" w:hint="default"/>
                <w:sz w:val="18"/>
                <w:szCs w:val="18"/>
              </w:rPr>
            </w:pPr>
            <w:r>
              <w:rPr>
                <w:rFonts w:ascii="Times New Roman"/>
                <w:sz w:val="18"/>
              </w:rPr>
              <w:t>7,261.</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16</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6,513,3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62.78</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255,370</w:t>
            </w:r>
          </w:p>
          <w:p>
            <w:pPr>
              <w:pStyle w:val="TableParagraph"/>
              <w:spacing w:line="240" w:lineRule="auto" w:before="105"/>
              <w:ind w:left="77" w:right="0"/>
              <w:jc w:val="left"/>
              <w:rPr>
                <w:rFonts w:ascii="Times New Roman" w:hAnsi="Times New Roman" w:cs="Times New Roman" w:eastAsia="Times New Roman" w:hint="default"/>
                <w:sz w:val="18"/>
                <w:szCs w:val="18"/>
              </w:rPr>
            </w:pPr>
            <w:r>
              <w:rPr>
                <w:rFonts w:ascii="Times New Roman"/>
                <w:sz w:val="18"/>
              </w:rPr>
              <w:t>,623.94</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01" w:type="dxa"/>
            <w:vMerge/>
            <w:tcBorders>
              <w:left w:val="single" w:sz="9" w:space="0" w:color="D2D2D2"/>
              <w:right w:val="single" w:sz="4" w:space="0" w:color="000000"/>
            </w:tcBorders>
          </w:tcPr>
          <w:p>
            <w:pPr/>
          </w:p>
        </w:tc>
        <w:tc>
          <w:tcPr>
            <w:tcW w:w="45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1" w:type="dxa"/>
            <w:vMerge/>
            <w:tcBorders>
              <w:left w:val="single" w:sz="9" w:space="0" w:color="D2D2D2"/>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r>
      <w:tr>
        <w:trPr>
          <w:trHeight w:val="1026"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8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4"/>
              <w:ind w:left="52"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9.00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1,841,</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934,87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7.98</w:t>
            </w: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1,997,</w:t>
            </w:r>
          </w:p>
          <w:p>
            <w:pPr>
              <w:pStyle w:val="TableParagraph"/>
              <w:spacing w:line="240" w:lineRule="auto" w:before="104"/>
              <w:ind w:left="17" w:right="0"/>
              <w:jc w:val="center"/>
              <w:rPr>
                <w:rFonts w:ascii="Times New Roman" w:hAnsi="Times New Roman" w:cs="Times New Roman" w:eastAsia="Times New Roman" w:hint="default"/>
                <w:sz w:val="18"/>
                <w:szCs w:val="18"/>
              </w:rPr>
            </w:pPr>
            <w:r>
              <w:rPr>
                <w:rFonts w:ascii="Times New Roman"/>
                <w:sz w:val="18"/>
              </w:rPr>
              <w:t>954,71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6.98</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1,997,9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54,716.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r>
      <w:tr>
        <w:trPr>
          <w:trHeight w:val="162"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1" w:type="dxa"/>
            <w:vMerge w:val="restart"/>
            <w:tcBorders>
              <w:top w:val="single" w:sz="4" w:space="0" w:color="000000"/>
              <w:left w:val="single" w:sz="9" w:space="0" w:color="D2D2D2"/>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4"/>
              <w:ind w:left="57"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9.00</w:t>
            </w:r>
          </w:p>
        </w:tc>
        <w:tc>
          <w:tcPr>
            <w:tcW w:w="45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1,841,</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934,87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7.98</w:t>
            </w:r>
          </w:p>
        </w:tc>
        <w:tc>
          <w:tcPr>
            <w:tcW w:w="578"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1,997,</w:t>
            </w:r>
          </w:p>
          <w:p>
            <w:pPr>
              <w:pStyle w:val="TableParagraph"/>
              <w:spacing w:line="240" w:lineRule="auto" w:before="104"/>
              <w:ind w:left="17" w:right="0"/>
              <w:jc w:val="center"/>
              <w:rPr>
                <w:rFonts w:ascii="Times New Roman" w:hAnsi="Times New Roman" w:cs="Times New Roman" w:eastAsia="Times New Roman" w:hint="default"/>
                <w:sz w:val="18"/>
                <w:szCs w:val="18"/>
              </w:rPr>
            </w:pPr>
            <w:r>
              <w:rPr>
                <w:rFonts w:ascii="Times New Roman"/>
                <w:sz w:val="18"/>
              </w:rPr>
              <w:t>954,71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6.98</w:t>
            </w:r>
          </w:p>
        </w:tc>
        <w:tc>
          <w:tcPr>
            <w:tcW w:w="643" w:type="dxa"/>
            <w:vMerge w:val="restart"/>
            <w:tcBorders>
              <w:top w:val="single" w:sz="4" w:space="0" w:color="000000"/>
              <w:left w:val="single" w:sz="4" w:space="0" w:color="000000"/>
              <w:right w:val="single" w:sz="4" w:space="0" w:color="000000"/>
            </w:tcBorders>
          </w:tcPr>
          <w:p>
            <w:pP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1,997,9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54,716.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1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501" w:type="dxa"/>
            <w:vMerge/>
            <w:tcBorders>
              <w:left w:val="single" w:sz="9" w:space="0" w:color="D2D2D2"/>
              <w:right w:val="single" w:sz="4" w:space="0" w:color="000000"/>
            </w:tcBorders>
          </w:tcPr>
          <w:p>
            <w:pPr/>
          </w:p>
        </w:tc>
        <w:tc>
          <w:tcPr>
            <w:tcW w:w="45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r>
      <w:tr>
        <w:trPr>
          <w:trHeight w:val="162"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1" w:type="dxa"/>
            <w:vMerge/>
            <w:tcBorders>
              <w:left w:val="single" w:sz="9" w:space="0" w:color="D2D2D2"/>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2"/>
        <w:gridCol w:w="490"/>
        <w:gridCol w:w="450"/>
        <w:gridCol w:w="449"/>
        <w:gridCol w:w="491"/>
        <w:gridCol w:w="576"/>
        <w:gridCol w:w="578"/>
        <w:gridCol w:w="577"/>
        <w:gridCol w:w="576"/>
        <w:gridCol w:w="576"/>
        <w:gridCol w:w="577"/>
        <w:gridCol w:w="590"/>
        <w:gridCol w:w="568"/>
        <w:gridCol w:w="566"/>
        <w:gridCol w:w="643"/>
        <w:gridCol w:w="650"/>
      </w:tblGrid>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9,818,</w:t>
            </w:r>
          </w:p>
          <w:p>
            <w:pPr>
              <w:pStyle w:val="TableParagraph"/>
              <w:spacing w:line="240" w:lineRule="auto" w:before="106"/>
              <w:ind w:left="49" w:right="0"/>
              <w:jc w:val="left"/>
              <w:rPr>
                <w:rFonts w:ascii="Times New Roman" w:hAnsi="Times New Roman" w:cs="Times New Roman" w:eastAsia="Times New Roman" w:hint="default"/>
                <w:sz w:val="18"/>
                <w:szCs w:val="18"/>
              </w:rPr>
            </w:pPr>
            <w:r>
              <w:rPr>
                <w:rFonts w:ascii="Times New Roman"/>
                <w:sz w:val="18"/>
              </w:rPr>
              <w:t>258.96</w:t>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-24,06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8,258.</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96</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-14,25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-3,975,</w:t>
            </w:r>
          </w:p>
          <w:p>
            <w:pPr>
              <w:pStyle w:val="TableParagraph"/>
              <w:spacing w:line="240" w:lineRule="auto" w:before="106"/>
              <w:ind w:left="115" w:right="0"/>
              <w:jc w:val="left"/>
              <w:rPr>
                <w:rFonts w:ascii="Times New Roman" w:hAnsi="Times New Roman" w:cs="Times New Roman" w:eastAsia="Times New Roman" w:hint="default"/>
                <w:sz w:val="18"/>
                <w:szCs w:val="18"/>
              </w:rPr>
            </w:pPr>
            <w:r>
              <w:rPr>
                <w:rFonts w:ascii="Times New Roman"/>
                <w:sz w:val="18"/>
              </w:rPr>
              <w:t>000.00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-18,225</w:t>
            </w:r>
          </w:p>
          <w:p>
            <w:pPr>
              <w:pStyle w:val="TableParagraph"/>
              <w:spacing w:line="240" w:lineRule="auto" w:before="106"/>
              <w:ind w:left="77"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9,818,</w:t>
            </w:r>
          </w:p>
          <w:p>
            <w:pPr>
              <w:pStyle w:val="TableParagraph"/>
              <w:spacing w:line="240" w:lineRule="auto" w:before="106"/>
              <w:ind w:left="49" w:right="0"/>
              <w:jc w:val="left"/>
              <w:rPr>
                <w:rFonts w:ascii="Times New Roman" w:hAnsi="Times New Roman" w:cs="Times New Roman" w:eastAsia="Times New Roman" w:hint="default"/>
                <w:sz w:val="18"/>
                <w:szCs w:val="18"/>
              </w:rPr>
            </w:pPr>
            <w:r>
              <w:rPr>
                <w:rFonts w:ascii="Times New Roman"/>
                <w:sz w:val="18"/>
              </w:rPr>
              <w:t>258.96</w:t>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-9,818,</w:t>
            </w:r>
          </w:p>
          <w:p>
            <w:pPr>
              <w:pStyle w:val="TableParagraph"/>
              <w:spacing w:line="240" w:lineRule="auto" w:before="106"/>
              <w:ind w:left="61" w:right="0"/>
              <w:jc w:val="left"/>
              <w:rPr>
                <w:rFonts w:ascii="Times New Roman" w:hAnsi="Times New Roman" w:cs="Times New Roman" w:eastAsia="Times New Roman" w:hint="default"/>
                <w:sz w:val="18"/>
                <w:szCs w:val="18"/>
              </w:rPr>
            </w:pPr>
            <w:r>
              <w:rPr>
                <w:rFonts w:ascii="Times New Roman"/>
                <w:sz w:val="18"/>
              </w:rPr>
              <w:t>258.96</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3"/>
              <w:ind w:left="22" w:right="99"/>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-14,25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-3,975,</w:t>
            </w:r>
          </w:p>
          <w:p>
            <w:pPr>
              <w:pStyle w:val="TableParagraph"/>
              <w:spacing w:line="240" w:lineRule="auto" w:before="106"/>
              <w:ind w:left="115" w:right="0"/>
              <w:jc w:val="left"/>
              <w:rPr>
                <w:rFonts w:ascii="Times New Roman" w:hAnsi="Times New Roman" w:cs="Times New Roman" w:eastAsia="Times New Roman" w:hint="default"/>
                <w:sz w:val="18"/>
                <w:szCs w:val="18"/>
              </w:rPr>
            </w:pPr>
            <w:r>
              <w:rPr>
                <w:rFonts w:ascii="Times New Roman"/>
                <w:sz w:val="18"/>
              </w:rPr>
              <w:t>000.00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-18,225</w:t>
            </w:r>
          </w:p>
          <w:p>
            <w:pPr>
              <w:pStyle w:val="TableParagraph"/>
              <w:spacing w:line="240" w:lineRule="auto" w:before="106"/>
              <w:ind w:left="77"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2"/>
        <w:gridCol w:w="490"/>
        <w:gridCol w:w="450"/>
        <w:gridCol w:w="449"/>
        <w:gridCol w:w="491"/>
        <w:gridCol w:w="576"/>
        <w:gridCol w:w="578"/>
        <w:gridCol w:w="577"/>
        <w:gridCol w:w="576"/>
        <w:gridCol w:w="576"/>
        <w:gridCol w:w="577"/>
        <w:gridCol w:w="590"/>
        <w:gridCol w:w="568"/>
        <w:gridCol w:w="566"/>
        <w:gridCol w:w="643"/>
        <w:gridCol w:w="650"/>
      </w:tblGrid>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2,857,1</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07.17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2,857,1</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07.17</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631,0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9.00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3,324,</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472,31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9.92</w:t>
            </w: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-434,4</w:t>
            </w:r>
          </w:p>
          <w:p>
            <w:pPr>
              <w:pStyle w:val="TableParagraph"/>
              <w:spacing w:line="240" w:lineRule="auto" w:before="106"/>
              <w:ind w:left="139" w:right="0"/>
              <w:jc w:val="left"/>
              <w:rPr>
                <w:rFonts w:ascii="Times New Roman" w:hAnsi="Times New Roman" w:cs="Times New Roman" w:eastAsia="Times New Roman" w:hint="default"/>
                <w:sz w:val="18"/>
                <w:szCs w:val="18"/>
              </w:rPr>
            </w:pPr>
            <w:r>
              <w:rPr>
                <w:rFonts w:ascii="Times New Roman"/>
                <w:sz w:val="18"/>
              </w:rPr>
              <w:t>68.53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820,46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2,519.</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05</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4,864,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742,15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6.12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5,395,4</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69.95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37,626.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2"/>
        <w:gridCol w:w="594"/>
        <w:gridCol w:w="572"/>
        <w:gridCol w:w="571"/>
        <w:gridCol w:w="572"/>
        <w:gridCol w:w="686"/>
        <w:gridCol w:w="685"/>
        <w:gridCol w:w="685"/>
        <w:gridCol w:w="649"/>
        <w:gridCol w:w="797"/>
        <w:gridCol w:w="930"/>
        <w:gridCol w:w="798"/>
        <w:gridCol w:w="797"/>
      </w:tblGrid>
      <w:tr>
        <w:trPr>
          <w:trHeight w:val="397"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88" w:hRule="exact"/>
        </w:trPr>
        <w:tc>
          <w:tcPr>
            <w:tcW w:w="1232" w:type="dxa"/>
            <w:vMerge/>
            <w:tcBorders>
              <w:left w:val="single" w:sz="4" w:space="0" w:color="000000"/>
              <w:bottom w:val="nil" w:sz="6" w:space="0" w:color="auto"/>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
        </w:tc>
        <w:tc>
          <w:tcPr>
            <w:tcW w:w="171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4" w:type="dxa"/>
            <w:vMerge/>
            <w:tcBorders>
              <w:left w:val="single" w:sz="4" w:space="0" w:color="000000"/>
              <w:bottom w:val="nil" w:sz="6" w:space="0" w:color="auto"/>
              <w:right w:val="single" w:sz="4" w:space="0" w:color="000000"/>
            </w:tcBorders>
            <w:shd w:val="clear" w:color="auto" w:fill="D2D2D2"/>
          </w:tcPr>
          <w:p>
            <w:pPr/>
          </w:p>
        </w:tc>
        <w:tc>
          <w:tcPr>
            <w:tcW w:w="1716"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47" w:right="66"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47" w:right="20"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68"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29" w:right="4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tcBorders>
              <w:left w:val="single" w:sz="4" w:space="0" w:color="000000"/>
              <w:bottom w:val="nil" w:sz="6" w:space="0" w:color="auto"/>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369" w:right="98"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123" w:right="3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7" w:hRule="exact"/>
        </w:trPr>
        <w:tc>
          <w:tcPr>
            <w:tcW w:w="1232" w:type="dxa"/>
            <w:vMerge/>
            <w:tcBorders>
              <w:left w:val="single" w:sz="4" w:space="0" w:color="000000"/>
              <w:bottom w:val="nil" w:sz="6" w:space="0" w:color="auto"/>
              <w:right w:val="single" w:sz="4" w:space="0" w:color="000000"/>
            </w:tcBorders>
            <w:shd w:val="clear" w:color="auto" w:fill="D2D2D2"/>
          </w:tcPr>
          <w:p>
            <w:pPr/>
          </w:p>
        </w:tc>
        <w:tc>
          <w:tcPr>
            <w:tcW w:w="5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90" w:right="10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90" w:right="9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5" w:type="dxa"/>
            <w:vMerge/>
            <w:tcBorders>
              <w:left w:val="single" w:sz="4" w:space="0" w:color="000000"/>
              <w:right w:val="single" w:sz="4" w:space="0" w:color="000000"/>
            </w:tcBorders>
            <w:shd w:val="clear" w:color="auto" w:fill="D2D2D2"/>
          </w:tcPr>
          <w:p>
            <w:pPr/>
          </w:p>
        </w:tc>
        <w:tc>
          <w:tcPr>
            <w:tcW w:w="685" w:type="dxa"/>
            <w:vMerge/>
            <w:tcBorders>
              <w:left w:val="single" w:sz="4" w:space="0" w:color="000000"/>
              <w:right w:val="single" w:sz="4" w:space="0" w:color="000000"/>
            </w:tcBorders>
            <w:shd w:val="clear" w:color="auto" w:fill="D2D2D2"/>
          </w:tcPr>
          <w:p>
            <w:pPr/>
          </w:p>
        </w:tc>
        <w:tc>
          <w:tcPr>
            <w:tcW w:w="649"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30"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right w:val="single" w:sz="4" w:space="0" w:color="000000"/>
            </w:tcBorders>
            <w:shd w:val="clear" w:color="auto" w:fill="D2D2D2"/>
          </w:tcPr>
          <w:p>
            <w:pPr/>
          </w:p>
        </w:tc>
      </w:tr>
      <w:tr>
        <w:trPr>
          <w:trHeight w:val="197" w:hRule="exact"/>
        </w:trPr>
        <w:tc>
          <w:tcPr>
            <w:tcW w:w="1232" w:type="dxa"/>
            <w:vMerge w:val="restart"/>
            <w:tcBorders>
              <w:top w:val="nil" w:sz="6" w:space="0" w:color="auto"/>
              <w:left w:val="single" w:sz="4" w:space="0" w:color="000000"/>
              <w:right w:val="single" w:sz="4" w:space="0" w:color="000000"/>
            </w:tcBorders>
            <w:shd w:val="clear" w:color="auto" w:fill="D2D2D2"/>
          </w:tcPr>
          <w:p>
            <w:pPr/>
          </w:p>
        </w:tc>
        <w:tc>
          <w:tcPr>
            <w:tcW w:w="594"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5" w:type="dxa"/>
            <w:vMerge/>
            <w:tcBorders>
              <w:left w:val="single" w:sz="4" w:space="0" w:color="000000"/>
              <w:right w:val="single" w:sz="4" w:space="0" w:color="000000"/>
            </w:tcBorders>
            <w:shd w:val="clear" w:color="auto" w:fill="D2D2D2"/>
          </w:tcPr>
          <w:p>
            <w:pPr/>
          </w:p>
        </w:tc>
        <w:tc>
          <w:tcPr>
            <w:tcW w:w="685" w:type="dxa"/>
            <w:vMerge/>
            <w:tcBorders>
              <w:left w:val="single" w:sz="4" w:space="0" w:color="000000"/>
              <w:right w:val="single" w:sz="4" w:space="0" w:color="000000"/>
            </w:tcBorders>
            <w:shd w:val="clear" w:color="auto" w:fill="D2D2D2"/>
          </w:tcPr>
          <w:p>
            <w:pPr/>
          </w:p>
        </w:tc>
        <w:tc>
          <w:tcPr>
            <w:tcW w:w="64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56" w:hRule="exact"/>
        </w:trPr>
        <w:tc>
          <w:tcPr>
            <w:tcW w:w="1232" w:type="dxa"/>
            <w:vMerge/>
            <w:tcBorders>
              <w:left w:val="single" w:sz="4" w:space="0" w:color="000000"/>
              <w:right w:val="single" w:sz="4" w:space="0" w:color="000000"/>
            </w:tcBorders>
            <w:shd w:val="clear" w:color="auto" w:fill="D2D2D2"/>
          </w:tcPr>
          <w:p>
            <w:pPr/>
          </w:p>
        </w:tc>
        <w:tc>
          <w:tcPr>
            <w:tcW w:w="594"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5" w:type="dxa"/>
            <w:vMerge/>
            <w:tcBorders>
              <w:left w:val="single" w:sz="4" w:space="0" w:color="000000"/>
              <w:bottom w:val="nil" w:sz="6" w:space="0" w:color="auto"/>
              <w:right w:val="single" w:sz="4" w:space="0" w:color="000000"/>
            </w:tcBorders>
            <w:shd w:val="clear" w:color="auto" w:fill="D2D2D2"/>
          </w:tcPr>
          <w:p>
            <w:pPr/>
          </w:p>
        </w:tc>
        <w:tc>
          <w:tcPr>
            <w:tcW w:w="685" w:type="dxa"/>
            <w:vMerge/>
            <w:tcBorders>
              <w:left w:val="single" w:sz="4" w:space="0" w:color="000000"/>
              <w:bottom w:val="nil" w:sz="6" w:space="0" w:color="auto"/>
              <w:right w:val="single" w:sz="4" w:space="0" w:color="000000"/>
            </w:tcBorders>
            <w:shd w:val="clear" w:color="auto" w:fill="D2D2D2"/>
          </w:tcPr>
          <w:p>
            <w:pPr/>
          </w:p>
        </w:tc>
        <w:tc>
          <w:tcPr>
            <w:tcW w:w="649"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594" w:type="dxa"/>
            <w:vMerge w:val="restart"/>
            <w:tcBorders>
              <w:top w:val="single" w:sz="4" w:space="0" w:color="000000"/>
              <w:left w:val="single" w:sz="10" w:space="0" w:color="D2D2D2"/>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631,01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73"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46,519.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85"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4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89,221,94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6.68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706,557,52</w:t>
            </w:r>
          </w:p>
          <w:p>
            <w:pPr>
              <w:pStyle w:val="TableParagraph"/>
              <w:spacing w:line="240" w:lineRule="auto" w:before="106"/>
              <w:ind w:left="582" w:right="0"/>
              <w:jc w:val="left"/>
              <w:rPr>
                <w:rFonts w:ascii="Times New Roman" w:hAnsi="Times New Roman" w:cs="Times New Roman" w:eastAsia="Times New Roman" w:hint="default"/>
                <w:sz w:val="18"/>
                <w:szCs w:val="18"/>
              </w:rPr>
            </w:pPr>
            <w:r>
              <w:rPr>
                <w:rFonts w:ascii="Times New Roman"/>
                <w:sz w:val="18"/>
              </w:rPr>
              <w:t>0.09</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4,749,545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,825.69</w:t>
            </w:r>
          </w:p>
        </w:tc>
      </w:tr>
      <w:tr>
        <w:trPr>
          <w:trHeight w:val="704"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94"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4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594"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4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594"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4"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4"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594" w:type="dxa"/>
            <w:vMerge w:val="restart"/>
            <w:tcBorders>
              <w:top w:val="single" w:sz="4" w:space="0" w:color="000000"/>
              <w:left w:val="single" w:sz="10" w:space="0" w:color="D2D2D2"/>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631,01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73"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46,519.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85"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4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89,221,94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6.68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706,557,52</w:t>
            </w:r>
          </w:p>
          <w:p>
            <w:pPr>
              <w:pStyle w:val="TableParagraph"/>
              <w:spacing w:line="240" w:lineRule="auto" w:before="106"/>
              <w:ind w:left="582" w:right="0"/>
              <w:jc w:val="left"/>
              <w:rPr>
                <w:rFonts w:ascii="Times New Roman" w:hAnsi="Times New Roman" w:cs="Times New Roman" w:eastAsia="Times New Roman" w:hint="default"/>
                <w:sz w:val="18"/>
                <w:szCs w:val="18"/>
              </w:rPr>
            </w:pPr>
            <w:r>
              <w:rPr>
                <w:rFonts w:ascii="Times New Roman"/>
                <w:sz w:val="18"/>
              </w:rPr>
              <w:t>0.09</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4,749,545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,825.69</w:t>
            </w:r>
          </w:p>
        </w:tc>
      </w:tr>
      <w:tr>
        <w:trPr>
          <w:trHeight w:val="704" w:hRule="exact"/>
        </w:trPr>
        <w:tc>
          <w:tcPr>
            <w:tcW w:w="12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94"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4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594"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4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5,871.</w:t>
            </w:r>
          </w:p>
          <w:p>
            <w:pPr>
              <w:pStyle w:val="TableParagraph"/>
              <w:spacing w:line="240" w:lineRule="auto" w:before="106"/>
              <w:ind w:left="36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19,574,84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3.10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144,622,59</w:t>
            </w:r>
          </w:p>
          <w:p>
            <w:pPr>
              <w:pStyle w:val="TableParagraph"/>
              <w:spacing w:line="240" w:lineRule="auto" w:before="106"/>
              <w:ind w:left="582" w:right="0"/>
              <w:jc w:val="left"/>
              <w:rPr>
                <w:rFonts w:ascii="Times New Roman" w:hAnsi="Times New Roman" w:cs="Times New Roman" w:eastAsia="Times New Roman" w:hint="default"/>
                <w:sz w:val="18"/>
                <w:szCs w:val="18"/>
              </w:rPr>
            </w:pPr>
            <w:r>
              <w:rPr>
                <w:rFonts w:ascii="Times New Roman"/>
                <w:sz w:val="18"/>
              </w:rPr>
              <w:t>5.93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164,197,4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39.03</w:t>
            </w: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594"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195,748,43</w:t>
            </w:r>
          </w:p>
          <w:p>
            <w:pPr>
              <w:pStyle w:val="TableParagraph"/>
              <w:spacing w:line="240" w:lineRule="auto" w:before="106"/>
              <w:ind w:left="582"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195,748,4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30.98</w:t>
            </w: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入和减少资本</w:t>
            </w:r>
          </w:p>
        </w:tc>
        <w:tc>
          <w:tcPr>
            <w:tcW w:w="594"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4"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4"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w:t>
            </w:r>
          </w:p>
        </w:tc>
        <w:tc>
          <w:tcPr>
            <w:tcW w:w="594"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2"/>
        <w:gridCol w:w="594"/>
        <w:gridCol w:w="572"/>
        <w:gridCol w:w="571"/>
        <w:gridCol w:w="572"/>
        <w:gridCol w:w="686"/>
        <w:gridCol w:w="685"/>
        <w:gridCol w:w="685"/>
        <w:gridCol w:w="649"/>
        <w:gridCol w:w="797"/>
        <w:gridCol w:w="930"/>
        <w:gridCol w:w="798"/>
        <w:gridCol w:w="797"/>
      </w:tblGrid>
      <w:tr>
        <w:trPr>
          <w:trHeight w:val="36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6"/>
                <w:sz w:val="18"/>
                <w:szCs w:val="18"/>
              </w:rPr>
              <w:t>）</w:t>
            </w:r>
            <w:r>
              <w:rPr>
                <w:rFonts w:ascii="宋体" w:hAnsi="宋体" w:cs="宋体" w:eastAsia="宋体" w:hint="default"/>
                <w:sz w:val="18"/>
                <w:szCs w:val="18"/>
              </w:rPr>
              <w:t>利润分配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19,574,84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-51,125,835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-31,550,9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91.95</w:t>
            </w: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19,574,84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-19,574,843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z w:val="18"/>
                <w:szCs w:val="18"/>
              </w:rPr>
              <w:t> 股东）的分配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-31,550,991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-31,550,9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91.95</w:t>
            </w: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益内部结转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5,871.</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5,871.</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6"/>
                <w:sz w:val="18"/>
                <w:szCs w:val="18"/>
              </w:rPr>
              <w:t>）</w:t>
            </w:r>
            <w:r>
              <w:rPr>
                <w:rFonts w:ascii="宋体" w:hAnsi="宋体" w:cs="宋体" w:eastAsia="宋体" w:hint="default"/>
                <w:sz w:val="18"/>
                <w:szCs w:val="18"/>
              </w:rPr>
              <w:t>专项储备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1,135,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835,71</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2,817,9</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30,648.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108,796,7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89.78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851,180,11</w:t>
            </w:r>
          </w:p>
          <w:p>
            <w:pPr>
              <w:pStyle w:val="TableParagraph"/>
              <w:spacing w:line="240" w:lineRule="auto" w:before="105"/>
              <w:ind w:left="582" w:right="0"/>
              <w:jc w:val="left"/>
              <w:rPr>
                <w:rFonts w:ascii="Times New Roman" w:hAnsi="Times New Roman" w:cs="Times New Roman" w:eastAsia="Times New Roman" w:hint="default"/>
                <w:sz w:val="18"/>
                <w:szCs w:val="18"/>
              </w:rPr>
            </w:pPr>
            <w:r>
              <w:rPr>
                <w:rFonts w:ascii="Times New Roman"/>
                <w:sz w:val="18"/>
              </w:rPr>
              <w:t>6.02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4,913,743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,264.72</w:t>
            </w:r>
          </w:p>
        </w:tc>
      </w:tr>
    </w:tbl>
    <w:p>
      <w:pPr>
        <w:pStyle w:val="BodyText"/>
        <w:spacing w:line="240" w:lineRule="auto" w:before="51"/>
        <w:ind w:right="1032"/>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0"/>
        <w:gridCol w:w="594"/>
        <w:gridCol w:w="1716"/>
        <w:gridCol w:w="686"/>
        <w:gridCol w:w="686"/>
        <w:gridCol w:w="684"/>
        <w:gridCol w:w="686"/>
        <w:gridCol w:w="760"/>
        <w:gridCol w:w="798"/>
        <w:gridCol w:w="798"/>
        <w:gridCol w:w="929"/>
      </w:tblGrid>
      <w:tr>
        <w:trPr>
          <w:trHeight w:val="402" w:hRule="exact"/>
        </w:trPr>
        <w:tc>
          <w:tcPr>
            <w:tcW w:w="12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3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90"/>
                <w:sz w:val="18"/>
                <w:szCs w:val="18"/>
              </w:rPr>
              <w:t>：</w:t>
            </w:r>
            <w:r>
              <w:rPr>
                <w:rFonts w:ascii="宋体" w:hAnsi="宋体" w:cs="宋体" w:eastAsia="宋体" w:hint="default"/>
                <w:sz w:val="18"/>
                <w:szCs w:val="18"/>
              </w:rPr>
              <w:t>库存</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7"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8"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4"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9"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9"/>
        <w:gridCol w:w="605"/>
        <w:gridCol w:w="572"/>
        <w:gridCol w:w="571"/>
        <w:gridCol w:w="572"/>
        <w:gridCol w:w="686"/>
        <w:gridCol w:w="686"/>
        <w:gridCol w:w="684"/>
        <w:gridCol w:w="686"/>
        <w:gridCol w:w="760"/>
        <w:gridCol w:w="798"/>
        <w:gridCol w:w="798"/>
        <w:gridCol w:w="930"/>
      </w:tblGrid>
      <w:tr>
        <w:trPr>
          <w:trHeight w:val="161" w:hRule="exact"/>
        </w:trPr>
        <w:tc>
          <w:tcPr>
            <w:tcW w:w="1219" w:type="dxa"/>
            <w:vMerge w:val="restart"/>
            <w:tcBorders>
              <w:top w:val="single" w:sz="4" w:space="0" w:color="000000"/>
              <w:left w:val="single" w:sz="4" w:space="0" w:color="000000"/>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90" w:right="10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90" w:right="9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67"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1"/>
              <w:ind w:left="189"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97" w:hRule="exact"/>
        </w:trPr>
        <w:tc>
          <w:tcPr>
            <w:tcW w:w="1219" w:type="dxa"/>
            <w:vMerge/>
            <w:tcBorders>
              <w:left w:val="single" w:sz="4" w:space="0" w:color="000000"/>
              <w:right w:val="single" w:sz="4" w:space="0" w:color="000000"/>
            </w:tcBorders>
            <w:shd w:val="clear" w:color="auto" w:fill="D2D2D2"/>
          </w:tcPr>
          <w:p>
            <w:pPr/>
          </w:p>
        </w:tc>
        <w:tc>
          <w:tcPr>
            <w:tcW w:w="60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60"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930" w:type="dxa"/>
            <w:vMerge/>
            <w:tcBorders>
              <w:left w:val="single" w:sz="4" w:space="0" w:color="000000"/>
              <w:right w:val="single" w:sz="4" w:space="0" w:color="000000"/>
            </w:tcBorders>
          </w:tcPr>
          <w:p>
            <w:pPr/>
          </w:p>
        </w:tc>
      </w:tr>
      <w:tr>
        <w:trPr>
          <w:trHeight w:val="196" w:hRule="exact"/>
        </w:trPr>
        <w:tc>
          <w:tcPr>
            <w:tcW w:w="1219" w:type="dxa"/>
            <w:vMerge/>
            <w:tcBorders>
              <w:left w:val="single" w:sz="4" w:space="0" w:color="000000"/>
              <w:right w:val="single" w:sz="4" w:space="0" w:color="000000"/>
            </w:tcBorders>
            <w:shd w:val="clear" w:color="auto" w:fill="D2D2D2"/>
          </w:tcPr>
          <w:p>
            <w:pPr/>
          </w:p>
        </w:tc>
        <w:tc>
          <w:tcPr>
            <w:tcW w:w="60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684" w:type="dxa"/>
            <w:vMerge w:val="restart"/>
            <w:tcBorders>
              <w:top w:val="nil" w:sz="6" w:space="0" w:color="auto"/>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760" w:type="dxa"/>
            <w:vMerge w:val="restart"/>
            <w:tcBorders>
              <w:top w:val="nil" w:sz="6" w:space="0" w:color="auto"/>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930" w:type="dxa"/>
            <w:vMerge/>
            <w:tcBorders>
              <w:left w:val="single" w:sz="4" w:space="0" w:color="000000"/>
              <w:right w:val="single" w:sz="4" w:space="0" w:color="000000"/>
            </w:tcBorders>
          </w:tcPr>
          <w:p>
            <w:pPr/>
          </w:p>
        </w:tc>
      </w:tr>
      <w:tr>
        <w:trPr>
          <w:trHeight w:val="161" w:hRule="exact"/>
        </w:trPr>
        <w:tc>
          <w:tcPr>
            <w:tcW w:w="1219"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760"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475,00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1,480,81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79,403,6</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87.72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632,443,1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89.50</w:t>
            </w:r>
          </w:p>
        </w:tc>
        <w:tc>
          <w:tcPr>
            <w:tcW w:w="798"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2,667,658,5</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19.16</w:t>
            </w:r>
          </w:p>
        </w:tc>
      </w:tr>
      <w:tr>
        <w:trPr>
          <w:trHeight w:val="705"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05" w:type="dxa"/>
            <w:vMerge/>
            <w:tcBorders>
              <w:left w:val="single" w:sz="9"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9"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4"/>
              <w:jc w:val="right"/>
              <w:rPr>
                <w:rFonts w:ascii="宋体" w:hAnsi="宋体" w:cs="宋体" w:eastAsia="宋体" w:hint="default"/>
                <w:sz w:val="18"/>
                <w:szCs w:val="18"/>
              </w:rPr>
            </w:pPr>
            <w:r>
              <w:rPr>
                <w:rFonts w:ascii="宋体" w:hAnsi="宋体" w:cs="宋体" w:eastAsia="宋体" w:hint="default"/>
                <w:sz w:val="18"/>
                <w:szCs w:val="18"/>
              </w:rPr>
              <w:t>其他</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475,00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1,480,81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79,403,6</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87.72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632,443,1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89.50</w:t>
            </w:r>
          </w:p>
        </w:tc>
        <w:tc>
          <w:tcPr>
            <w:tcW w:w="798"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2,667,658,5</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19.16</w:t>
            </w:r>
          </w:p>
        </w:tc>
      </w:tr>
      <w:tr>
        <w:trPr>
          <w:trHeight w:val="704"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05" w:type="dxa"/>
            <w:vMerge/>
            <w:tcBorders>
              <w:left w:val="single" w:sz="9"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9"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1026"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156,01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34,877.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9,818,25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8.96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74,114,33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0.59</w:t>
            </w: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2,081,887,3</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06.53</w:t>
            </w: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98,182,58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9.55</w:t>
            </w: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98,182,589.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156,01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34,877.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1,997,954,7</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16.98</w:t>
            </w:r>
          </w:p>
        </w:tc>
      </w:tr>
      <w:tr>
        <w:trPr>
          <w:trHeight w:val="705"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05" w:type="dxa"/>
            <w:vMerge/>
            <w:tcBorders>
              <w:left w:val="single" w:sz="9"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9"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156,01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34,877.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1,997,954,7</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16.98</w:t>
            </w:r>
          </w:p>
        </w:tc>
      </w:tr>
      <w:tr>
        <w:trPr>
          <w:trHeight w:val="704"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5" w:type="dxa"/>
            <w:vMerge/>
            <w:tcBorders>
              <w:left w:val="single" w:sz="9"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9"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1026"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9" w:space="0" w:color="D2D2D2"/>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9,818,25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8.96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-24,068,2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58.96</w:t>
            </w:r>
          </w:p>
        </w:tc>
        <w:tc>
          <w:tcPr>
            <w:tcW w:w="798"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-14,250,000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利润分配</w:t>
            </w:r>
          </w:p>
        </w:tc>
        <w:tc>
          <w:tcPr>
            <w:tcW w:w="605" w:type="dxa"/>
            <w:vMerge/>
            <w:tcBorders>
              <w:left w:val="single" w:sz="9"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9"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9,818,25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8.96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-9,818,25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8.96</w:t>
            </w: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z w:val="18"/>
                <w:szCs w:val="18"/>
              </w:rPr>
              <w:t> 股东）的分配</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-14,250,0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-14,250,000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2"/>
              <w:jc w:val="righ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7"/>
                <w:sz w:val="18"/>
                <w:szCs w:val="18"/>
              </w:rPr>
              <w:t>）</w:t>
            </w:r>
            <w:r>
              <w:rPr>
                <w:rFonts w:ascii="宋体" w:hAnsi="宋体" w:cs="宋体" w:eastAsia="宋体" w:hint="default"/>
                <w:sz w:val="18"/>
                <w:szCs w:val="18"/>
              </w:rPr>
              <w:t>所有者权</w:t>
            </w:r>
          </w:p>
        </w:tc>
        <w:tc>
          <w:tcPr>
            <w:tcW w:w="605" w:type="dxa"/>
            <w:tcBorders>
              <w:top w:val="single" w:sz="4" w:space="0" w:color="000000"/>
              <w:left w:val="single" w:sz="13"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4"/>
        <w:gridCol w:w="572"/>
        <w:gridCol w:w="571"/>
        <w:gridCol w:w="572"/>
        <w:gridCol w:w="686"/>
        <w:gridCol w:w="686"/>
        <w:gridCol w:w="684"/>
        <w:gridCol w:w="686"/>
        <w:gridCol w:w="760"/>
        <w:gridCol w:w="798"/>
        <w:gridCol w:w="798"/>
        <w:gridCol w:w="930"/>
      </w:tblGrid>
      <w:tr>
        <w:trPr>
          <w:trHeight w:val="36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专项储备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631,01</w:t>
            </w: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9,839.</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46,519.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89,221,9</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46.68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706,557,5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20.09</w:t>
            </w:r>
          </w:p>
        </w:tc>
        <w:tc>
          <w:tcPr>
            <w:tcW w:w="798"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4,749,545,8</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25.69</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032"/>
        <w:jc w:val="left"/>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871" w:right="1127"/>
        <w:jc w:val="left"/>
      </w:pPr>
      <w:r>
        <w:rPr>
          <w:spacing w:val="-1"/>
        </w:rPr>
        <w:t>上海华峰超纤材料股份有限公司（以下简称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）是在原华峰集团上海有限公司基础上整体变更设立</w:t>
      </w:r>
      <w:r>
        <w:rPr>
          <w:spacing w:val="-83"/>
        </w:rPr>
        <w:t> </w:t>
      </w:r>
      <w:r>
        <w:rPr>
          <w:spacing w:val="-83"/>
        </w:rPr>
      </w:r>
      <w:r>
        <w:rPr>
          <w:spacing w:val="-1"/>
        </w:rPr>
        <w:t>的股份有限公司，由华峰集团有限公司和尤金焕等</w:t>
      </w:r>
      <w:r>
        <w:rPr>
          <w:rFonts w:ascii="Times New Roman" w:hAnsi="Times New Roman" w:cs="Times New Roman" w:eastAsia="Times New Roman" w:hint="default"/>
          <w:spacing w:val="-1"/>
        </w:rPr>
        <w:t>38</w:t>
      </w:r>
      <w:r>
        <w:rPr>
          <w:spacing w:val="-1"/>
        </w:rPr>
        <w:t>位自然人作为发起人，设立时注册资本为</w:t>
      </w:r>
      <w:r>
        <w:rPr>
          <w:rFonts w:ascii="Times New Roman" w:hAnsi="Times New Roman" w:cs="Times New Roman" w:eastAsia="Times New Roman" w:hint="default"/>
          <w:spacing w:val="-1"/>
        </w:rPr>
        <w:t>11,800</w:t>
      </w:r>
      <w:r>
        <w:rPr>
          <w:spacing w:val="-1"/>
        </w:rPr>
        <w:t>万元（每股面</w:t>
      </w:r>
      <w:r>
        <w:rPr>
          <w:spacing w:val="-74"/>
        </w:rPr>
        <w:t> </w:t>
      </w:r>
      <w:r>
        <w:rPr>
          <w:spacing w:val="-74"/>
        </w:rPr>
      </w:r>
      <w:r>
        <w:rPr>
          <w:spacing w:val="-2"/>
        </w:rPr>
        <w:t>值人民币</w:t>
      </w:r>
      <w:r>
        <w:rPr>
          <w:rFonts w:ascii="Times New Roman" w:hAnsi="Times New Roman" w:cs="Times New Roman" w:eastAsia="Times New Roman" w:hint="default"/>
          <w:spacing w:val="-2"/>
        </w:rPr>
        <w:t>1</w:t>
      </w:r>
      <w:r>
        <w:rPr>
          <w:spacing w:val="-2"/>
        </w:rPr>
        <w:t>元）。公司目前持有上海市工商行政管理局颁发的注册号为</w:t>
      </w:r>
      <w:r>
        <w:rPr>
          <w:rFonts w:ascii="Times New Roman" w:hAnsi="Times New Roman" w:cs="Times New Roman" w:eastAsia="Times New Roman" w:hint="default"/>
          <w:spacing w:val="-2"/>
        </w:rPr>
        <w:t>91310000744207135C</w:t>
      </w:r>
      <w:r>
        <w:rPr>
          <w:spacing w:val="-2"/>
        </w:rPr>
        <w:t>企业法人营业执照。</w:t>
      </w:r>
      <w:r>
        <w:rPr>
          <w:spacing w:val="-64"/>
        </w:rPr>
        <w:t> </w:t>
      </w:r>
      <w:r>
        <w:rPr/>
        <w:t>根据本公司</w:t>
      </w:r>
      <w:r>
        <w:rPr>
          <w:rFonts w:ascii="Times New Roman" w:hAnsi="Times New Roman" w:cs="Times New Roman" w:eastAsia="Times New Roman" w:hint="default"/>
        </w:rPr>
        <w:t>2010</w:t>
      </w:r>
      <w:r>
        <w:rPr/>
        <w:t>年第二次临时股东大会、第一届董事会第八次会议决议，并经中国证券监督管理委员会证监许可</w:t>
      </w:r>
    </w:p>
    <w:p>
      <w:pPr>
        <w:pStyle w:val="BodyText"/>
        <w:spacing w:line="300" w:lineRule="auto" w:before="13"/>
        <w:ind w:left="871" w:right="1032"/>
        <w:jc w:val="left"/>
      </w:pPr>
      <w:r>
        <w:rPr/>
        <w:t>【</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132</w:t>
      </w:r>
      <w:r>
        <w:rPr/>
        <w:t>号文</w:t>
      </w:r>
      <w:r>
        <w:rPr>
          <w:rFonts w:ascii="Times New Roman" w:hAnsi="Times New Roman" w:cs="Times New Roman" w:eastAsia="Times New Roman" w:hint="default"/>
        </w:rPr>
        <w:t>“</w:t>
      </w:r>
      <w:r>
        <w:rPr/>
        <w:t>关于核准上海华峰超纤材料股份有限公司首次公开发行股票并在创业板上市的批复</w:t>
      </w:r>
      <w:r>
        <w:rPr>
          <w:rFonts w:ascii="Times New Roman" w:hAnsi="Times New Roman" w:cs="Times New Roman" w:eastAsia="Times New Roman" w:hint="default"/>
        </w:rPr>
        <w:t>”</w:t>
      </w:r>
      <w:r>
        <w:rPr/>
        <w:t>核准，本公</w:t>
      </w:r>
      <w:r>
        <w:rPr>
          <w:spacing w:val="-64"/>
        </w:rPr>
        <w:t> </w:t>
      </w:r>
      <w:r>
        <w:rPr>
          <w:spacing w:val="-64"/>
        </w:rPr>
      </w:r>
      <w:r>
        <w:rPr/>
        <w:t>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日公开发行</w:t>
      </w:r>
      <w:r>
        <w:rPr>
          <w:rFonts w:ascii="Times New Roman" w:hAnsi="Times New Roman" w:cs="Times New Roman" w:eastAsia="Times New Roman" w:hint="default"/>
        </w:rPr>
        <w:t>4,000</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日在深圳证券交易所上市。 </w:t>
      </w:r>
      <w:r>
        <w:rPr>
          <w:spacing w:val="8"/>
        </w:rPr>
        <w:t>根据本公司</w:t>
      </w:r>
      <w:r>
        <w:rPr>
          <w:rFonts w:ascii="Times New Roman" w:hAnsi="Times New Roman" w:cs="Times New Roman" w:eastAsia="Times New Roman" w:hint="default"/>
          <w:spacing w:val="8"/>
        </w:rPr>
        <w:t>2014</w:t>
      </w:r>
      <w:r>
        <w:rPr>
          <w:spacing w:val="8"/>
        </w:rPr>
        <w:t>年度股东大会、第二届董事会第二十二次会议决议，本公司以</w:t>
      </w:r>
      <w:r>
        <w:rPr>
          <w:spacing w:val="-66"/>
        </w:rPr>
        <w:t> </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日公司股份总数</w:t>
      </w:r>
      <w:r>
        <w:rPr>
          <w:spacing w:val="-72"/>
        </w:rPr>
        <w:t> </w:t>
      </w:r>
      <w:r>
        <w:rPr>
          <w:spacing w:val="-72"/>
        </w:rPr>
      </w:r>
      <w:r>
        <w:rPr>
          <w:rFonts w:ascii="Times New Roman" w:hAnsi="Times New Roman" w:cs="Times New Roman" w:eastAsia="Times New Roman" w:hint="default"/>
          <w:spacing w:val="-2"/>
        </w:rPr>
        <w:t>15,800.00</w:t>
      </w:r>
      <w:r>
        <w:rPr>
          <w:spacing w:val="-2"/>
        </w:rPr>
        <w:t>万股为基数，以资本公积向全体股东每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股，合计转增股本</w:t>
      </w:r>
      <w:r>
        <w:rPr>
          <w:rFonts w:ascii="Times New Roman" w:hAnsi="Times New Roman" w:cs="Times New Roman" w:eastAsia="Times New Roman" w:hint="default"/>
          <w:spacing w:val="-2"/>
        </w:rPr>
        <w:t>23,700.00</w:t>
      </w:r>
      <w:r>
        <w:rPr>
          <w:spacing w:val="-2"/>
        </w:rPr>
        <w:t>万元，变更后股本为人民币</w:t>
      </w:r>
    </w:p>
    <w:p>
      <w:pPr>
        <w:pStyle w:val="BodyText"/>
        <w:spacing w:line="240" w:lineRule="auto" w:before="13"/>
        <w:ind w:left="871" w:right="1032"/>
        <w:jc w:val="left"/>
      </w:pPr>
      <w:r>
        <w:rPr>
          <w:rFonts w:ascii="Times New Roman" w:hAnsi="Times New Roman" w:cs="Times New Roman" w:eastAsia="Times New Roman" w:hint="default"/>
        </w:rPr>
        <w:t>39,500.00</w:t>
      </w:r>
      <w:r>
        <w:rPr/>
        <w:t>万元。</w:t>
      </w:r>
    </w:p>
    <w:p>
      <w:pPr>
        <w:pStyle w:val="BodyText"/>
        <w:spacing w:line="300" w:lineRule="auto" w:before="63"/>
        <w:ind w:left="871" w:right="1032"/>
        <w:jc w:val="left"/>
      </w:pPr>
      <w:r>
        <w:rPr>
          <w:spacing w:val="-2"/>
        </w:rPr>
        <w:t>根据本公司</w:t>
      </w:r>
      <w:r>
        <w:rPr>
          <w:rFonts w:ascii="Times New Roman" w:hAnsi="Times New Roman" w:cs="Times New Roman" w:eastAsia="Times New Roman" w:hint="default"/>
          <w:spacing w:val="-2"/>
        </w:rPr>
        <w:t>2015</w:t>
      </w:r>
      <w:r>
        <w:rPr>
          <w:spacing w:val="-2"/>
        </w:rPr>
        <w:t>年第一次临时股东大会决议、第二届董事会第二十四次会议决议，并经中国证券监督管理委员会证</w:t>
      </w:r>
      <w:r>
        <w:rPr>
          <w:spacing w:val="-66"/>
        </w:rPr>
        <w:t> </w:t>
      </w:r>
      <w:r>
        <w:rPr>
          <w:spacing w:val="-66"/>
        </w:rPr>
      </w:r>
      <w:r>
        <w:rPr/>
        <w:t>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3128</w:t>
      </w:r>
      <w:r>
        <w:rPr/>
        <w:t>号文</w:t>
      </w:r>
      <w:r>
        <w:rPr>
          <w:rFonts w:ascii="Times New Roman" w:hAnsi="Times New Roman" w:cs="Times New Roman" w:eastAsia="Times New Roman" w:hint="default"/>
        </w:rPr>
        <w:t>“</w:t>
      </w:r>
      <w:r>
        <w:rPr/>
        <w:t>关于核准上海华峰超纤材料股份有限公司非公开发行股票的批复</w:t>
      </w:r>
      <w:r>
        <w:rPr>
          <w:rFonts w:ascii="Times New Roman" w:hAnsi="Times New Roman" w:cs="Times New Roman" w:eastAsia="Times New Roman" w:hint="default"/>
        </w:rPr>
        <w:t>”</w:t>
      </w:r>
      <w:r>
        <w:rPr/>
        <w:t>核准，本公司于</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日非公开发行</w:t>
      </w:r>
      <w:r>
        <w:rPr>
          <w:rFonts w:ascii="Times New Roman" w:hAnsi="Times New Roman" w:cs="Times New Roman" w:eastAsia="Times New Roman" w:hint="default"/>
        </w:rPr>
        <w:t>8,000</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日在深圳证券交易所上市。 根据本公司</w:t>
      </w:r>
      <w:r>
        <w:rPr>
          <w:rFonts w:ascii="Times New Roman" w:hAnsi="Times New Roman" w:cs="Times New Roman" w:eastAsia="Times New Roman" w:hint="default"/>
        </w:rPr>
        <w:t>2016</w:t>
      </w:r>
      <w:r>
        <w:rPr/>
        <w:t>年第二次临时股东大会决议、第三届董事会第十九次会议决议，并经中国证券监督管理委员会</w:t>
      </w:r>
      <w:r>
        <w:rPr>
          <w:rFonts w:ascii="Times New Roman" w:hAnsi="Times New Roman" w:cs="Times New Roman" w:eastAsia="Times New Roman" w:hint="default"/>
        </w:rPr>
        <w:t>“</w:t>
      </w:r>
      <w:r>
        <w:rPr/>
        <w:t>证</w:t>
      </w:r>
      <w:r>
        <w:rPr>
          <w:spacing w:val="-74"/>
        </w:rPr>
        <w:t> </w:t>
      </w:r>
      <w:r>
        <w:rPr>
          <w:spacing w:val="-1"/>
        </w:rPr>
        <w:t>监许可</w:t>
      </w:r>
      <w:r>
        <w:rPr>
          <w:rFonts w:ascii="Times New Roman" w:hAnsi="Times New Roman" w:cs="Times New Roman" w:eastAsia="Times New Roman" w:hint="default"/>
          <w:spacing w:val="-1"/>
        </w:rPr>
        <w:t>[2017]855</w:t>
      </w:r>
      <w:r>
        <w:rPr>
          <w:spacing w:val="-1"/>
        </w:rPr>
        <w:t>号</w:t>
      </w:r>
      <w:r>
        <w:rPr>
          <w:rFonts w:ascii="Times New Roman" w:hAnsi="Times New Roman" w:cs="Times New Roman" w:eastAsia="Times New Roman" w:hint="default"/>
          <w:spacing w:val="-1"/>
        </w:rPr>
        <w:t>”</w:t>
      </w:r>
      <w:r>
        <w:rPr>
          <w:spacing w:val="-1"/>
        </w:rPr>
        <w:t>核准，公司向鲜丹发行</w:t>
      </w:r>
      <w:r>
        <w:rPr>
          <w:rFonts w:ascii="Times New Roman" w:hAnsi="Times New Roman" w:cs="Times New Roman" w:eastAsia="Times New Roman" w:hint="default"/>
          <w:spacing w:val="-1"/>
        </w:rPr>
        <w:t>45,923,991</w:t>
      </w:r>
      <w:r>
        <w:rPr>
          <w:spacing w:val="-1"/>
        </w:rPr>
        <w:t>股股份，向蔡友弟发行</w:t>
      </w:r>
      <w:r>
        <w:rPr>
          <w:rFonts w:ascii="Times New Roman" w:hAnsi="Times New Roman" w:cs="Times New Roman" w:eastAsia="Times New Roman" w:hint="default"/>
          <w:spacing w:val="-1"/>
        </w:rPr>
        <w:t>29,178,369</w:t>
      </w:r>
      <w:r>
        <w:rPr>
          <w:spacing w:val="-1"/>
        </w:rPr>
        <w:t>股股份，向北京奕铭投资管</w:t>
      </w:r>
      <w:r>
        <w:rPr>
          <w:spacing w:val="-40"/>
        </w:rPr>
        <w:t> </w:t>
      </w:r>
      <w:r>
        <w:rPr>
          <w:spacing w:val="-40"/>
        </w:rPr>
      </w:r>
      <w:r>
        <w:rPr>
          <w:spacing w:val="-2"/>
        </w:rPr>
        <w:t>理中心（有限合伙）发行</w:t>
      </w:r>
      <w:r>
        <w:rPr>
          <w:rFonts w:ascii="Times New Roman" w:hAnsi="Times New Roman" w:cs="Times New Roman" w:eastAsia="Times New Roman" w:hint="default"/>
          <w:spacing w:val="-2"/>
        </w:rPr>
        <w:t>20,875,797</w:t>
      </w:r>
      <w:r>
        <w:rPr>
          <w:spacing w:val="-2"/>
        </w:rPr>
        <w:t>股股份，向王彤发行</w:t>
      </w:r>
      <w:r>
        <w:rPr>
          <w:rFonts w:ascii="Times New Roman" w:hAnsi="Times New Roman" w:cs="Times New Roman" w:eastAsia="Times New Roman" w:hint="default"/>
          <w:spacing w:val="-2"/>
        </w:rPr>
        <w:t>13,456,086</w:t>
      </w:r>
      <w:r>
        <w:rPr>
          <w:spacing w:val="-2"/>
        </w:rPr>
        <w:t>股股份，向尤光兴发行</w:t>
      </w:r>
      <w:r>
        <w:rPr>
          <w:rFonts w:ascii="Times New Roman" w:hAnsi="Times New Roman" w:cs="Times New Roman" w:eastAsia="Times New Roman" w:hint="default"/>
          <w:spacing w:val="-2"/>
        </w:rPr>
        <w:t>8,052,307</w:t>
      </w:r>
      <w:r>
        <w:rPr>
          <w:spacing w:val="-2"/>
        </w:rPr>
        <w:t>股股份，向邓振</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left="871" w:right="1039"/>
        <w:jc w:val="left"/>
      </w:pPr>
      <w:r>
        <w:rPr/>
        <w:t>国发行</w:t>
      </w:r>
      <w:r>
        <w:rPr>
          <w:rFonts w:ascii="Times New Roman" w:hAnsi="Times New Roman" w:cs="Times New Roman" w:eastAsia="Times New Roman" w:hint="default"/>
        </w:rPr>
        <w:t>5,636,154</w:t>
      </w:r>
      <w:r>
        <w:rPr/>
        <w:t>股股份，向蔡小如发行</w:t>
      </w:r>
      <w:r>
        <w:rPr>
          <w:rFonts w:ascii="Times New Roman" w:hAnsi="Times New Roman" w:cs="Times New Roman" w:eastAsia="Times New Roman" w:hint="default"/>
        </w:rPr>
        <w:t>4,026,154</w:t>
      </w:r>
      <w:r>
        <w:rPr/>
        <w:t>股股份，向中山市微远创新投资基金管理中心（有限合伙）发行</w:t>
      </w:r>
      <w:r>
        <w:rPr>
          <w:spacing w:val="-7"/>
        </w:rPr>
        <w:t> </w:t>
      </w:r>
      <w:r>
        <w:rPr>
          <w:rFonts w:ascii="Times New Roman" w:hAnsi="Times New Roman" w:cs="Times New Roman" w:eastAsia="Times New Roman" w:hint="default"/>
          <w:spacing w:val="-2"/>
        </w:rPr>
        <w:t>2,790,609</w:t>
      </w:r>
      <w:r>
        <w:rPr>
          <w:spacing w:val="-2"/>
        </w:rPr>
        <w:t>股股份，向于净发行</w:t>
      </w:r>
      <w:r>
        <w:rPr>
          <w:rFonts w:ascii="Times New Roman" w:hAnsi="Times New Roman" w:cs="Times New Roman" w:eastAsia="Times New Roman" w:hint="default"/>
          <w:spacing w:val="-2"/>
        </w:rPr>
        <w:t>3,221,154</w:t>
      </w:r>
      <w:r>
        <w:rPr>
          <w:spacing w:val="-2"/>
        </w:rPr>
        <w:t>股股份，向林松柏发行</w:t>
      </w:r>
      <w:r>
        <w:rPr>
          <w:rFonts w:ascii="Times New Roman" w:hAnsi="Times New Roman" w:cs="Times New Roman" w:eastAsia="Times New Roman" w:hint="default"/>
          <w:spacing w:val="-2"/>
        </w:rPr>
        <w:t>3,221,153</w:t>
      </w:r>
      <w:r>
        <w:rPr>
          <w:spacing w:val="-2"/>
        </w:rPr>
        <w:t>股股份，向叶成春发行</w:t>
      </w:r>
      <w:r>
        <w:rPr>
          <w:rFonts w:ascii="Times New Roman" w:hAnsi="Times New Roman" w:cs="Times New Roman" w:eastAsia="Times New Roman" w:hint="default"/>
          <w:spacing w:val="-2"/>
        </w:rPr>
        <w:t>1,783,951</w:t>
      </w:r>
      <w:r>
        <w:rPr>
          <w:spacing w:val="-2"/>
        </w:rPr>
        <w:t>股股份购买</w:t>
      </w:r>
      <w:r>
        <w:rPr>
          <w:spacing w:val="-38"/>
        </w:rPr>
        <w:t> </w:t>
      </w:r>
      <w:r>
        <w:rPr/>
        <w:t>相关资产，以及非公开发行</w:t>
      </w:r>
      <w:r>
        <w:rPr>
          <w:rFonts w:ascii="Times New Roman" w:hAnsi="Times New Roman" w:cs="Times New Roman" w:eastAsia="Times New Roman" w:hint="default"/>
        </w:rPr>
        <w:t>17,854,114</w:t>
      </w:r>
      <w:r>
        <w:rPr/>
        <w:t>股（每股面值</w:t>
      </w:r>
      <w:r>
        <w:rPr>
          <w:rFonts w:ascii="Times New Roman" w:hAnsi="Times New Roman" w:cs="Times New Roman" w:eastAsia="Times New Roman" w:hint="default"/>
        </w:rPr>
        <w:t>1</w:t>
      </w:r>
      <w:r>
        <w:rPr/>
        <w:t>元）人民币普通股，并于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日在深圳证券交易所上</w:t>
      </w:r>
      <w:r>
        <w:rPr>
          <w:spacing w:val="-86"/>
        </w:rPr>
        <w:t> </w:t>
      </w:r>
      <w:r>
        <w:rPr>
          <w:spacing w:val="-86"/>
        </w:rPr>
      </w:r>
      <w:r>
        <w:rPr/>
        <w:t>市。 根据本公司</w:t>
      </w:r>
      <w:r>
        <w:rPr>
          <w:rFonts w:ascii="Times New Roman" w:hAnsi="Times New Roman" w:cs="Times New Roman" w:eastAsia="Times New Roman" w:hint="default"/>
        </w:rPr>
        <w:t>2017</w:t>
      </w:r>
      <w:r>
        <w:rPr/>
        <w:t>年股东大会，公司以现有总股本</w:t>
      </w:r>
      <w:r>
        <w:rPr>
          <w:rFonts w:ascii="Times New Roman" w:hAnsi="Times New Roman" w:cs="Times New Roman" w:eastAsia="Times New Roman" w:hint="default"/>
        </w:rPr>
        <w:t>631,019,839</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0.50</w:t>
      </w:r>
      <w:r>
        <w:rPr/>
        <w:t>元人民币现金，同 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8.00</w:t>
      </w:r>
      <w:r>
        <w:rPr/>
        <w:t>股，分红后总股本增至</w:t>
      </w:r>
      <w:r>
        <w:rPr>
          <w:rFonts w:ascii="Times New Roman" w:hAnsi="Times New Roman" w:cs="Times New Roman" w:eastAsia="Times New Roman" w:hint="default"/>
        </w:rPr>
        <w:t>1,135,835,710</w:t>
      </w:r>
      <w:r>
        <w:rPr/>
        <w:t>股。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1,135,835,710</w:t>
      </w:r>
      <w:r>
        <w:rPr/>
        <w:t>股，公司注册资本为</w:t>
      </w:r>
      <w:r>
        <w:rPr>
          <w:rFonts w:ascii="Times New Roman" w:hAnsi="Times New Roman" w:cs="Times New Roman" w:eastAsia="Times New Roman" w:hint="default"/>
        </w:rPr>
        <w:t>1,135,835,710</w:t>
      </w:r>
      <w:r>
        <w:rPr/>
        <w:t>元。 </w:t>
      </w:r>
      <w:r>
        <w:rPr>
          <w:spacing w:val="-7"/>
        </w:rPr>
        <w:t>公司经营范围：超细纤维聚氨酯合成革（不含危险化学品）、聚氨酯革用树脂的研发、生产，化工产品（除危险品）、</w:t>
      </w:r>
      <w:r>
        <w:rPr>
          <w:spacing w:val="-78"/>
        </w:rPr>
        <w:t> </w:t>
      </w:r>
      <w:r>
        <w:rPr>
          <w:spacing w:val="-78"/>
        </w:rPr>
      </w:r>
      <w:r>
        <w:rPr>
          <w:spacing w:val="-4"/>
        </w:rPr>
        <w:t>塑料制品、皮革制品的销售，从事货物与技术进出口业务。（企业经营涉及行政许可的，凭许可证件经营）。</w:t>
      </w:r>
      <w:r>
        <w:rPr>
          <w:spacing w:val="-78"/>
        </w:rPr>
        <w:t> </w:t>
      </w:r>
      <w:r>
        <w:rPr>
          <w:spacing w:val="-78"/>
        </w:rPr>
      </w:r>
      <w:r>
        <w:rPr/>
        <w:t>公司注册地：上海市金山区，总部地址：上海市金山区。</w:t>
      </w:r>
    </w:p>
    <w:p>
      <w:pPr>
        <w:pStyle w:val="BodyText"/>
        <w:spacing w:line="600" w:lineRule="auto" w:before="26"/>
        <w:ind w:left="868" w:right="4818" w:firstLine="3"/>
        <w:jc w:val="left"/>
      </w:pP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日批准报出。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13"/>
        <w:rPr>
          <w:rFonts w:ascii="宋体" w:hAnsi="宋体" w:cs="宋体" w:eastAsia="宋体" w:hint="default"/>
          <w:sz w:val="4"/>
          <w:szCs w:val="4"/>
        </w:rPr>
      </w:pPr>
    </w:p>
    <w:tbl>
      <w:tblPr>
        <w:tblW w:w="0" w:type="auto"/>
        <w:jc w:val="left"/>
        <w:tblInd w:w="760" w:type="dxa"/>
        <w:tblLayout w:type="fixed"/>
        <w:tblCellMar>
          <w:top w:w="0" w:type="dxa"/>
          <w:left w:w="0" w:type="dxa"/>
          <w:bottom w:w="0" w:type="dxa"/>
          <w:right w:w="0" w:type="dxa"/>
        </w:tblCellMar>
        <w:tblLook w:val="01E0"/>
      </w:tblPr>
      <w:tblGrid>
        <w:gridCol w:w="7814"/>
      </w:tblGrid>
      <w:tr>
        <w:trPr>
          <w:trHeight w:val="355" w:hRule="exact"/>
        </w:trPr>
        <w:tc>
          <w:tcPr>
            <w:tcW w:w="7814"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江苏超纤</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江苏华峰化学有限公司（以下简称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江苏化学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深圳市威富通科技有限公司（以下简称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威富通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深圳市购购通电商科技有限公司（以下简称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购购通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跨境通移动科技有限公司（以下简称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跨境通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深圳市智付通信息服务有限公司（以下简称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深圳市白龙移动科技有限公司（以下简称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白龙移动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深圳市智易信息服务有限公司（以下简称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智易信息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威富通（香港）科技有限公司（以下简称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威富通香港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深圳市联银通富科技有限公司（以下简称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联银通富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21"/>
          <w:szCs w:val="21"/>
        </w:rPr>
      </w:pPr>
    </w:p>
    <w:p>
      <w:pPr>
        <w:pStyle w:val="BodyText"/>
        <w:spacing w:line="300" w:lineRule="auto" w:before="44"/>
        <w:ind w:left="868" w:right="1032"/>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月，根据公司董事会决议，公司成立威富通（香港）科技有限公司，投资总额为港币</w:t>
      </w:r>
      <w:r>
        <w:rPr>
          <w:rFonts w:ascii="Times New Roman" w:hAnsi="Times New Roman" w:cs="Times New Roman" w:eastAsia="Times New Roman" w:hint="default"/>
          <w:spacing w:val="-2"/>
        </w:rPr>
        <w:t>5000</w:t>
      </w:r>
      <w:r>
        <w:rPr>
          <w:spacing w:val="-2"/>
        </w:rPr>
        <w:t>万元。本公司</w:t>
      </w:r>
      <w:r>
        <w:rPr>
          <w:spacing w:val="-57"/>
        </w:rPr>
        <w:t> </w:t>
      </w:r>
      <w:r>
        <w:rPr>
          <w:spacing w:val="-57"/>
        </w:rPr>
      </w:r>
      <w:r>
        <w:rPr/>
        <w:t>持有威富通香港</w:t>
      </w:r>
      <w:r>
        <w:rPr>
          <w:rFonts w:ascii="Times New Roman" w:hAnsi="Times New Roman" w:cs="Times New Roman" w:eastAsia="Times New Roman" w:hint="default"/>
        </w:rPr>
        <w:t>100%</w:t>
      </w:r>
      <w:r>
        <w:rPr/>
        <w:t>的股权。公司从威富通香港设立之日起将其纳入合并会计报表范围。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月，根据公司董事会决议，公司与与深圳市微智投资咨询中心合伙企业共同投资成立联银通富，投资总</w:t>
      </w:r>
      <w:r>
        <w:rPr>
          <w:spacing w:val="-64"/>
        </w:rPr>
        <w:t> </w:t>
      </w:r>
      <w:r>
        <w:rPr>
          <w:spacing w:val="-64"/>
        </w:rPr>
      </w:r>
      <w:r>
        <w:rPr/>
        <w:t>额为人民币</w:t>
      </w:r>
      <w:r>
        <w:rPr>
          <w:rFonts w:ascii="Times New Roman" w:hAnsi="Times New Roman" w:cs="Times New Roman" w:eastAsia="Times New Roman" w:hint="default"/>
        </w:rPr>
        <w:t>3250</w:t>
      </w:r>
      <w:r>
        <w:rPr/>
        <w:t>万元。本公司认购并持有联银通富</w:t>
      </w:r>
      <w:r>
        <w:rPr>
          <w:rFonts w:ascii="Times New Roman" w:hAnsi="Times New Roman" w:cs="Times New Roman" w:eastAsia="Times New Roman" w:hint="default"/>
        </w:rPr>
        <w:t>53.85%</w:t>
      </w:r>
      <w:r>
        <w:rPr/>
        <w:t>的股权。公司从联银通富设立之日起将其纳入合并会计 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1032"/>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868" w:right="1132"/>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w:t>
      </w:r>
      <w:r>
        <w:rPr>
          <w:spacing w:val="-70"/>
        </w:rPr>
        <w:t> </w:t>
      </w:r>
      <w:r>
        <w:rPr>
          <w:spacing w:val="-70"/>
        </w:rPr>
      </w:r>
      <w:r>
        <w:rPr>
          <w:spacing w:val="-2"/>
          <w:w w:val="100"/>
        </w:rPr>
        <w:t>体会计准则、企业会计准则应用指南、企业会计准则解释及其他相关规定（以下合称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），以及中国</w:t>
      </w:r>
      <w:r>
        <w:rPr>
          <w:spacing w:val="-79"/>
          <w:w w:val="100"/>
        </w:rPr>
        <w:t> </w:t>
      </w:r>
      <w:r>
        <w:rPr>
          <w:spacing w:val="-79"/>
          <w:w w:val="100"/>
        </w:rPr>
      </w:r>
      <w:r>
        <w:rPr/>
        <w:t>证券监督管理委员会《公开发行证券的公司信息披露编报规则第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财务报告的一般规定》的披露规定编制 财务报表。</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68" w:right="1032"/>
        <w:jc w:val="left"/>
      </w:pPr>
      <w:r>
        <w:rPr/>
        <w:t>公司自报告期末起至少</w:t>
      </w:r>
      <w:r>
        <w:rPr>
          <w:rFonts w:ascii="Times New Roman" w:hAnsi="Times New Roman" w:cs="Times New Roman" w:eastAsia="Times New Roman" w:hint="default"/>
        </w:rPr>
        <w:t>12</w:t>
      </w:r>
      <w:r>
        <w:rPr/>
        <w:t>个月以内具备持续经营能力，不存在影响持续经营能力的重大事项。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1032"/>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57" w:lineRule="auto" w:before="29"/>
        <w:ind w:right="8092"/>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right="1032"/>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68" w:right="1032"/>
        <w:jc w:val="left"/>
      </w:pPr>
      <w:r>
        <w:rPr>
          <w:spacing w:val="-2"/>
        </w:rPr>
        <w:t>公司所编制的财务报表符合企业会计准则的要求，真实、完整地反映了报告期公司的财务状况、经营成果、现金流</w:t>
      </w:r>
      <w:r>
        <w:rPr>
          <w:spacing w:val="-70"/>
        </w:rPr>
        <w:t> </w:t>
      </w:r>
      <w:r>
        <w:rPr>
          <w:spacing w:val="-70"/>
        </w:rPr>
      </w:r>
      <w:r>
        <w:rPr/>
        <w:t>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32"/>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68" w:right="103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032"/>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68" w:right="1032"/>
        <w:jc w:val="left"/>
      </w:pPr>
      <w:r>
        <w:rPr/>
        <w:t>本公司营业周期为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right="1032"/>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68" w:right="1032"/>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032"/>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868" w:right="1038"/>
        <w:jc w:val="left"/>
      </w:pPr>
      <w:r>
        <w:rPr>
          <w:spacing w:val="-2"/>
        </w:rPr>
        <w:t>同一控制下企业合并：本公司在企业合并中取得的资产和负债，按照合并日被合并方资产、负债（包括最终控制方</w:t>
      </w:r>
      <w:r>
        <w:rPr>
          <w:spacing w:val="-70"/>
        </w:rPr>
        <w:t> </w:t>
      </w:r>
      <w:r>
        <w:rPr>
          <w:spacing w:val="-70"/>
        </w:rPr>
      </w:r>
      <w:r>
        <w:rPr>
          <w:spacing w:val="-2"/>
        </w:rPr>
        <w:t>收购被合并方而形成的商誉）在最终控制方合并财务报表中的账面价值计量。在合并中取得的净资产账面价值与支</w:t>
      </w:r>
      <w:r>
        <w:rPr>
          <w:spacing w:val="-68"/>
        </w:rPr>
        <w:t> </w:t>
      </w:r>
      <w:r>
        <w:rPr>
          <w:spacing w:val="-68"/>
        </w:rPr>
      </w:r>
      <w:r>
        <w:rPr>
          <w:spacing w:val="-2"/>
        </w:rPr>
        <w:t>付的合并对价账面价值（或发行股份面值总额）的差额，调整资本公积中的股本溢价，资本公积中的股本溢价不足</w:t>
      </w:r>
      <w:r>
        <w:rPr>
          <w:spacing w:val="-70"/>
        </w:rPr>
        <w:t> </w:t>
      </w:r>
      <w:r>
        <w:rPr>
          <w:spacing w:val="-70"/>
        </w:rPr>
      </w:r>
      <w:r>
        <w:rPr/>
        <w:t>冲减的，调整留存收益。 非同一控制下企业合并：本公司在购买日对作为企业合并对价付出的资产、发生或承担的负债按照公允价值计量， </w:t>
      </w:r>
      <w:r>
        <w:rPr>
          <w:spacing w:val="-2"/>
        </w:rPr>
        <w:t>公允价值与其账面价值的差额，计入当期损益。本公司对合并成本大于合并中取得的被购买方可辨认净资产公允价</w:t>
      </w:r>
      <w:r>
        <w:rPr>
          <w:spacing w:val="-68"/>
        </w:rPr>
        <w:t> </w:t>
      </w:r>
      <w:r>
        <w:rPr>
          <w:spacing w:val="-68"/>
        </w:rPr>
      </w:r>
      <w:r>
        <w:rPr/>
        <w:t>值份额的差额，确认为商誉；合并成本小于合并中取得的被购买方可辨认净资产公允价值份额的差额，经复核后， 计入当期损益。 </w:t>
      </w:r>
      <w:r>
        <w:rPr>
          <w:spacing w:val="-2"/>
        </w:rPr>
        <w:t>为企业合并发生的审计、法律服务、评估咨询等中介费用以及其他直接相关费用，于发生时计入当期损益；为企业</w:t>
      </w:r>
      <w:r>
        <w:rPr>
          <w:spacing w:val="-70"/>
        </w:rPr>
        <w:t> </w:t>
      </w:r>
      <w:r>
        <w:rPr>
          <w:spacing w:val="-70"/>
        </w:rPr>
      </w:r>
      <w:r>
        <w:rPr/>
        <w:t>合并而发行权益性证券的交易费用，冲减权益。</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1032"/>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68" w:right="1032"/>
        <w:jc w:val="left"/>
      </w:pPr>
      <w:r>
        <w:rPr/>
        <w:t>合并范围 </w:t>
      </w:r>
      <w:r>
        <w:rPr>
          <w:spacing w:val="-2"/>
        </w:rPr>
        <w:t>本公司合并财务报表的合并范围以控制为基础确定，所有子公司（包括本公司所控制的被投资方可分割的部分）均</w:t>
      </w:r>
      <w:r>
        <w:rPr>
          <w:spacing w:val="-68"/>
        </w:rPr>
        <w:t> </w:t>
      </w:r>
      <w:r>
        <w:rPr>
          <w:spacing w:val="-68"/>
        </w:rPr>
      </w:r>
      <w:r>
        <w:rPr/>
        <w:t>纳入合并财务报表。</w:t>
      </w:r>
    </w:p>
    <w:p>
      <w:pPr>
        <w:spacing w:line="240" w:lineRule="auto" w:before="4"/>
        <w:rPr>
          <w:rFonts w:ascii="宋体" w:hAnsi="宋体" w:cs="宋体" w:eastAsia="宋体" w:hint="default"/>
          <w:sz w:val="25"/>
          <w:szCs w:val="25"/>
        </w:rPr>
      </w:pPr>
    </w:p>
    <w:p>
      <w:pPr>
        <w:pStyle w:val="BodyText"/>
        <w:spacing w:line="316" w:lineRule="auto"/>
        <w:ind w:left="868" w:right="1038"/>
        <w:jc w:val="left"/>
      </w:pPr>
      <w:r>
        <w:rPr/>
        <w:t>合并程序 本公司以自身和各子公司的财务报表为基础，根据其他有关资料，编制合并财务报表。本公司编制合并财务报表， </w:t>
      </w:r>
      <w:r>
        <w:rPr>
          <w:spacing w:val="-2"/>
        </w:rPr>
        <w:t>将整个企业集团视为一个会计主体，依据相关企业会计准则的确认、计量和列报要求，按照统一的会计政策，反映</w:t>
      </w:r>
      <w:r>
        <w:rPr>
          <w:spacing w:val="-70"/>
        </w:rPr>
        <w:t> </w:t>
      </w:r>
      <w:r>
        <w:rPr>
          <w:spacing w:val="-70"/>
        </w:rPr>
      </w:r>
      <w:r>
        <w:rPr/>
        <w:t>本企业集团整体财务状况、经营成果和现金流量。 所有纳入合并财务报表合并范围的子公司所采用的会计政策、会计期间与本公司一致，如子公司采用的会计政策、 </w:t>
      </w:r>
      <w:r>
        <w:rPr>
          <w:spacing w:val="-2"/>
        </w:rPr>
        <w:t>会计期间与本公司不一致的，在编制合并财务报表时，按本公司的会计政策、会计期间进行必要的调整。对于非同</w:t>
      </w:r>
      <w:r>
        <w:rPr>
          <w:spacing w:val="-70"/>
        </w:rPr>
        <w:t> </w:t>
      </w:r>
      <w:r>
        <w:rPr>
          <w:spacing w:val="-70"/>
        </w:rPr>
      </w:r>
      <w:r>
        <w:rPr>
          <w:spacing w:val="-2"/>
        </w:rPr>
        <w:t>一控制下企业合并取得的子公司，以购买日可辨认净资产公允价值为基础对其财务报表进行调整。对于同一控制下</w:t>
      </w:r>
      <w:r>
        <w:rPr>
          <w:spacing w:val="-68"/>
        </w:rPr>
        <w:t> </w:t>
      </w:r>
      <w:r>
        <w:rPr>
          <w:spacing w:val="-68"/>
        </w:rPr>
      </w:r>
      <w:r>
        <w:rPr>
          <w:spacing w:val="-2"/>
        </w:rPr>
        <w:t>企业合并取得的子公司，以其资产、负债（包括最终控制方收购该子公司而形成的商誉）在最终控制方财务报表中</w:t>
      </w:r>
      <w:r>
        <w:rPr>
          <w:spacing w:val="-70"/>
        </w:rPr>
        <w:t> </w:t>
      </w:r>
      <w:r>
        <w:rPr>
          <w:spacing w:val="-70"/>
        </w:rPr>
      </w:r>
      <w:r>
        <w:rPr/>
        <w:t>的账面价值为基础对其财务报表进行调整。 子公司所有者权益、当期净损益和当期综合收益中属于少数股东的份额分别在合并资产负债表中所有者权益项目 </w:t>
      </w:r>
      <w:r>
        <w:rPr>
          <w:spacing w:val="-2"/>
        </w:rPr>
        <w:t>下、合并利润表中净利润项目下和综合收益总额项目下单独列示。子公司少数股东分担的当期亏损超过了少数股东</w:t>
      </w:r>
      <w:r>
        <w:rPr>
          <w:spacing w:val="-68"/>
        </w:rPr>
        <w:t> </w:t>
      </w:r>
      <w:r>
        <w:rPr>
          <w:spacing w:val="-68"/>
        </w:rPr>
      </w:r>
      <w:r>
        <w:rPr/>
        <w:t>在该子公司期初所有者权益中所享有份额而形成的余额，冲减少数股东权益。</w:t>
      </w:r>
    </w:p>
    <w:p>
      <w:pPr>
        <w:pStyle w:val="BodyText"/>
        <w:spacing w:line="316" w:lineRule="auto" w:before="19"/>
        <w:ind w:left="868" w:right="1032"/>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w:t>
      </w:r>
      <w:r>
        <w:rPr>
          <w:spacing w:val="-68"/>
        </w:rPr>
        <w:t> </w:t>
      </w:r>
      <w:r>
        <w:rPr>
          <w:spacing w:val="-68"/>
        </w:rPr>
      </w:r>
      <w:r>
        <w:rPr>
          <w:spacing w:val="-2"/>
        </w:rPr>
        <w:t>并当期期初至报告期末的收入、费用、利润纳入合并利润表；将子公司或业务合并当期期初至报告期末的现金流量</w:t>
      </w:r>
      <w:r>
        <w:rPr>
          <w:spacing w:val="-68"/>
        </w:rPr>
        <w:t> </w:t>
      </w:r>
      <w:r>
        <w:rPr>
          <w:spacing w:val="-68"/>
        </w:rPr>
      </w:r>
      <w:r>
        <w:rPr>
          <w:spacing w:val="-2"/>
        </w:rPr>
        <w:t>纳入合并现金流量表，同时对比较报表的相关项目进行调整，视同合并后的报告主体自最终控制方开始控制时点起</w:t>
      </w:r>
      <w:r>
        <w:rPr>
          <w:spacing w:val="-68"/>
        </w:rPr>
        <w:t> </w:t>
      </w:r>
      <w:r>
        <w:rPr>
          <w:spacing w:val="-68"/>
        </w:rPr>
      </w:r>
      <w:r>
        <w:rPr/>
        <w:t>一直存在。 </w:t>
      </w:r>
      <w:r>
        <w:rPr>
          <w:spacing w:val="-2"/>
        </w:rPr>
        <w:t>因追加投资等原因能够对同一控制下的被投资方实施控制的，视同参与合并的各方在最终控制方开始控制时即以目</w:t>
      </w:r>
      <w:r>
        <w:rPr>
          <w:spacing w:val="-66"/>
        </w:rPr>
        <w:t> </w:t>
      </w:r>
      <w:r>
        <w:rPr>
          <w:spacing w:val="-66"/>
        </w:rPr>
      </w:r>
      <w:r>
        <w:rPr>
          <w:spacing w:val="-2"/>
        </w:rPr>
        <w:t>前的状态存在进行调整。在取得被合并方控制权之前持有的股权投资，在取得原股权之日与合并方和被合并方同处</w:t>
      </w:r>
      <w:r>
        <w:rPr>
          <w:spacing w:val="-68"/>
        </w:rPr>
        <w:t> </w:t>
      </w:r>
      <w:r>
        <w:rPr>
          <w:spacing w:val="-68"/>
        </w:rPr>
      </w:r>
      <w:r>
        <w:rPr>
          <w:spacing w:val="-2"/>
        </w:rPr>
        <w:t>于同一控制之日孰晚日起至合并日之间已确认有关损益、其他综合收益以及其他净资产变动，分别冲减比较报表期</w:t>
      </w:r>
      <w:r>
        <w:rPr>
          <w:spacing w:val="-68"/>
        </w:rPr>
        <w:t> </w:t>
      </w:r>
      <w:r>
        <w:rPr>
          <w:spacing w:val="-68"/>
        </w:rPr>
      </w:r>
      <w:r>
        <w:rPr/>
        <w:t>间的期初留存收益或当期损益。 </w:t>
      </w:r>
      <w:r>
        <w:rPr>
          <w:spacing w:val="-2"/>
        </w:rPr>
        <w:t>在报告期内，若因非同一控制下企业合并增加子公司或业务的，则不调整合并资产负债表期初数；将该子公司或业</w:t>
      </w:r>
      <w:r>
        <w:rPr>
          <w:spacing w:val="-68"/>
        </w:rPr>
        <w:t> </w:t>
      </w:r>
      <w:r>
        <w:rPr>
          <w:spacing w:val="-68"/>
        </w:rPr>
      </w:r>
      <w:r>
        <w:rPr>
          <w:spacing w:val="-2"/>
        </w:rPr>
        <w:t>务自购买日至报告期末的收入、费用、利润纳入合并利润表；该子公司或业务自购买日至报告期末的现金流量纳入</w:t>
      </w:r>
      <w:r>
        <w:rPr>
          <w:spacing w:val="-68"/>
        </w:rPr>
        <w:t> </w:t>
      </w:r>
      <w:r>
        <w:rPr>
          <w:spacing w:val="-68"/>
        </w:rPr>
      </w:r>
      <w:r>
        <w:rPr/>
        <w:t>合并现金流量表。 </w:t>
      </w:r>
      <w:r>
        <w:rPr>
          <w:spacing w:val="-2"/>
        </w:rPr>
        <w:t>因追加投资等原因能够对非同一控制下的被投资方实施控制的，对于购买日之前持有的被购买方的股权，本公司按</w:t>
      </w:r>
      <w:r>
        <w:rPr>
          <w:spacing w:val="-68"/>
        </w:rPr>
        <w:t> </w:t>
      </w:r>
      <w:r>
        <w:rPr>
          <w:spacing w:val="-68"/>
        </w:rPr>
      </w:r>
      <w:r>
        <w:rPr>
          <w:spacing w:val="-2"/>
        </w:rPr>
        <w:t>照该股权在购买日的公允价值进行重新计量，公允价值与其账面价值的差额计入当期投资收益。购买日之前持有的</w:t>
      </w:r>
      <w:r>
        <w:rPr>
          <w:spacing w:val="-68"/>
        </w:rPr>
        <w:t> </w:t>
      </w:r>
      <w:r>
        <w:rPr>
          <w:spacing w:val="-68"/>
        </w:rPr>
      </w:r>
      <w:r>
        <w:rPr>
          <w:spacing w:val="-2"/>
        </w:rPr>
        <w:t>被购买方的股权涉及权益法核算下的其他综合收益以及除净损益、其他综合收益和利润分配之外的其他所有者权益</w:t>
      </w:r>
      <w:r>
        <w:rPr>
          <w:spacing w:val="-66"/>
        </w:rPr>
        <w:t> </w:t>
      </w:r>
      <w:r>
        <w:rPr>
          <w:spacing w:val="-66"/>
        </w:rPr>
      </w:r>
      <w:r>
        <w:rPr>
          <w:spacing w:val="-2"/>
        </w:rPr>
        <w:t>变动的，与其相关的其他综合收益、其他所有者权益变动转为购买日所属当期投资收益，由于被投资方重新计量设</w:t>
      </w:r>
      <w:r>
        <w:rPr>
          <w:spacing w:val="-68"/>
        </w:rPr>
        <w:t> </w:t>
      </w:r>
      <w:r>
        <w:rPr>
          <w:spacing w:val="-68"/>
        </w:rPr>
      </w:r>
      <w:r>
        <w:rPr/>
        <w:t>定受益计划净负债或净资产变动而产生的其他综合收益除外。</w:t>
      </w:r>
    </w:p>
    <w:p>
      <w:pPr>
        <w:pStyle w:val="BodyText"/>
        <w:spacing w:line="240" w:lineRule="auto" w:before="19"/>
        <w:ind w:left="868" w:right="1032"/>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868" w:right="1032"/>
        <w:jc w:val="left"/>
      </w:pPr>
      <w:r>
        <w:rPr/>
        <w:t>①一般处理方法 </w:t>
      </w:r>
      <w:r>
        <w:rPr>
          <w:spacing w:val="-2"/>
        </w:rPr>
        <w:t>在报告期内，本公司处置子公司或业务，则该子公司或业务期初至处置日的收入、费用、利润纳入合并利润表；该</w:t>
      </w:r>
      <w:r>
        <w:rPr>
          <w:spacing w:val="-69"/>
        </w:rPr>
        <w:t> </w:t>
      </w:r>
      <w:r>
        <w:rPr>
          <w:spacing w:val="-69"/>
        </w:rPr>
      </w:r>
      <w:r>
        <w:rPr/>
        <w:t>子公司或业务期初至处置日的现金流量纳入合并现金流量表。 </w:t>
      </w:r>
      <w:r>
        <w:rPr>
          <w:spacing w:val="-2"/>
        </w:rPr>
        <w:t>因处置部分股权投资或其他原因丧失了对被投资方控制权时，对于处置后的剩余股权投资，本公司按照其在丧失控</w:t>
      </w:r>
      <w:r>
        <w:rPr>
          <w:spacing w:val="-68"/>
        </w:rPr>
        <w:t> </w:t>
      </w:r>
      <w:r>
        <w:rPr>
          <w:spacing w:val="-68"/>
        </w:rPr>
      </w:r>
      <w:r>
        <w:rPr>
          <w:spacing w:val="-2"/>
        </w:rPr>
        <w:t>制权日的公允价值进行重新计量。处置股权取得的对价与剩余股权公允价值之和，减去按原持股比例计算应享有原</w:t>
      </w:r>
      <w:r>
        <w:rPr>
          <w:spacing w:val="-68"/>
        </w:rPr>
        <w:t> </w:t>
      </w:r>
      <w:r>
        <w:rPr>
          <w:spacing w:val="-68"/>
        </w:rPr>
      </w:r>
      <w:r>
        <w:rPr>
          <w:spacing w:val="-2"/>
        </w:rPr>
        <w:t>有子公司自购买日或合并日开始持续计算的净资产的份额与商誉之和的差额，计入丧失控制权当期的投资收益。与</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868" w:right="1131"/>
        <w:jc w:val="both"/>
      </w:pPr>
      <w:r>
        <w:rPr>
          <w:spacing w:val="-2"/>
        </w:rPr>
        <w:t>原有子公司股权投资相关的其他综合收益或除净损益、其他综合收益及利润分配之外的其他所有者权益变动，在丧</w:t>
      </w:r>
      <w:r>
        <w:rPr>
          <w:spacing w:val="-68"/>
        </w:rPr>
        <w:t> </w:t>
      </w:r>
      <w:r>
        <w:rPr>
          <w:spacing w:val="-68"/>
        </w:rPr>
      </w:r>
      <w:r>
        <w:rPr>
          <w:spacing w:val="-2"/>
        </w:rPr>
        <w:t>失控制权时转为当期投资收益，由于被投资方重新计量设定受益计划净负债或净资产变动而产生的其他综合收益除</w:t>
      </w:r>
      <w:r>
        <w:rPr>
          <w:spacing w:val="-66"/>
        </w:rPr>
        <w:t> </w:t>
      </w:r>
      <w:r>
        <w:rPr>
          <w:spacing w:val="-66"/>
        </w:rPr>
      </w:r>
      <w:r>
        <w:rPr/>
        <w:t>外。</w:t>
      </w:r>
    </w:p>
    <w:p>
      <w:pPr>
        <w:pStyle w:val="BodyText"/>
        <w:spacing w:line="240" w:lineRule="auto" w:before="19"/>
        <w:ind w:left="868" w:right="1032"/>
        <w:jc w:val="left"/>
      </w:pPr>
      <w:r>
        <w:rPr/>
        <w:t>因其他投资方对子公司增资而导致本公司持股比例下降从而丧失控制权的，按照上述原则进行会计处理。</w:t>
      </w:r>
    </w:p>
    <w:p>
      <w:pPr>
        <w:pStyle w:val="BodyText"/>
        <w:spacing w:line="316" w:lineRule="auto" w:before="77"/>
        <w:ind w:left="868" w:right="1032"/>
        <w:jc w:val="left"/>
      </w:pPr>
      <w:r>
        <w:rPr/>
        <w:t>②分步处置子公司 </w:t>
      </w:r>
      <w:r>
        <w:rPr>
          <w:spacing w:val="-2"/>
        </w:rPr>
        <w:t>通过多次交易分步处置对子公司股权投资直至丧失控制权的，处置对子公司股权投资的各项交易的条款、条件以及</w:t>
      </w:r>
      <w:r>
        <w:rPr>
          <w:spacing w:val="-68"/>
        </w:rPr>
        <w:t> </w:t>
      </w:r>
      <w:r>
        <w:rPr>
          <w:spacing w:val="-68"/>
        </w:rPr>
      </w:r>
      <w:r>
        <w:rPr/>
        <w:t>经济影响符合以下一种或多种情况，通常表明应将多次交易事项作为一揽子交易进行会计处理： ⅰ．这些交易是同时或者在考虑了彼此影响的情况下订立的；</w:t>
      </w:r>
    </w:p>
    <w:p>
      <w:pPr>
        <w:pStyle w:val="BodyText"/>
        <w:spacing w:line="316" w:lineRule="auto" w:before="19"/>
        <w:ind w:left="868" w:right="4278"/>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left="868" w:right="1032"/>
        <w:jc w:val="left"/>
      </w:pPr>
      <w:r>
        <w:rPr>
          <w:spacing w:val="-2"/>
        </w:rPr>
        <w:t>处置对子公司股权投资直至丧失控制权的各项交易属于一揽子交易的，本公司将各项交易作为一项处置子公司并丧</w:t>
      </w:r>
      <w:r>
        <w:rPr>
          <w:spacing w:val="-66"/>
        </w:rPr>
        <w:t> </w:t>
      </w:r>
      <w:r>
        <w:rPr>
          <w:spacing w:val="-66"/>
        </w:rPr>
      </w:r>
      <w:r>
        <w:rPr>
          <w:spacing w:val="-2"/>
        </w:rPr>
        <w:t>失控制权的交易进行会计处理；但是，在丧失控制权之前每一次处置价款与处置投资对应的享有该子公司净资产份</w:t>
      </w:r>
      <w:r>
        <w:rPr>
          <w:spacing w:val="-67"/>
        </w:rPr>
        <w:t> </w:t>
      </w:r>
      <w:r>
        <w:rPr>
          <w:spacing w:val="-67"/>
        </w:rPr>
      </w:r>
      <w:r>
        <w:rPr/>
        <w:t>额的差额，在合并财务报表中确认为其他综合收益，在丧失控制权时一并转入丧失控制权当期的损益。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w:t>
      </w:r>
      <w:r>
        <w:rPr>
          <w:spacing w:val="-68"/>
        </w:rPr>
        <w:t> </w:t>
      </w:r>
      <w:r>
        <w:rPr>
          <w:spacing w:val="-68"/>
        </w:rPr>
      </w:r>
      <w:r>
        <w:rPr>
          <w:spacing w:val="-2"/>
        </w:rPr>
        <w:t>况下部分处置对子公司的股权投资的相关政策进行会计处理；在丧失控制权时，按处置子公司一般处理方法进行会</w:t>
      </w:r>
      <w:r>
        <w:rPr>
          <w:spacing w:val="-68"/>
        </w:rPr>
        <w:t> </w:t>
      </w:r>
      <w:r>
        <w:rPr>
          <w:spacing w:val="-68"/>
        </w:rPr>
      </w:r>
      <w:r>
        <w:rPr/>
        <w:t>计处理。</w:t>
      </w:r>
    </w:p>
    <w:p>
      <w:pPr>
        <w:pStyle w:val="BodyText"/>
        <w:spacing w:line="312" w:lineRule="auto" w:before="19"/>
        <w:ind w:left="868" w:right="1032"/>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w:t>
      </w:r>
      <w:r>
        <w:rPr>
          <w:spacing w:val="-68"/>
        </w:rPr>
        <w:t> </w:t>
      </w:r>
      <w:r>
        <w:rPr>
          <w:spacing w:val="-68"/>
        </w:rPr>
      </w:r>
      <w:r>
        <w:rPr>
          <w:spacing w:val="-2"/>
        </w:rPr>
        <w:t>续计算的净资产份额之间的差额，调整合并资产负债表中的资本公积中的股本溢价，资本公积中的股本溢价不足冲</w:t>
      </w:r>
      <w:r>
        <w:rPr>
          <w:spacing w:val="-68"/>
        </w:rPr>
        <w:t> </w:t>
      </w:r>
      <w:r>
        <w:rPr>
          <w:spacing w:val="-68"/>
        </w:rPr>
      </w:r>
      <w:r>
        <w:rPr/>
        <w:t>减的，调整留存收益。</w:t>
      </w:r>
    </w:p>
    <w:p>
      <w:pPr>
        <w:pStyle w:val="BodyText"/>
        <w:spacing w:line="312" w:lineRule="auto" w:before="22"/>
        <w:ind w:left="868" w:right="1218"/>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 子公司自购买日或合并日开始持续计算的净资产份额之间的差额，调整合并资产负债表中的资本公积中的股本溢 价，资本公积中的股本溢价不足冲减的，调整留存收益。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32"/>
        <w:jc w:val="left"/>
        <w:rPr>
          <w:b w:val="0"/>
          <w:bCs w:val="0"/>
        </w:rPr>
      </w:pPr>
      <w:bookmarkStart w:name="7、现金及现金等价物的确定标准" w:id="176"/>
      <w:bookmarkEnd w:id="176"/>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68" w:right="1032"/>
        <w:jc w:val="left"/>
      </w:pPr>
      <w:r>
        <w:rPr>
          <w:spacing w:val="-2"/>
        </w:rPr>
        <w:t>在编制现金流量表时，将本公司库存现金以及可以随时用于支付的存款确认为现金。将同时具备期限短（从购买日</w:t>
      </w:r>
      <w:r>
        <w:rPr>
          <w:spacing w:val="-68"/>
        </w:rPr>
        <w:t> </w:t>
      </w:r>
      <w:r>
        <w:rPr>
          <w:spacing w:val="-68"/>
        </w:rPr>
      </w:r>
      <w:r>
        <w:rPr>
          <w:spacing w:val="-2"/>
        </w:rPr>
        <w:t>起三个月内到期）、流动性强、易于转换为已知现金、价值变动风险很小四个条件的投资，确定为现金等价物。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32"/>
        <w:jc w:val="left"/>
        <w:rPr>
          <w:b w:val="0"/>
          <w:bCs w:val="0"/>
        </w:rPr>
      </w:pPr>
      <w:bookmarkStart w:name="8、外币业务和外币报表折算" w:id="177"/>
      <w:bookmarkEnd w:id="177"/>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68" w:right="4458"/>
        <w:jc w:val="left"/>
      </w:pPr>
      <w:r>
        <w:rPr/>
        <w:t>外币业务 外币业务采用交易发生日的即期汇率作为折算汇率折合成人民币记账。</w:t>
      </w:r>
    </w:p>
    <w:p>
      <w:pPr>
        <w:pStyle w:val="BodyText"/>
        <w:spacing w:line="314" w:lineRule="auto" w:before="19"/>
        <w:ind w:left="868" w:right="1032"/>
        <w:jc w:val="left"/>
      </w:pPr>
      <w:r>
        <w:rPr>
          <w:spacing w:val="-2"/>
        </w:rPr>
        <w:t>资产负债表日外币货币性项目余额按资产负债表日即期汇率折算，由此产生的汇兑差额，除属于与购建符合资本化</w:t>
      </w:r>
      <w:r>
        <w:rPr>
          <w:spacing w:val="-68"/>
        </w:rPr>
        <w:t> </w:t>
      </w:r>
      <w:r>
        <w:rPr>
          <w:spacing w:val="-68"/>
        </w:rPr>
      </w:r>
      <w:r>
        <w:rPr/>
        <w:t>条件的资产相关的外币专门借款产生的汇兑差额按照借款费用资本化的原则处理外，均计入当期损益。 外币财务报表的折算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 </w:t>
      </w:r>
      <w:r>
        <w:rPr>
          <w:spacing w:val="-2"/>
        </w:rPr>
        <w:t>他项目采用发生时的即期汇率折算。利润表中的收入和费用项目，采用交易发生日的即期汇率（或：采用按照系统</w:t>
      </w:r>
      <w:r>
        <w:rPr>
          <w:spacing w:val="-70"/>
        </w:rPr>
        <w:t> </w:t>
      </w:r>
      <w:r>
        <w:rPr>
          <w:spacing w:val="-70"/>
        </w:rPr>
      </w:r>
      <w:r>
        <w:rPr>
          <w:spacing w:val="-4"/>
        </w:rPr>
        <w:t>合理的方法确定的、与交易发生日即期汇率近似的汇率。提示：若采用此种方法，应明示何种方法何种口径）折算。</w:t>
      </w:r>
      <w:r>
        <w:rPr>
          <w:spacing w:val="-55"/>
        </w:rPr>
        <w:t> </w:t>
      </w:r>
      <w:r>
        <w:rPr>
          <w:spacing w:val="-55"/>
        </w:rPr>
      </w:r>
      <w:r>
        <w:rPr/>
        <w:t>处置境外经营时，将与该境外经营相关的外币财务报表折算差额，自所有者权益项目转入处置当期损益。</w:t>
      </w:r>
    </w:p>
    <w:p>
      <w:pPr>
        <w:spacing w:after="0" w:line="31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9、金融工具" w:id="178"/>
      <w:bookmarkEnd w:id="178"/>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68" w:right="6258"/>
        <w:jc w:val="left"/>
      </w:pPr>
      <w:r>
        <w:rPr/>
        <w:t>金融工具包括金融资产、金融负债和权益工具。 金融工具的分类</w:t>
      </w:r>
    </w:p>
    <w:p>
      <w:pPr>
        <w:pStyle w:val="BodyText"/>
        <w:spacing w:line="316" w:lineRule="auto" w:before="19"/>
        <w:ind w:left="868" w:right="1131"/>
        <w:jc w:val="both"/>
      </w:pPr>
      <w:r>
        <w:rPr>
          <w:spacing w:val="-2"/>
        </w:rPr>
        <w:t>金融资产和金融负债于初始确认时分类为：以公允价值计量且其变动计入当期损益的金融资产或金融负债，包括交</w:t>
      </w:r>
      <w:r>
        <w:rPr>
          <w:spacing w:val="-68"/>
        </w:rPr>
        <w:t> </w:t>
      </w:r>
      <w:r>
        <w:rPr>
          <w:spacing w:val="-68"/>
        </w:rPr>
      </w:r>
      <w:r>
        <w:rPr>
          <w:spacing w:val="-2"/>
        </w:rPr>
        <w:t>易性金融资产或金融负债和直接指定为以公允价值计量且其变动计入当期损益的金融资产或金融负债；持有至到期</w:t>
      </w:r>
      <w:r>
        <w:rPr>
          <w:spacing w:val="-66"/>
        </w:rPr>
        <w:t> </w:t>
      </w:r>
      <w:r>
        <w:rPr>
          <w:spacing w:val="-66"/>
        </w:rPr>
      </w:r>
      <w:r>
        <w:rPr/>
        <w:t>投资；应收款项；可供出售金融资产；其他金融负债等。</w:t>
      </w:r>
    </w:p>
    <w:p>
      <w:pPr>
        <w:spacing w:line="240" w:lineRule="auto" w:before="4"/>
        <w:rPr>
          <w:rFonts w:ascii="宋体" w:hAnsi="宋体" w:cs="宋体" w:eastAsia="宋体" w:hint="default"/>
          <w:sz w:val="25"/>
          <w:szCs w:val="25"/>
        </w:rPr>
      </w:pPr>
    </w:p>
    <w:p>
      <w:pPr>
        <w:pStyle w:val="BodyText"/>
        <w:spacing w:line="240" w:lineRule="auto"/>
        <w:ind w:left="868" w:right="1032"/>
        <w:jc w:val="left"/>
      </w:pPr>
      <w:r>
        <w:rPr/>
        <w:t>金融工具的确认依据和计量方法</w:t>
      </w:r>
    </w:p>
    <w:p>
      <w:pPr>
        <w:pStyle w:val="BodyText"/>
        <w:spacing w:line="314" w:lineRule="auto" w:before="76"/>
        <w:ind w:left="868" w:right="1038"/>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 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20"/>
        <w:ind w:left="868" w:right="1032"/>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w:t>
      </w:r>
      <w:r>
        <w:rPr>
          <w:spacing w:val="-68"/>
        </w:rPr>
        <w:t> </w:t>
      </w:r>
      <w:r>
        <w:rPr>
          <w:spacing w:val="-68"/>
        </w:rPr>
      </w:r>
      <w:r>
        <w:rPr/>
        <w:t>或适用的更短期间内保持不变。</w:t>
      </w:r>
    </w:p>
    <w:p>
      <w:pPr>
        <w:pStyle w:val="BodyText"/>
        <w:spacing w:line="240" w:lineRule="auto" w:before="22"/>
        <w:ind w:left="868" w:right="1032"/>
        <w:jc w:val="left"/>
      </w:pPr>
      <w:r>
        <w:rPr/>
        <w:t>处置时，将所取得价款与该投资账面价值之间的差额计入投资收益。</w:t>
      </w:r>
    </w:p>
    <w:p>
      <w:pPr>
        <w:pStyle w:val="BodyText"/>
        <w:spacing w:line="312" w:lineRule="auto" w:before="76"/>
        <w:ind w:left="868" w:right="1038"/>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w:t>
      </w:r>
      <w:r>
        <w:rPr>
          <w:spacing w:val="-66"/>
        </w:rPr>
        <w:t> </w:t>
      </w:r>
      <w:r>
        <w:rPr>
          <w:spacing w:val="-66"/>
        </w:rPr>
      </w:r>
      <w:r>
        <w:rPr/>
        <w:t>的债权，包括应收账款、其他应收款等，以向购货方应收的合同或协议价款作为初始确认金额；具有融资性质的， 按其现值进行初始确认。</w:t>
      </w:r>
    </w:p>
    <w:p>
      <w:pPr>
        <w:pStyle w:val="BodyText"/>
        <w:spacing w:line="240" w:lineRule="auto" w:before="22"/>
        <w:ind w:left="868" w:right="1032"/>
        <w:jc w:val="left"/>
      </w:pPr>
      <w:r>
        <w:rPr/>
        <w:t>收回或处置时，将取得的价款与该应收款项账面价值之间的差额计入当期损益。</w:t>
      </w:r>
    </w:p>
    <w:p>
      <w:pPr>
        <w:pStyle w:val="BodyText"/>
        <w:spacing w:line="314" w:lineRule="auto" w:before="76"/>
        <w:ind w:left="868" w:right="1032"/>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w:t>
      </w:r>
      <w:r>
        <w:rPr>
          <w:spacing w:val="-68"/>
        </w:rPr>
        <w:t> </w:t>
      </w:r>
      <w:r>
        <w:rPr>
          <w:spacing w:val="-68"/>
        </w:rPr>
      </w:r>
      <w:r>
        <w:rPr/>
        <w:t>作为初始确认金额。 </w:t>
      </w:r>
      <w:r>
        <w:rPr>
          <w:spacing w:val="-2"/>
        </w:rPr>
        <w:t>持有期间将取得的利息或现金股利确认为投资收益。期末以公允价值计量且将公允价值变动计入其他综合收益。但</w:t>
      </w:r>
      <w:r>
        <w:rPr>
          <w:spacing w:val="-68"/>
        </w:rPr>
        <w:t> </w:t>
      </w:r>
      <w:r>
        <w:rPr>
          <w:spacing w:val="-68"/>
        </w:rPr>
      </w:r>
      <w:r>
        <w:rPr>
          <w:spacing w:val="-2"/>
        </w:rPr>
        <w:t>是，在活跃市场中没有报价且其公允价值不能可靠计量的权益工具投资，以及与该权益工具挂钩并须通过交付该权</w:t>
      </w:r>
      <w:r>
        <w:rPr>
          <w:spacing w:val="-68"/>
        </w:rPr>
        <w:t> </w:t>
      </w:r>
      <w:r>
        <w:rPr>
          <w:spacing w:val="-68"/>
        </w:rPr>
      </w:r>
      <w:r>
        <w:rPr/>
        <w:t>益工具结算的衍生金融资产，按照成本计量。 </w:t>
      </w:r>
      <w:r>
        <w:rPr>
          <w:spacing w:val="-2"/>
        </w:rPr>
        <w:t>处置时，将取得的价款与该金融资产账面价值之间的差额，计入投资损益；同时，将原直接计入其他综合收益的公</w:t>
      </w:r>
      <w:r>
        <w:rPr>
          <w:spacing w:val="-70"/>
        </w:rPr>
        <w:t> </w:t>
      </w:r>
      <w:r>
        <w:rPr>
          <w:spacing w:val="-70"/>
        </w:rPr>
      </w:r>
      <w:r>
        <w:rPr/>
        <w:t>允价值变动累计额对应处置部分的金额转出，计入当期损益。</w:t>
      </w:r>
    </w:p>
    <w:p>
      <w:pPr>
        <w:pStyle w:val="BodyText"/>
        <w:spacing w:line="300" w:lineRule="auto" w:before="20"/>
        <w:ind w:left="868" w:right="3378"/>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3"/>
        <w:rPr>
          <w:rFonts w:ascii="宋体" w:hAnsi="宋体" w:cs="宋体" w:eastAsia="宋体" w:hint="default"/>
          <w:sz w:val="26"/>
          <w:szCs w:val="26"/>
        </w:rPr>
      </w:pPr>
    </w:p>
    <w:p>
      <w:pPr>
        <w:pStyle w:val="BodyText"/>
        <w:spacing w:line="316" w:lineRule="auto"/>
        <w:ind w:left="868" w:right="1038"/>
        <w:jc w:val="left"/>
      </w:pPr>
      <w:r>
        <w:rPr/>
        <w:t>金融资产转移的确认依据和计量方法 </w:t>
      </w:r>
      <w:r>
        <w:rPr>
          <w:spacing w:val="-4"/>
        </w:rPr>
        <w:t>公司发生金融资产转移时，如已将金融资产所有权上几乎所有的风险和报酬转移给转入方，则终止确认该金融资产；</w:t>
      </w:r>
      <w:r>
        <w:rPr>
          <w:spacing w:val="-52"/>
        </w:rPr>
        <w:t> </w:t>
      </w:r>
      <w:r>
        <w:rPr>
          <w:spacing w:val="-52"/>
        </w:rPr>
      </w:r>
      <w:r>
        <w:rPr/>
        <w:t>如保留了金融资产所有权上几乎所有的风险和报酬的，则不终止确认该金融资产。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w:t>
      </w:r>
      <w:r>
        <w:rPr>
          <w:spacing w:val="-68"/>
        </w:rPr>
        <w:t> </w:t>
      </w:r>
      <w:r>
        <w:rPr>
          <w:spacing w:val="-68"/>
        </w:rPr>
      </w:r>
      <w:r>
        <w:rPr/>
        <w:t>为金融资产整体转移和部分转移。金融资产整体转移满足终止确认条件的，将下列两项金额的差额计入当期损益：</w:t>
      </w:r>
    </w:p>
    <w:p>
      <w:pPr>
        <w:pStyle w:val="BodyText"/>
        <w:spacing w:line="240" w:lineRule="auto" w:before="19"/>
        <w:ind w:left="868" w:right="1032"/>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left="868" w:right="1128"/>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 融资产的情形）之和。</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868" w:right="1032"/>
        <w:jc w:val="left"/>
      </w:pPr>
      <w:r>
        <w:rPr>
          <w:spacing w:val="-2"/>
        </w:rPr>
        <w:t>金融资产部分转移满足终止确认条件的，将所转移金融资产整体的账面价值，在终止确认部分和未终止确认部分之</w:t>
      </w:r>
      <w:r>
        <w:rPr>
          <w:spacing w:val="-68"/>
        </w:rPr>
        <w:t> </w:t>
      </w:r>
      <w:r>
        <w:rPr>
          <w:spacing w:val="-68"/>
        </w:rPr>
      </w:r>
      <w:r>
        <w:rPr/>
        <w:t>间，按照各自的相对公允价值进行分摊，并将下列两项金额的差额计入当期损益：</w:t>
      </w:r>
    </w:p>
    <w:p>
      <w:pPr>
        <w:pStyle w:val="BodyText"/>
        <w:spacing w:line="240" w:lineRule="auto" w:before="19"/>
        <w:ind w:left="868" w:right="1032"/>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left="868" w:right="1128"/>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 移的金融资产为可供出售金融资产的情形）之和。 金融资产转移不满足终止确认条件的，继续确认该金融资产，所收到的对价确认为一项金融负债。</w:t>
      </w:r>
    </w:p>
    <w:p>
      <w:pPr>
        <w:spacing w:line="240" w:lineRule="auto" w:before="9"/>
        <w:rPr>
          <w:rFonts w:ascii="宋体" w:hAnsi="宋体" w:cs="宋体" w:eastAsia="宋体" w:hint="default"/>
          <w:sz w:val="25"/>
          <w:szCs w:val="25"/>
        </w:rPr>
      </w:pPr>
    </w:p>
    <w:p>
      <w:pPr>
        <w:pStyle w:val="BodyText"/>
        <w:spacing w:line="316" w:lineRule="auto"/>
        <w:ind w:left="868" w:right="1038"/>
        <w:jc w:val="left"/>
      </w:pPr>
      <w:r>
        <w:rPr/>
        <w:t>金融负债终止确认条件 </w:t>
      </w:r>
      <w:r>
        <w:rPr>
          <w:spacing w:val="-2"/>
        </w:rPr>
        <w:t>金融负债的现时义务全部或部分已经解除的，则终止确认该金融负债或其一部分；本公司若与债权人签定协议，以</w:t>
      </w:r>
      <w:r>
        <w:rPr>
          <w:spacing w:val="-68"/>
        </w:rPr>
        <w:t> </w:t>
      </w:r>
      <w:r>
        <w:rPr>
          <w:spacing w:val="-68"/>
        </w:rPr>
      </w:r>
      <w:r>
        <w:rPr>
          <w:spacing w:val="-2"/>
        </w:rPr>
        <w:t>承担新金融负债方式替换现存金融负债，且新金融负债与现存金融负债的合同条款实质上不同的，则终止确认现存</w:t>
      </w:r>
      <w:r>
        <w:rPr>
          <w:spacing w:val="-68"/>
        </w:rPr>
        <w:t> </w:t>
      </w:r>
      <w:r>
        <w:rPr>
          <w:spacing w:val="-68"/>
        </w:rPr>
      </w:r>
      <w:r>
        <w:rPr/>
        <w:t>金融负债，并同时确认新金融负债。 </w:t>
      </w:r>
      <w:r>
        <w:rPr>
          <w:spacing w:val="-2"/>
        </w:rPr>
        <w:t>对现存金融负债全部或部分合同条款作出实质性修改的，则终止确认现存金融负债或其一部分，同时将修改条款后</w:t>
      </w:r>
      <w:r>
        <w:rPr>
          <w:spacing w:val="-68"/>
        </w:rPr>
        <w:t> </w:t>
      </w:r>
      <w:r>
        <w:rPr>
          <w:spacing w:val="-68"/>
        </w:rPr>
      </w:r>
      <w:r>
        <w:rPr/>
        <w:t>的金融负债确认为一项新金融负债。 </w:t>
      </w:r>
      <w:r>
        <w:rPr>
          <w:spacing w:val="-2"/>
        </w:rPr>
        <w:t>金融负债全部或部分终止确认时，终止确认的金融负债账面价值与支付对价（包括转出的非现金资产或承担的新金</w:t>
      </w:r>
      <w:r>
        <w:rPr>
          <w:spacing w:val="-68"/>
        </w:rPr>
        <w:t> </w:t>
      </w:r>
      <w:r>
        <w:rPr>
          <w:spacing w:val="-68"/>
        </w:rPr>
      </w:r>
      <w:r>
        <w:rPr/>
        <w:t>融负债）之间的差额，计入当期损益。 </w:t>
      </w:r>
      <w:r>
        <w:rPr>
          <w:spacing w:val="-2"/>
        </w:rPr>
        <w:t>本公司若回购部分金融负债的，在回购日按照继续确认部分与终止确认部分的相对公允价值，将该金融负债整体的</w:t>
      </w:r>
      <w:r>
        <w:rPr>
          <w:spacing w:val="-68"/>
        </w:rPr>
        <w:t> </w:t>
      </w:r>
      <w:r>
        <w:rPr>
          <w:spacing w:val="-68"/>
        </w:rPr>
      </w:r>
      <w:r>
        <w:rPr/>
        <w:t>账面价值进行分配。分配给终止确认部分的账面价值与支付的对价（包括转出的非现金资产或承担的新金融负债） 之间的差额，计入当期损益。</w:t>
      </w:r>
    </w:p>
    <w:p>
      <w:pPr>
        <w:spacing w:line="240" w:lineRule="auto" w:before="4"/>
        <w:rPr>
          <w:rFonts w:ascii="宋体" w:hAnsi="宋体" w:cs="宋体" w:eastAsia="宋体" w:hint="default"/>
          <w:sz w:val="25"/>
          <w:szCs w:val="25"/>
        </w:rPr>
      </w:pPr>
    </w:p>
    <w:p>
      <w:pPr>
        <w:pStyle w:val="BodyText"/>
        <w:spacing w:line="319" w:lineRule="auto"/>
        <w:ind w:left="868" w:right="1038"/>
        <w:jc w:val="left"/>
      </w:pPr>
      <w:r>
        <w:rPr/>
        <w:t>金融资产和金融负债的公允价值的确定方法 </w:t>
      </w:r>
      <w:r>
        <w:rPr>
          <w:spacing w:val="-2"/>
        </w:rPr>
        <w:t>存在活跃市场的金融工具，以活跃市场中的报价确定其公允价值。不存在活跃市场的金融工具，采用估值技术确定</w:t>
      </w:r>
      <w:r>
        <w:rPr>
          <w:spacing w:val="-68"/>
        </w:rPr>
        <w:t> </w:t>
      </w:r>
      <w:r>
        <w:rPr>
          <w:spacing w:val="-68"/>
        </w:rPr>
      </w:r>
      <w:r>
        <w:rPr>
          <w:spacing w:val="-2"/>
        </w:rPr>
        <w:t>其公允价值。在估值时，本公司采用在当前情况下适用并且有足够可利用数据和其他信息支持的估值技术，选择与</w:t>
      </w:r>
      <w:r>
        <w:rPr>
          <w:spacing w:val="-68"/>
        </w:rPr>
        <w:t> </w:t>
      </w:r>
      <w:r>
        <w:rPr>
          <w:spacing w:val="-68"/>
        </w:rPr>
      </w:r>
      <w:r>
        <w:rPr/>
        <w:t>市场参与者在相关资产或负债的交易中所考虑的资产或负债特征相一致的输入值，并优先使用相关可观察输入值。 只有在相关可观察输入值无法取得或取得不切实可行的情况下，才使用不可观察输入值。</w:t>
      </w:r>
    </w:p>
    <w:p>
      <w:pPr>
        <w:spacing w:line="240" w:lineRule="auto" w:before="2"/>
        <w:rPr>
          <w:rFonts w:ascii="宋体" w:hAnsi="宋体" w:cs="宋体" w:eastAsia="宋体" w:hint="default"/>
          <w:sz w:val="25"/>
          <w:szCs w:val="25"/>
        </w:rPr>
      </w:pPr>
    </w:p>
    <w:p>
      <w:pPr>
        <w:pStyle w:val="BodyText"/>
        <w:spacing w:line="316" w:lineRule="auto"/>
        <w:ind w:left="868" w:right="1038"/>
        <w:jc w:val="left"/>
      </w:pPr>
      <w:r>
        <w:rPr/>
        <w:t>金融资产（不含应收款项）减值的测试方法及会计处理方法 除以公允价值计量且其变动计入当期损益的金融资产外，本公司于资产负债表日对金融资产的账面价值进行检查， 如果有客观证据表明某项金融资产发生减值的，计提减值准备。</w:t>
      </w:r>
    </w:p>
    <w:p>
      <w:pPr>
        <w:pStyle w:val="BodyText"/>
        <w:spacing w:line="314" w:lineRule="auto" w:before="19"/>
        <w:ind w:left="868" w:right="1032"/>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期末如果可供出售金融资产的公允价值发生严重下降，或在综合考虑各种相关因素后，预期这种下降趋势属于非暂</w:t>
      </w:r>
      <w:r>
        <w:rPr>
          <w:spacing w:val="-68"/>
        </w:rPr>
        <w:t> </w:t>
      </w:r>
      <w:r>
        <w:rPr>
          <w:spacing w:val="-68"/>
        </w:rPr>
      </w:r>
      <w:r>
        <w:rPr>
          <w:spacing w:val="-4"/>
        </w:rPr>
        <w:t>时性的，就认定其已发生减值，将原直接计入所有者权益的公允价值下降形成的累计损失一并转出，确认减值损失。</w:t>
      </w:r>
      <w:r>
        <w:rPr>
          <w:spacing w:val="-54"/>
        </w:rPr>
        <w:t> </w:t>
      </w:r>
      <w:r>
        <w:rPr>
          <w:spacing w:val="-54"/>
        </w:rPr>
      </w:r>
      <w:r>
        <w:rPr>
          <w:spacing w:val="-2"/>
        </w:rPr>
        <w:t>对于已确认减值损失的可供出售债务工具，在随后的会计期间公允价值已上升且客观上与确认原减值损失确认后发</w:t>
      </w:r>
      <w:r>
        <w:rPr>
          <w:spacing w:val="-66"/>
        </w:rPr>
        <w:t> </w:t>
      </w:r>
      <w:r>
        <w:rPr>
          <w:spacing w:val="-66"/>
        </w:rPr>
      </w:r>
      <w:r>
        <w:rPr/>
        <w:t>生的事项有关的，原确认的减值损失予以转回，计入当期损益。 可供出售权益工具投资发生的减值损失，不通过损益转回。</w:t>
      </w:r>
    </w:p>
    <w:p>
      <w:pPr>
        <w:pStyle w:val="BodyText"/>
        <w:spacing w:line="300" w:lineRule="auto" w:before="20"/>
        <w:ind w:left="868" w:right="4458"/>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1032"/>
        <w:jc w:val="left"/>
        <w:rPr>
          <w:b w:val="0"/>
          <w:bCs w:val="0"/>
        </w:rPr>
      </w:pPr>
      <w:bookmarkStart w:name="10、应收票据及应收账款" w:id="179"/>
      <w:bookmarkEnd w:id="179"/>
      <w:r>
        <w:rPr>
          <w:b w:val="0"/>
          <w:bCs w:val="0"/>
        </w:rPr>
      </w:r>
      <w:r>
        <w:rPr>
          <w:rFonts w:ascii="Times New Roman" w:hAnsi="Times New Roman" w:cs="Times New Roman" w:eastAsia="Times New Roman" w:hint="default"/>
        </w:rPr>
        <w:t>10</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应收账款的预期信用损失的确定方法及会计处理方法" w:id="180"/>
      <w:bookmarkEnd w:id="180"/>
      <w:r>
        <w:rPr>
          <w:b w:val="0"/>
          <w:bCs w:val="0"/>
        </w:rPr>
      </w:r>
      <w:r>
        <w:rPr/>
        <w:t>（</w:t>
      </w:r>
      <w:r>
        <w:rPr>
          <w:rFonts w:ascii="Times New Roman" w:hAnsi="Times New Roman" w:cs="Times New Roman" w:eastAsia="Times New Roman" w:hint="default"/>
        </w:rPr>
        <w:t>1</w:t>
      </w:r>
      <w:r>
        <w:rPr/>
        <w:t>）应收账款的预期信用损失的确定方法及会计处理方法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070" w:right="1032"/>
        <w:jc w:val="left"/>
        <w:rPr>
          <w:b w:val="0"/>
          <w:bCs w:val="0"/>
        </w:rPr>
      </w:pPr>
      <w:r>
        <w:rPr>
          <w:rFonts w:ascii="宋体" w:hAnsi="宋体" w:cs="宋体" w:eastAsia="宋体" w:hint="default"/>
        </w:rPr>
        <w:t>1.</w:t>
      </w:r>
      <w:r>
        <w:rPr>
          <w:rFonts w:ascii="宋体" w:hAnsi="宋体" w:cs="宋体" w:eastAsia="宋体" w:hint="default"/>
          <w:spacing w:val="36"/>
        </w:rPr>
        <w:t> </w:t>
      </w:r>
      <w:r>
        <w:rPr/>
        <w:t>单项金额重大并单独计提坏账准备的应收款项：</w:t>
      </w:r>
      <w:r>
        <w:rPr>
          <w:b w:val="0"/>
          <w:bCs w:val="0"/>
        </w:rPr>
      </w:r>
    </w:p>
    <w:p>
      <w:pPr>
        <w:pStyle w:val="BodyText"/>
        <w:spacing w:line="240" w:lineRule="auto" w:before="62"/>
        <w:ind w:left="868" w:right="1032"/>
        <w:jc w:val="left"/>
      </w:pPr>
      <w:r>
        <w:rPr/>
        <w:t>单项金额重大的判断依据：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868" w:right="6258"/>
        <w:jc w:val="left"/>
      </w:pPr>
      <w:r>
        <w:rPr/>
        <w:t>应收款项余额前五名。 单项金额重大并单项计提坏账准备的计提方法：</w:t>
      </w:r>
    </w:p>
    <w:p>
      <w:pPr>
        <w:pStyle w:val="BodyText"/>
        <w:spacing w:line="240" w:lineRule="auto" w:before="19"/>
        <w:ind w:left="868" w:right="1032"/>
        <w:jc w:val="left"/>
      </w:pPr>
      <w:r>
        <w:rPr/>
        <w:t>单独进行减值测试，按预计未来现金流量现值低于其账面价值的差额计提坏账准备，计入当期损益。</w:t>
      </w:r>
    </w:p>
    <w:p>
      <w:pPr>
        <w:spacing w:line="240" w:lineRule="auto" w:before="0"/>
        <w:rPr>
          <w:rFonts w:ascii="宋体" w:hAnsi="宋体" w:cs="宋体" w:eastAsia="宋体" w:hint="default"/>
          <w:sz w:val="18"/>
          <w:szCs w:val="18"/>
        </w:rPr>
      </w:pPr>
    </w:p>
    <w:p>
      <w:pPr>
        <w:pStyle w:val="Heading3"/>
        <w:spacing w:line="240" w:lineRule="auto" w:before="128"/>
        <w:ind w:left="1070" w:right="1032"/>
        <w:jc w:val="left"/>
        <w:rPr>
          <w:b w:val="0"/>
          <w:bCs w:val="0"/>
        </w:rPr>
      </w:pPr>
      <w:r>
        <w:rPr>
          <w:rFonts w:ascii="宋体" w:hAnsi="宋体" w:cs="宋体" w:eastAsia="宋体" w:hint="default"/>
        </w:rPr>
        <w:t>1.</w:t>
      </w:r>
      <w:r>
        <w:rPr>
          <w:rFonts w:ascii="宋体" w:hAnsi="宋体" w:cs="宋体" w:eastAsia="宋体" w:hint="default"/>
          <w:spacing w:val="36"/>
        </w:rPr>
        <w:t> </w:t>
      </w:r>
      <w:r>
        <w:rPr/>
        <w:t>按信用风险特征组合计提坏账准备应收款项：</w:t>
      </w:r>
      <w:r>
        <w:rPr>
          <w:b w:val="0"/>
          <w:bCs w:val="0"/>
        </w:rPr>
      </w:r>
    </w:p>
    <w:p>
      <w:pPr>
        <w:spacing w:line="240" w:lineRule="auto" w:before="11"/>
        <w:rPr>
          <w:rFonts w:ascii="宋体" w:hAnsi="宋体" w:cs="宋体" w:eastAsia="宋体" w:hint="default"/>
          <w:b/>
          <w:bCs/>
          <w:sz w:val="27"/>
          <w:szCs w:val="27"/>
        </w:rPr>
      </w:pPr>
    </w:p>
    <w:tbl>
      <w:tblPr>
        <w:tblW w:w="0" w:type="auto"/>
        <w:jc w:val="left"/>
        <w:tblInd w:w="753" w:type="dxa"/>
        <w:tblLayout w:type="fixed"/>
        <w:tblCellMar>
          <w:top w:w="0" w:type="dxa"/>
          <w:left w:w="0" w:type="dxa"/>
          <w:bottom w:w="0" w:type="dxa"/>
          <w:right w:w="0" w:type="dxa"/>
        </w:tblCellMar>
        <w:tblLook w:val="01E0"/>
      </w:tblPr>
      <w:tblGrid>
        <w:gridCol w:w="2544"/>
        <w:gridCol w:w="5270"/>
      </w:tblGrid>
      <w:tr>
        <w:trPr>
          <w:trHeight w:val="355" w:hRule="exact"/>
        </w:trPr>
        <w:tc>
          <w:tcPr>
            <w:tcW w:w="7814"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1288" w:hRule="exact"/>
        </w:trPr>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527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716" w:right="45"/>
              <w:jc w:val="both"/>
              <w:rPr>
                <w:rFonts w:ascii="宋体" w:hAnsi="宋体" w:cs="宋体" w:eastAsia="宋体" w:hint="default"/>
                <w:sz w:val="18"/>
                <w:szCs w:val="18"/>
              </w:rPr>
            </w:pPr>
            <w:r>
              <w:rPr>
                <w:rFonts w:ascii="宋体" w:hAnsi="宋体" w:cs="宋体" w:eastAsia="宋体" w:hint="default"/>
                <w:sz w:val="18"/>
                <w:szCs w:val="18"/>
              </w:rPr>
              <w:t>除已单独计提减值准备的应收账款、其他应收款外，公司 根据以前年度与之相同或相类似的、按账龄段划分的具有 类似信用风险特征的应收款项组合的实际损失率为基础， 结合现时情况分析法确定坏账准备计提的比例。</w:t>
            </w:r>
          </w:p>
        </w:tc>
      </w:tr>
      <w:tr>
        <w:trPr>
          <w:trHeight w:val="353" w:hRule="exact"/>
        </w:trPr>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5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hAnsi="宋体" w:cs="宋体" w:eastAsia="宋体" w:hint="default"/>
                <w:sz w:val="18"/>
                <w:szCs w:val="18"/>
              </w:rPr>
              <w:t>合并报表范围内公司的应收款项</w:t>
            </w:r>
          </w:p>
        </w:tc>
      </w:tr>
      <w:tr>
        <w:trPr>
          <w:trHeight w:val="352" w:hRule="exact"/>
        </w:trPr>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5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hAnsi="宋体" w:cs="宋体" w:eastAsia="宋体" w:hint="default"/>
                <w:sz w:val="18"/>
                <w:szCs w:val="18"/>
              </w:rPr>
              <w:t>性质特殊不存在减值风险的应收款项</w:t>
            </w:r>
          </w:p>
        </w:tc>
      </w:tr>
      <w:tr>
        <w:trPr>
          <w:trHeight w:val="352" w:hRule="exact"/>
        </w:trPr>
        <w:tc>
          <w:tcPr>
            <w:tcW w:w="7814"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53" w:hRule="exact"/>
        </w:trPr>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5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52" w:hRule="exact"/>
        </w:trPr>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5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52" w:hRule="exact"/>
        </w:trPr>
        <w:tc>
          <w:tcPr>
            <w:tcW w:w="2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5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3"/>
        <w:rPr>
          <w:rFonts w:ascii="宋体" w:hAnsi="宋体" w:cs="宋体" w:eastAsia="宋体" w:hint="default"/>
          <w:b/>
          <w:bCs/>
          <w:sz w:val="21"/>
          <w:szCs w:val="21"/>
        </w:rPr>
      </w:pPr>
    </w:p>
    <w:p>
      <w:pPr>
        <w:pStyle w:val="BodyText"/>
        <w:spacing w:line="240" w:lineRule="auto" w:before="44"/>
        <w:ind w:left="868" w:right="1032"/>
        <w:jc w:val="left"/>
      </w:pPr>
      <w:r>
        <w:rPr/>
        <w:t>组合中，采用账龄分析法计提坏账准备的：</w:t>
      </w:r>
    </w:p>
    <w:p>
      <w:pPr>
        <w:spacing w:line="240" w:lineRule="auto" w:before="11"/>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2813"/>
        <w:gridCol w:w="2529"/>
        <w:gridCol w:w="2472"/>
      </w:tblGrid>
      <w:tr>
        <w:trPr>
          <w:trHeight w:val="668" w:hRule="exact"/>
        </w:trPr>
        <w:tc>
          <w:tcPr>
            <w:tcW w:w="28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p>
            <w:pPr>
              <w:pStyle w:val="TableParagraph"/>
              <w:spacing w:line="240" w:lineRule="auto" w:before="116"/>
              <w:ind w:left="716" w:right="0"/>
              <w:jc w:val="lef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5</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5</w:t>
            </w:r>
          </w:p>
        </w:tc>
      </w:tr>
      <w:tr>
        <w:trPr>
          <w:trHeight w:val="352"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20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20</w:t>
            </w:r>
          </w:p>
        </w:tc>
      </w:tr>
      <w:tr>
        <w:trPr>
          <w:trHeight w:val="353"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30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30</w:t>
            </w:r>
          </w:p>
        </w:tc>
      </w:tr>
      <w:tr>
        <w:trPr>
          <w:trHeight w:val="352"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100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716"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304" w:lineRule="auto" w:before="35"/>
        <w:ind w:left="868" w:right="4845" w:firstLine="201"/>
        <w:jc w:val="left"/>
        <w:rPr>
          <w:rFonts w:ascii="Times New Roman" w:hAnsi="Times New Roman" w:cs="Times New Roman" w:eastAsia="Times New Roman" w:hint="default"/>
          <w:sz w:val="18"/>
          <w:szCs w:val="18"/>
        </w:rPr>
      </w:pPr>
      <w:r>
        <w:rPr>
          <w:rFonts w:ascii="宋体" w:hAnsi="宋体" w:cs="宋体" w:eastAsia="宋体" w:hint="default"/>
          <w:b/>
          <w:bCs/>
          <w:sz w:val="21"/>
          <w:szCs w:val="21"/>
        </w:rPr>
        <w:t>1.</w:t>
      </w:r>
      <w:r>
        <w:rPr>
          <w:rFonts w:ascii="宋体" w:hAnsi="宋体" w:cs="宋体" w:eastAsia="宋体" w:hint="default"/>
          <w:b/>
          <w:bCs/>
          <w:spacing w:val="36"/>
          <w:sz w:val="21"/>
          <w:szCs w:val="21"/>
        </w:rPr>
        <w:t> </w:t>
      </w:r>
      <w:r>
        <w:rPr>
          <w:rFonts w:ascii="宋体" w:hAnsi="宋体" w:cs="宋体" w:eastAsia="宋体" w:hint="default"/>
          <w:b/>
          <w:bCs/>
          <w:sz w:val="21"/>
          <w:szCs w:val="21"/>
        </w:rPr>
        <w:t>单项金额不重大但单独计提坏账准备的应收款项：</w:t>
      </w:r>
      <w:r>
        <w:rPr>
          <w:rFonts w:ascii="宋体" w:hAnsi="宋体" w:cs="宋体" w:eastAsia="宋体" w:hint="default"/>
          <w:b/>
          <w:bCs/>
          <w:w w:val="99"/>
          <w:sz w:val="21"/>
          <w:szCs w:val="21"/>
        </w:rPr>
        <w:t> </w:t>
      </w:r>
      <w:r>
        <w:rPr>
          <w:rFonts w:ascii="宋体" w:hAnsi="宋体" w:cs="宋体" w:eastAsia="宋体" w:hint="default"/>
          <w:sz w:val="18"/>
          <w:szCs w:val="18"/>
        </w:rPr>
        <w:t>单项计提坏账准备的理由</w:t>
      </w:r>
      <w:r>
        <w:rPr>
          <w:rFonts w:ascii="Times New Roman" w:hAnsi="Times New Roman" w:cs="Times New Roman" w:eastAsia="Times New Roman" w:hint="default"/>
          <w:sz w:val="18"/>
          <w:szCs w:val="18"/>
        </w:rPr>
        <w:t>: </w:t>
      </w:r>
      <w:r>
        <w:rPr>
          <w:rFonts w:ascii="宋体" w:hAnsi="宋体" w:cs="宋体" w:eastAsia="宋体" w:hint="default"/>
          <w:sz w:val="18"/>
          <w:szCs w:val="18"/>
        </w:rPr>
        <w:t>账龄时间较长且存在客观证据表明发生了减值。 坏账准备的计提方法</w:t>
      </w:r>
      <w:r>
        <w:rPr>
          <w:rFonts w:ascii="Times New Roman" w:hAnsi="Times New Roman" w:cs="Times New Roman" w:eastAsia="Times New Roman" w:hint="default"/>
          <w:sz w:val="18"/>
          <w:szCs w:val="18"/>
        </w:rPr>
        <w:t>:</w:t>
      </w:r>
    </w:p>
    <w:p>
      <w:pPr>
        <w:pStyle w:val="BodyText"/>
        <w:spacing w:line="240" w:lineRule="auto" w:before="9"/>
        <w:ind w:left="868" w:right="1032"/>
        <w:jc w:val="left"/>
      </w:pPr>
      <w:r>
        <w:rPr/>
        <w:t>根据预计未来现金流量现值低于其账面价值的差额，确认减值损失，计提坏账准备。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1032"/>
        <w:jc w:val="left"/>
        <w:rPr>
          <w:b w:val="0"/>
          <w:bCs w:val="0"/>
        </w:rPr>
      </w:pPr>
      <w:bookmarkStart w:name="11、存货" w:id="181"/>
      <w:bookmarkEnd w:id="181"/>
      <w:r>
        <w:rPr>
          <w:b w:val="0"/>
          <w:bCs w:val="0"/>
        </w:rPr>
      </w: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left="868" w:right="4278"/>
        <w:jc w:val="left"/>
      </w:pPr>
      <w:r>
        <w:rPr/>
        <w:t>存货的分类 存货分类为：原材料、周转材料、库存商品、在产品、委托加工物资等。</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before="44"/>
        <w:ind w:left="868" w:right="6472"/>
        <w:jc w:val="left"/>
      </w:pPr>
      <w:r>
        <w:rPr/>
        <w:t>发出存货的计价方法 存货发出时按加权平均法计价。</w:t>
      </w:r>
    </w:p>
    <w:p>
      <w:pPr>
        <w:spacing w:line="240" w:lineRule="auto" w:before="4"/>
        <w:rPr>
          <w:rFonts w:ascii="宋体" w:hAnsi="宋体" w:cs="宋体" w:eastAsia="宋体" w:hint="default"/>
          <w:sz w:val="25"/>
          <w:szCs w:val="25"/>
        </w:rPr>
      </w:pPr>
    </w:p>
    <w:p>
      <w:pPr>
        <w:pStyle w:val="BodyText"/>
        <w:spacing w:line="316" w:lineRule="auto"/>
        <w:ind w:left="868" w:right="1038"/>
        <w:jc w:val="left"/>
      </w:pPr>
      <w:r>
        <w:rPr/>
        <w:t>不同类别存货可变现净值的确定依据 </w:t>
      </w:r>
      <w:r>
        <w:rPr>
          <w:spacing w:val="-2"/>
        </w:rPr>
        <w:t>产成品、库存商品和用于出售的材料等直接用于出售的商品存货，在正常生产经营过程中，以该存货的估计售价减</w:t>
      </w:r>
      <w:r>
        <w:rPr>
          <w:spacing w:val="-68"/>
        </w:rPr>
        <w:t> </w:t>
      </w:r>
      <w:r>
        <w:rPr>
          <w:spacing w:val="-68"/>
        </w:rPr>
      </w:r>
      <w:r>
        <w:rPr/>
        <w:t>去估计的销售费用和相关税费后的金额，确定其可变现净值；需要经过加工的材料存货，在正常生产经营过程中， </w:t>
      </w:r>
      <w:r>
        <w:rPr>
          <w:spacing w:val="-2"/>
        </w:rPr>
        <w:t>以所生产的产成品的估计售价减去至完工时估计将要发生的成本、估计的销售费用和相关税费后的金额，确定其可</w:t>
      </w:r>
      <w:r>
        <w:rPr>
          <w:spacing w:val="-68"/>
        </w:rPr>
        <w:t> </w:t>
      </w:r>
      <w:r>
        <w:rPr>
          <w:spacing w:val="-68"/>
        </w:rPr>
      </w:r>
      <w:r>
        <w:rPr>
          <w:spacing w:val="-2"/>
        </w:rPr>
        <w:t>变现净值；为执行销售合同或者劳务合同而持有的存货，其可变现净值以合同价格为基础计算，若持有存货的数量</w:t>
      </w:r>
      <w:r>
        <w:rPr>
          <w:spacing w:val="-68"/>
        </w:rPr>
        <w:t> </w:t>
      </w:r>
      <w:r>
        <w:rPr>
          <w:spacing w:val="-68"/>
        </w:rPr>
      </w:r>
      <w:r>
        <w:rPr/>
        <w:t>多于销售合同订购数量的，超出部分的存货的可变现净值以一般销售价格为基础计算。 期末按照单个存货项目计提存货跌价准备；但对于数量繁多、单价较低的存货，按照存货类别计提存货跌价准备； 与在同一地区生产和销售的产品系列相关、具有相同或类似最终用途或目的，且难以与其他项目分开计量的存货， 则合并计提存货跌价准备。 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316" w:lineRule="auto"/>
        <w:ind w:left="868" w:right="7692"/>
        <w:jc w:val="left"/>
      </w:pPr>
      <w:r>
        <w:rPr/>
        <w:t>存货的盘存制度 采用永续盘存制。</w:t>
      </w:r>
    </w:p>
    <w:p>
      <w:pPr>
        <w:spacing w:line="240" w:lineRule="auto" w:before="4"/>
        <w:rPr>
          <w:rFonts w:ascii="宋体" w:hAnsi="宋体" w:cs="宋体" w:eastAsia="宋体" w:hint="default"/>
          <w:sz w:val="25"/>
          <w:szCs w:val="25"/>
        </w:rPr>
      </w:pPr>
    </w:p>
    <w:p>
      <w:pPr>
        <w:pStyle w:val="BodyText"/>
        <w:spacing w:line="240" w:lineRule="auto"/>
        <w:ind w:left="868" w:right="1032"/>
        <w:jc w:val="left"/>
      </w:pPr>
      <w:r>
        <w:rPr/>
        <w:t>低值易耗品和包装物的摊销方法</w:t>
      </w:r>
    </w:p>
    <w:p>
      <w:pPr>
        <w:pStyle w:val="BodyText"/>
        <w:spacing w:line="240" w:lineRule="auto" w:before="76"/>
        <w:ind w:left="868" w:right="1032"/>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868" w:right="1032"/>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032"/>
        <w:jc w:val="left"/>
        <w:rPr>
          <w:b w:val="0"/>
          <w:bCs w:val="0"/>
        </w:rPr>
      </w:pPr>
      <w:bookmarkStart w:name="12、长期股权投资" w:id="182"/>
      <w:bookmarkEnd w:id="182"/>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68" w:right="1032"/>
        <w:jc w:val="left"/>
      </w:pPr>
      <w:r>
        <w:rPr/>
        <w:t>共同控制、重大影响的判断标准 </w:t>
      </w:r>
      <w:r>
        <w:rPr>
          <w:spacing w:val="-2"/>
        </w:rPr>
        <w:t>共同控制，是指按照相关约定对某项安排所共有的控制，并且该安排的相关活动必须经过分享控制权的参与方一致</w:t>
      </w:r>
      <w:r>
        <w:rPr>
          <w:spacing w:val="-68"/>
        </w:rPr>
        <w:t> </w:t>
      </w:r>
      <w:r>
        <w:rPr>
          <w:spacing w:val="-68"/>
        </w:rPr>
      </w:r>
      <w:r>
        <w:rPr>
          <w:spacing w:val="-2"/>
        </w:rPr>
        <w:t>同意后才能决策。本公司与其他合营方一同对被投资单位实施共同控制且对被投资单位净资产享有权利的，被投资</w:t>
      </w:r>
      <w:r>
        <w:rPr>
          <w:spacing w:val="-68"/>
        </w:rPr>
        <w:t> </w:t>
      </w:r>
      <w:r>
        <w:rPr>
          <w:spacing w:val="-68"/>
        </w:rPr>
      </w:r>
      <w:r>
        <w:rPr/>
        <w:t>单位为本公司的合营企业。 </w:t>
      </w:r>
      <w:r>
        <w:rPr>
          <w:spacing w:val="-2"/>
        </w:rPr>
        <w:t>重大影响，是指对一个企业的财务和经营决策有参与决策的权力，但并不能够控制或者与其他方一起共同控制这些</w:t>
      </w:r>
      <w:r>
        <w:rPr>
          <w:spacing w:val="-68"/>
        </w:rPr>
        <w:t> </w:t>
      </w:r>
      <w:r>
        <w:rPr>
          <w:spacing w:val="-68"/>
        </w:rPr>
      </w:r>
      <w:r>
        <w:rPr/>
        <w:t>政策的制定。本公司能够对被投资单位施加重大影响的，被投资单位为本公司联营企业。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BodyText"/>
        <w:spacing w:line="240" w:lineRule="auto"/>
        <w:ind w:left="868" w:right="1032"/>
        <w:jc w:val="left"/>
      </w:pPr>
      <w:r>
        <w:rPr/>
        <w:t>初始投资成本的确定</w:t>
      </w:r>
    </w:p>
    <w:p>
      <w:pPr>
        <w:pStyle w:val="BodyText"/>
        <w:spacing w:line="316" w:lineRule="auto" w:before="76"/>
        <w:ind w:left="868" w:right="1032"/>
        <w:jc w:val="left"/>
      </w:pPr>
      <w:r>
        <w:rPr/>
        <w:t>（</w:t>
      </w:r>
      <w:r>
        <w:rPr>
          <w:rFonts w:ascii="Times New Roman" w:hAnsi="Times New Roman" w:cs="Times New Roman" w:eastAsia="Times New Roman" w:hint="default"/>
        </w:rPr>
        <w:t>1</w:t>
      </w:r>
      <w:r>
        <w:rPr/>
        <w:t>）企业合并形成的长期股权投资 </w:t>
      </w:r>
      <w:r>
        <w:rPr>
          <w:spacing w:val="-4"/>
        </w:rPr>
        <w:t>同一控制下的企业合并：公司以支付现金、转让非现金资产或承担债务方式以及以发行权益性证券作为合并对价的，</w:t>
      </w:r>
      <w:r>
        <w:rPr>
          <w:spacing w:val="-52"/>
        </w:rPr>
        <w:t> </w:t>
      </w:r>
      <w:r>
        <w:rPr>
          <w:spacing w:val="-52"/>
        </w:rPr>
      </w:r>
      <w:r>
        <w:rPr/>
        <w:t>在合并日按照取得被合并方所有者权益在最终控制方合并财务报表中的账面价值的份额作为长期股权投资的初始 </w:t>
      </w:r>
      <w:r>
        <w:rPr>
          <w:spacing w:val="-2"/>
        </w:rPr>
        <w:t>投资成本。因追加投资等原因能够对同一控制下的被投资单位实施控制的，在合并日根据合并后应享有被合并方净</w:t>
      </w:r>
      <w:r>
        <w:rPr>
          <w:spacing w:val="-68"/>
        </w:rPr>
        <w:t> </w:t>
      </w:r>
      <w:r>
        <w:rPr>
          <w:spacing w:val="-68"/>
        </w:rPr>
      </w:r>
      <w:r>
        <w:rPr>
          <w:spacing w:val="-2"/>
        </w:rPr>
        <w:t>资产在最终控制方合并财务报表中的账面价值的份额，确定长期股权投资的初始投资成本。合并日长期股权投资的</w:t>
      </w:r>
      <w:r>
        <w:rPr>
          <w:spacing w:val="-68"/>
        </w:rPr>
        <w:t> </w:t>
      </w:r>
      <w:r>
        <w:rPr>
          <w:spacing w:val="-68"/>
        </w:rPr>
      </w:r>
      <w:r>
        <w:rPr>
          <w:spacing w:val="-2"/>
        </w:rPr>
        <w:t>初始投资成本，与达到合并前的长期股权投资账面价值加上合并日进一步取得股份新支付对价的账面价值之和的差</w:t>
      </w:r>
      <w:r>
        <w:rPr>
          <w:spacing w:val="-66"/>
        </w:rPr>
        <w:t> </w:t>
      </w:r>
      <w:r>
        <w:rPr>
          <w:spacing w:val="-66"/>
        </w:rPr>
      </w:r>
      <w:r>
        <w:rPr/>
        <w:t>额，调整股本溢价，股本溢价不足冲减的，冲减留存收益。 </w:t>
      </w:r>
      <w:r>
        <w:rPr>
          <w:spacing w:val="-2"/>
        </w:rPr>
        <w:t>非同一控制下的企业合并：公司按照购买日确定的合并成本作为长期股权投资的初始投资成本。因追加投资等原因</w:t>
      </w:r>
      <w:r>
        <w:rPr>
          <w:spacing w:val="-68"/>
        </w:rPr>
        <w:t> </w:t>
      </w:r>
      <w:r>
        <w:rPr>
          <w:spacing w:val="-68"/>
        </w:rPr>
      </w:r>
      <w:r>
        <w:rPr>
          <w:spacing w:val="-2"/>
        </w:rPr>
        <w:t>能够对非同一控制下的被投资单位实施控制的，按照原持有的股权投资账面价值加上新增投资成本之和，作为改按</w:t>
      </w:r>
      <w:r>
        <w:rPr>
          <w:spacing w:val="-68"/>
        </w:rPr>
        <w:t> </w:t>
      </w:r>
      <w:r>
        <w:rPr>
          <w:spacing w:val="-68"/>
        </w:rPr>
      </w:r>
      <w:r>
        <w:rPr/>
        <w:t>成本法核算的初始投资成本。</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left="868" w:right="1032"/>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w:t>
      </w:r>
      <w:r>
        <w:rPr>
          <w:spacing w:val="-66"/>
        </w:rPr>
        <w:t> </w:t>
      </w:r>
      <w:r>
        <w:rPr>
          <w:spacing w:val="-66"/>
        </w:rPr>
      </w:r>
      <w:r>
        <w:rPr>
          <w:spacing w:val="-2"/>
        </w:rPr>
        <w:t>入的长期股权投资以换出资产的公允价值和应支付的相关税费确定其初始投资成本，除非有确凿证据表明换入资产</w:t>
      </w:r>
      <w:r>
        <w:rPr>
          <w:spacing w:val="-66"/>
        </w:rPr>
        <w:t> </w:t>
      </w:r>
      <w:r>
        <w:rPr>
          <w:spacing w:val="-66"/>
        </w:rPr>
      </w:r>
      <w:r>
        <w:rPr>
          <w:spacing w:val="-2"/>
        </w:rPr>
        <w:t>的公允价值更加可靠；不满足上述前提的非货币性资产交换，以换出资产的账面价值和应支付的相关税费作为换入</w:t>
      </w:r>
      <w:r>
        <w:rPr>
          <w:spacing w:val="-68"/>
        </w:rPr>
        <w:t> </w:t>
      </w:r>
      <w:r>
        <w:rPr>
          <w:spacing w:val="-68"/>
        </w:rPr>
      </w:r>
      <w:r>
        <w:rPr/>
        <w:t>长期股权投资的初始投资成本。</w:t>
      </w:r>
    </w:p>
    <w:p>
      <w:pPr>
        <w:pStyle w:val="BodyText"/>
        <w:spacing w:line="240" w:lineRule="auto" w:before="20"/>
        <w:ind w:left="868" w:right="1032"/>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53"/>
        <w:ind w:left="868" w:right="1032"/>
        <w:jc w:val="left"/>
      </w:pPr>
      <w:r>
        <w:rPr/>
        <w:t>后续计量及损益确认方法</w:t>
      </w:r>
    </w:p>
    <w:p>
      <w:pPr>
        <w:pStyle w:val="BodyText"/>
        <w:spacing w:line="309" w:lineRule="auto" w:before="76"/>
        <w:ind w:left="868" w:right="1032"/>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w:t>
      </w:r>
      <w:r>
        <w:rPr>
          <w:spacing w:val="-68"/>
        </w:rPr>
        <w:t> </w:t>
      </w:r>
      <w:r>
        <w:rPr>
          <w:spacing w:val="-68"/>
        </w:rPr>
      </w:r>
      <w:r>
        <w:rPr/>
        <w:t>的现金股利或利润外，公司按照享有被投资单位宣告发放的现金股利或利润确认当期投资收益。</w:t>
      </w:r>
    </w:p>
    <w:p>
      <w:pPr>
        <w:pStyle w:val="BodyText"/>
        <w:spacing w:line="316" w:lineRule="auto" w:before="24"/>
        <w:ind w:left="868" w:right="1038"/>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w:t>
      </w:r>
      <w:r>
        <w:rPr>
          <w:spacing w:val="-68"/>
        </w:rPr>
        <w:t> </w:t>
      </w:r>
      <w:r>
        <w:rPr>
          <w:spacing w:val="-68"/>
        </w:rPr>
      </w:r>
      <w:r>
        <w:rPr>
          <w:spacing w:val="-2"/>
        </w:rPr>
        <w:t>产公允价值份额的差额，不调整长期股权投资的初始投资成本；初始投资成本小于投资时应享有被投资单位可辨认</w:t>
      </w:r>
      <w:r>
        <w:rPr>
          <w:spacing w:val="-68"/>
        </w:rPr>
        <w:t> </w:t>
      </w:r>
      <w:r>
        <w:rPr>
          <w:spacing w:val="-68"/>
        </w:rPr>
      </w:r>
      <w:r>
        <w:rPr/>
        <w:t>净资产公允价值份额的差额，计入当期损益。 公司按照应享有或应分担的被投资单位实现的净损益和其他综合收益的份额，分别确认投资收益和其他综合收益， </w:t>
      </w:r>
      <w:r>
        <w:rPr>
          <w:spacing w:val="-2"/>
        </w:rPr>
        <w:t>同时调整长期股权投资的账面价值；按照被投资单位宣告分派的利润或现金股利计算应享有的部分，相应减少长期</w:t>
      </w:r>
      <w:r>
        <w:rPr>
          <w:spacing w:val="-68"/>
        </w:rPr>
        <w:t> </w:t>
      </w:r>
      <w:r>
        <w:rPr>
          <w:spacing w:val="-68"/>
        </w:rPr>
      </w:r>
      <w:r>
        <w:rPr>
          <w:spacing w:val="-2"/>
        </w:rPr>
        <w:t>股权投资的账面价值；对于被投资单位除净损益、其他综合收益和利润分配以外所有者权益的其他变动，调整长期</w:t>
      </w:r>
      <w:r>
        <w:rPr>
          <w:spacing w:val="-68"/>
        </w:rPr>
        <w:t> </w:t>
      </w:r>
      <w:r>
        <w:rPr>
          <w:spacing w:val="-68"/>
        </w:rPr>
      </w:r>
      <w:r>
        <w:rPr/>
        <w:t>股权投资的账面价值并计入所有者权益。 </w:t>
      </w:r>
      <w:r>
        <w:rPr>
          <w:spacing w:val="-2"/>
        </w:rPr>
        <w:t>在确认应享有被投资单位净损益的份额时，以取得投资时被投资单位可辨认净资产的公允价值为基础，并按照公司</w:t>
      </w:r>
      <w:r>
        <w:rPr>
          <w:spacing w:val="-68"/>
        </w:rPr>
        <w:t> </w:t>
      </w:r>
      <w:r>
        <w:rPr>
          <w:spacing w:val="-68"/>
        </w:rPr>
      </w:r>
      <w:r>
        <w:rPr>
          <w:spacing w:val="-2"/>
        </w:rPr>
        <w:t>的会计政策及会计期间，对被投资单位的净利润进行调整后确认。在持有投资期间，被投资单位编制合并财务报表</w:t>
      </w:r>
      <w:r>
        <w:rPr>
          <w:spacing w:val="-68"/>
        </w:rPr>
        <w:t> </w:t>
      </w:r>
      <w:r>
        <w:rPr>
          <w:spacing w:val="-68"/>
        </w:rPr>
      </w:r>
      <w:r>
        <w:rPr>
          <w:spacing w:val="-4"/>
        </w:rPr>
        <w:t>的，以合并财务报表中的净利润、其他综合收益和其他所有者权益变动中归属于被投资单位的金额为基础进行核算。</w:t>
      </w:r>
      <w:r>
        <w:rPr>
          <w:spacing w:val="-52"/>
        </w:rPr>
        <w:t> </w:t>
      </w:r>
      <w:r>
        <w:rPr>
          <w:spacing w:val="-52"/>
        </w:rPr>
      </w:r>
      <w:r>
        <w:rPr>
          <w:spacing w:val="-4"/>
        </w:rPr>
        <w:t>在公司确认应分担被投资单位发生的亏损时，按照以下顺序进行处理：首先，冲减长期股权投资的账面价值。其次，</w:t>
      </w:r>
      <w:r>
        <w:rPr>
          <w:spacing w:val="-53"/>
        </w:rPr>
        <w:t> </w:t>
      </w:r>
      <w:r>
        <w:rPr>
          <w:spacing w:val="-53"/>
        </w:rPr>
      </w:r>
      <w:r>
        <w:rPr>
          <w:spacing w:val="-2"/>
        </w:rPr>
        <w:t>长期股权投资的账面价值不足以冲减的，以其他实质上构成对被投资单位净投资的长期权益账面价值为限继续确认</w:t>
      </w:r>
      <w:r>
        <w:rPr>
          <w:spacing w:val="-66"/>
        </w:rPr>
        <w:t> </w:t>
      </w:r>
      <w:r>
        <w:rPr>
          <w:spacing w:val="-66"/>
        </w:rPr>
      </w:r>
      <w:r>
        <w:rPr>
          <w:spacing w:val="-2"/>
        </w:rPr>
        <w:t>投资损失，冲减长期应收项目等的账面价值。最后，经过上述处理，按照投资合同或协议约定企业仍承担额外义务</w:t>
      </w:r>
      <w:r>
        <w:rPr>
          <w:spacing w:val="-70"/>
        </w:rPr>
        <w:t> </w:t>
      </w:r>
      <w:r>
        <w:rPr>
          <w:spacing w:val="-70"/>
        </w:rPr>
      </w:r>
      <w:r>
        <w:rPr/>
        <w:t>的，按预计承担的义务确认预计负债，计入当期投资损失。</w:t>
      </w:r>
    </w:p>
    <w:p>
      <w:pPr>
        <w:pStyle w:val="BodyText"/>
        <w:spacing w:line="300" w:lineRule="auto" w:before="19"/>
        <w:ind w:left="868" w:right="4278"/>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left="868" w:right="1032"/>
        <w:jc w:val="left"/>
      </w:pPr>
      <w:r>
        <w:rPr>
          <w:spacing w:val="-2"/>
        </w:rPr>
        <w:t>采用权益法核算的长期股权投资，在处置该项投资时，采用与被投资单位直接处置相关资产或负债相同的基础，按</w:t>
      </w:r>
      <w:r>
        <w:rPr>
          <w:spacing w:val="-68"/>
        </w:rPr>
        <w:t> </w:t>
      </w:r>
      <w:r>
        <w:rPr>
          <w:spacing w:val="-68"/>
        </w:rPr>
      </w:r>
      <w:r>
        <w:rPr>
          <w:spacing w:val="-2"/>
        </w:rPr>
        <w:t>相应比例对原计入其他综合收益的部分进行会计处理。因被投资单位除净损益、其他综合收益和利润分配以外的其</w:t>
      </w:r>
      <w:r>
        <w:rPr>
          <w:spacing w:val="-68"/>
        </w:rPr>
        <w:t> </w:t>
      </w:r>
      <w:r>
        <w:rPr>
          <w:spacing w:val="-68"/>
        </w:rPr>
      </w:r>
      <w:r>
        <w:rPr>
          <w:spacing w:val="-2"/>
        </w:rPr>
        <w:t>他所有者权益变动而确认的所有者权益，按比例结转入当期损益，由于被投资方重新计量设定受益计划净负债或净</w:t>
      </w:r>
      <w:r>
        <w:rPr>
          <w:spacing w:val="-68"/>
        </w:rPr>
        <w:t> </w:t>
      </w:r>
      <w:r>
        <w:rPr>
          <w:spacing w:val="-68"/>
        </w:rPr>
      </w:r>
      <w:r>
        <w:rPr/>
        <w:t>资产变动而产生的其他综合收益除外。 </w:t>
      </w:r>
      <w:r>
        <w:rPr>
          <w:spacing w:val="-2"/>
        </w:rPr>
        <w:t>因处置部分股权投资等原因丧失了对被投资单位的共同控制或重大影响的，处置后的剩余股权改按金融工具确认和</w:t>
      </w:r>
      <w:r>
        <w:rPr>
          <w:spacing w:val="-66"/>
        </w:rPr>
        <w:t> </w:t>
      </w:r>
      <w:r>
        <w:rPr>
          <w:spacing w:val="-66"/>
        </w:rPr>
      </w:r>
      <w:r>
        <w:rPr>
          <w:spacing w:val="-2"/>
        </w:rPr>
        <w:t>计量准则核算，其在丧失共同控制或重大影响之日的公允价值与账面价值之间的差额计入当期损益。原股权投资因</w:t>
      </w:r>
      <w:r>
        <w:rPr>
          <w:spacing w:val="-68"/>
        </w:rPr>
        <w:t> </w:t>
      </w:r>
      <w:r>
        <w:rPr>
          <w:spacing w:val="-68"/>
        </w:rPr>
      </w:r>
      <w:r>
        <w:rPr>
          <w:spacing w:val="-2"/>
        </w:rPr>
        <w:t>采用权益法核算而确认的其他综合收益，在终止采用权益法核算时采用与被投资单位直接处置相关资产或负债相同</w:t>
      </w:r>
      <w:r>
        <w:rPr>
          <w:spacing w:val="-66"/>
        </w:rPr>
        <w:t> </w:t>
      </w:r>
      <w:r>
        <w:rPr>
          <w:spacing w:val="-66"/>
        </w:rPr>
      </w:r>
      <w:r>
        <w:rPr>
          <w:spacing w:val="-2"/>
        </w:rPr>
        <w:t>的基础进行会计处理。因被投资方除净损益、其他综合收益和利润分配以外的其他所有者权益变动而确认的所有者</w:t>
      </w:r>
      <w:r>
        <w:rPr>
          <w:spacing w:val="-68"/>
        </w:rPr>
        <w:t> </w:t>
      </w:r>
      <w:r>
        <w:rPr>
          <w:spacing w:val="-68"/>
        </w:rPr>
      </w:r>
      <w:r>
        <w:rPr/>
        <w:t>权益，在终止采用权益法核算时全部转入当期损益。 因处置部分股权投资、因其他投资方对子公司增资而导致本公司持股比例下降等原因丧失了对被投资单位控制权 </w:t>
      </w:r>
      <w:r>
        <w:rPr>
          <w:spacing w:val="-2"/>
        </w:rPr>
        <w:t>的，在编制个别财务报表时，剩余股权能够对被投资单位实施共同控制或重大影响的，改按权益法核算，并对该剩</w:t>
      </w:r>
      <w:r>
        <w:rPr>
          <w:spacing w:val="-70"/>
        </w:rPr>
        <w:t> </w:t>
      </w:r>
      <w:r>
        <w:rPr>
          <w:spacing w:val="-70"/>
        </w:rPr>
      </w:r>
      <w:r>
        <w:rPr>
          <w:spacing w:val="-2"/>
        </w:rPr>
        <w:t>余股权视同自取得时即采用权益法核算进行调整；剩余股权不能对被投资单位实施共同控制或施加重大影响的，改</w:t>
      </w:r>
      <w:r>
        <w:rPr>
          <w:spacing w:val="-68"/>
        </w:rPr>
        <w:t> </w:t>
      </w:r>
      <w:r>
        <w:rPr>
          <w:spacing w:val="-68"/>
        </w:rPr>
      </w:r>
      <w:r>
        <w:rPr>
          <w:spacing w:val="-2"/>
        </w:rPr>
        <w:t>按金融工具确认和计量准则的有关规定进行会计处理，其在丧失控制之日的公允价值与账面价值间的差额计入当期</w:t>
      </w:r>
      <w:r>
        <w:rPr>
          <w:spacing w:val="-66"/>
        </w:rPr>
        <w:t> </w:t>
      </w:r>
      <w:r>
        <w:rPr>
          <w:spacing w:val="-66"/>
        </w:rPr>
      </w:r>
      <w:r>
        <w:rPr/>
        <w:t>损益。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868" w:right="1038"/>
        <w:jc w:val="left"/>
      </w:pPr>
      <w:r>
        <w:rPr>
          <w:spacing w:val="-2"/>
        </w:rPr>
        <w:t>处置的股权是因追加投资等原因通过企业合并取得的，在编制个别财务报表时，处置后的剩余股权采用成本法或权</w:t>
      </w:r>
      <w:r>
        <w:rPr>
          <w:spacing w:val="-68"/>
        </w:rPr>
        <w:t> </w:t>
      </w:r>
      <w:r>
        <w:rPr>
          <w:spacing w:val="-68"/>
        </w:rPr>
      </w:r>
      <w:r>
        <w:rPr/>
        <w:t>益法核算的，购买日之前持有的股权投资因采用权益法核算而确认的其他综合收益和其他所有者权益按比例结转； 处置后的剩余股权改按金融工具确认和计量准则进行会计处理的，其他综合收益和其他所有者权益全部结转。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1032"/>
        <w:jc w:val="left"/>
        <w:rPr>
          <w:b w:val="0"/>
          <w:bCs w:val="0"/>
        </w:rPr>
      </w:pPr>
      <w:bookmarkStart w:name="13、固定资产" w:id="183"/>
      <w:bookmarkEnd w:id="183"/>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确认条件" w:id="184"/>
      <w:bookmarkEnd w:id="18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868" w:right="1132"/>
        <w:jc w:val="both"/>
      </w:pPr>
      <w:r>
        <w:rPr>
          <w:spacing w:val="-2"/>
        </w:rPr>
        <w:t>固定资产指为生产商品、提供劳务、出租或经营管理而持有，并且使用寿命超过一个会计年度的有形资产。固定资</w:t>
      </w:r>
      <w:r>
        <w:rPr>
          <w:spacing w:val="-70"/>
        </w:rPr>
        <w:t> </w:t>
      </w:r>
      <w:r>
        <w:rPr>
          <w:spacing w:val="-70"/>
        </w:rPr>
      </w:r>
      <w:r>
        <w:rPr>
          <w:spacing w:val="-5"/>
        </w:rPr>
        <w:t>产在同时满足下列条件时予以确认：（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）该固定资产的成本能</w:t>
      </w:r>
      <w:r>
        <w:rPr/>
        <w:t> 够可靠地计量。</w:t>
      </w:r>
    </w:p>
    <w:p>
      <w:pPr>
        <w:spacing w:line="240" w:lineRule="auto" w:before="12"/>
        <w:rPr>
          <w:rFonts w:ascii="宋体" w:hAnsi="宋体" w:cs="宋体" w:eastAsia="宋体" w:hint="default"/>
          <w:sz w:val="22"/>
          <w:szCs w:val="22"/>
        </w:rPr>
      </w:pPr>
    </w:p>
    <w:p>
      <w:pPr>
        <w:pStyle w:val="Heading3"/>
        <w:spacing w:line="240" w:lineRule="auto"/>
        <w:ind w:right="1032"/>
        <w:jc w:val="left"/>
        <w:rPr>
          <w:b w:val="0"/>
          <w:bCs w:val="0"/>
        </w:rPr>
      </w:pPr>
      <w:bookmarkStart w:name="（2）折旧方法" w:id="185"/>
      <w:bookmarkEnd w:id="18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19-9.5%</w:t>
            </w:r>
          </w:p>
        </w:tc>
      </w:tr>
    </w:tbl>
    <w:p>
      <w:pPr>
        <w:spacing w:line="240" w:lineRule="auto" w:before="3"/>
        <w:rPr>
          <w:rFonts w:ascii="宋体" w:hAnsi="宋体" w:cs="宋体" w:eastAsia="宋体" w:hint="default"/>
          <w:b/>
          <w:bCs/>
          <w:sz w:val="19"/>
          <w:szCs w:val="19"/>
        </w:rPr>
      </w:pPr>
    </w:p>
    <w:p>
      <w:pPr>
        <w:pStyle w:val="Heading3"/>
        <w:spacing w:line="240" w:lineRule="auto" w:before="35"/>
        <w:ind w:right="1032"/>
        <w:jc w:val="left"/>
        <w:rPr>
          <w:b w:val="0"/>
          <w:bCs w:val="0"/>
        </w:rPr>
      </w:pPr>
      <w:bookmarkStart w:name="14、在建工程" w:id="186"/>
      <w:bookmarkEnd w:id="186"/>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6"/>
        <w:ind w:left="868" w:right="1131"/>
        <w:jc w:val="both"/>
      </w:pPr>
      <w:r>
        <w:rPr>
          <w:spacing w:val="-2"/>
        </w:rPr>
        <w:t>在建工程项目按建造该项资产达到预定可使用状态前所发生的必要支出，作为固定资产的入账价值。所建造的固定</w:t>
      </w:r>
      <w:r>
        <w:rPr>
          <w:spacing w:val="-68"/>
        </w:rPr>
        <w:t> </w:t>
      </w:r>
      <w:r>
        <w:rPr>
          <w:spacing w:val="-68"/>
        </w:rPr>
      </w:r>
      <w:r>
        <w:rPr>
          <w:spacing w:val="-2"/>
        </w:rPr>
        <w:t>资产在工程已达到预定可使用状态，但尚未办理竣工决算的，自达到预定可使用状态之日起，根据工程预算、造价</w:t>
      </w:r>
      <w:r>
        <w:rPr>
          <w:spacing w:val="-70"/>
        </w:rPr>
        <w:t> </w:t>
      </w:r>
      <w:r>
        <w:rPr>
          <w:spacing w:val="-70"/>
        </w:rPr>
      </w:r>
      <w:r>
        <w:rPr>
          <w:spacing w:val="-2"/>
        </w:rPr>
        <w:t>或者工程实际成本等，按估计的价值转入固定资产，并按本公司固定资产折旧政策计提固定资产的折旧，待办理竣</w:t>
      </w:r>
      <w:r>
        <w:rPr>
          <w:spacing w:val="-68"/>
        </w:rPr>
        <w:t> </w:t>
      </w:r>
      <w:r>
        <w:rPr>
          <w:spacing w:val="-68"/>
        </w:rPr>
      </w:r>
      <w:r>
        <w:rPr/>
        <w:t>工决算后，再按实际成本调整原来的暂估价值，但不调整原已计提的折旧额。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32"/>
        <w:jc w:val="left"/>
        <w:rPr>
          <w:b w:val="0"/>
          <w:bCs w:val="0"/>
        </w:rPr>
      </w:pPr>
      <w:bookmarkStart w:name="15、借款费用" w:id="187"/>
      <w:bookmarkEnd w:id="187"/>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30" w:right="1196" w:hanging="360"/>
        <w:jc w:val="left"/>
      </w:pPr>
      <w:r>
        <w:rPr>
          <w:rFonts w:ascii="宋体" w:hAnsi="宋体" w:cs="宋体" w:eastAsia="宋体" w:hint="default"/>
        </w:rPr>
        <w:t>1. </w:t>
      </w:r>
      <w:r>
        <w:rPr/>
        <w:t>借款费用资本化的确认原则 借款费用，包括借款利息、折价或者溢价的摊销、辅助费用以及因外币借款而发生的汇兑差额等。 公司发生的借款费用，可直接归属于符合资本化条件的资产的购建或者生产的，予以资本化，计入相关资 产成本；其他借款费用，在发生时根据其发生额确认为费用，计入当期损益。 符合资本化条件的资产，是指需要经过相当长时间的购建或者生产活动才能达到预定可使用或者可销售状 态的固定资产、投资性房地产和存货等资产。</w:t>
      </w:r>
    </w:p>
    <w:p>
      <w:pPr>
        <w:pStyle w:val="BodyText"/>
        <w:spacing w:line="240" w:lineRule="auto" w:before="19"/>
        <w:ind w:left="1430" w:right="1032"/>
        <w:jc w:val="left"/>
      </w:pPr>
      <w:r>
        <w:rPr/>
        <w:t>借款费用同时满足下列条件时开始资本化：</w:t>
      </w:r>
    </w:p>
    <w:p>
      <w:pPr>
        <w:pStyle w:val="BodyText"/>
        <w:spacing w:line="300" w:lineRule="auto" w:before="76"/>
        <w:ind w:left="1430" w:right="1032"/>
        <w:jc w:val="left"/>
      </w:pPr>
      <w:r>
        <w:rPr>
          <w:spacing w:val="-1"/>
        </w:rPr>
        <w:t>（</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）资产支出已经发生，资产支出包括为购建或者生产符合资本化条件的资产而以支付现金、转移非现金</w:t>
      </w:r>
      <w:r>
        <w:rPr>
          <w:spacing w:val="-52"/>
        </w:rPr>
        <w:t> </w:t>
      </w:r>
      <w:r>
        <w:rPr>
          <w:spacing w:val="-52"/>
        </w:rPr>
      </w:r>
      <w:r>
        <w:rPr/>
        <w:t>资产或者承担带息债务形式发生的支出；</w:t>
      </w:r>
    </w:p>
    <w:p>
      <w:pPr>
        <w:pStyle w:val="BodyText"/>
        <w:spacing w:line="240" w:lineRule="auto" w:before="31"/>
        <w:ind w:left="1430" w:right="1032"/>
        <w:jc w:val="left"/>
      </w:pPr>
      <w:r>
        <w:rPr/>
        <w:t>（</w:t>
      </w:r>
      <w:r>
        <w:rPr>
          <w:rFonts w:ascii="Times New Roman" w:hAnsi="Times New Roman" w:cs="Times New Roman" w:eastAsia="Times New Roman" w:hint="default"/>
        </w:rPr>
        <w:t>2</w:t>
      </w:r>
      <w:r>
        <w:rPr/>
        <w:t>）借款费用已经发生；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430" w:right="1032"/>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9" w:lineRule="auto" w:before="139"/>
        <w:ind w:left="1430" w:right="1196" w:hanging="360"/>
        <w:jc w:val="left"/>
      </w:pPr>
      <w:r>
        <w:rPr>
          <w:rFonts w:ascii="宋体" w:hAnsi="宋体" w:cs="宋体" w:eastAsia="宋体" w:hint="default"/>
        </w:rPr>
        <w:t>1. </w:t>
      </w:r>
      <w:r>
        <w:rPr/>
        <w:t>借款费用资本化期间 资本化期间，指从借款费用开始资本化时点到停止资本化时点的期间，借款费用暂停资本化的期间不包括 在内。</w:t>
      </w:r>
    </w:p>
    <w:p>
      <w:pPr>
        <w:pStyle w:val="BodyText"/>
        <w:spacing w:line="316" w:lineRule="auto" w:before="17"/>
        <w:ind w:left="1430" w:right="1196"/>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当购建或者生产符合资本化条件的资产中部分项目分别完工且可单独使用时，该部分资产借款费用停止资 本化。 购建或者生产的资产的各部分分别完工，但必须等到整体完工后才可使用或可对外销售的，在该资产整体 完工时停止借款费用资本化。</w:t>
      </w:r>
    </w:p>
    <w:p>
      <w:pPr>
        <w:spacing w:line="240" w:lineRule="auto" w:before="4"/>
        <w:rPr>
          <w:rFonts w:ascii="宋体" w:hAnsi="宋体" w:cs="宋体" w:eastAsia="宋体" w:hint="default"/>
          <w:sz w:val="25"/>
          <w:szCs w:val="25"/>
        </w:rPr>
      </w:pPr>
    </w:p>
    <w:p>
      <w:pPr>
        <w:pStyle w:val="BodyText"/>
        <w:spacing w:line="314" w:lineRule="auto"/>
        <w:ind w:left="1430" w:right="1032" w:hanging="360"/>
        <w:jc w:val="left"/>
      </w:pPr>
      <w:r>
        <w:rPr>
          <w:rFonts w:ascii="宋体" w:hAnsi="宋体" w:cs="宋体" w:eastAsia="宋体" w:hint="default"/>
        </w:rPr>
        <w:t>1. </w:t>
      </w:r>
      <w:r>
        <w:rPr/>
        <w:t>暂停资本化期间 </w:t>
      </w:r>
      <w:r>
        <w:rPr>
          <w:spacing w:val="-1"/>
        </w:rPr>
        <w:t>符合资本化条件的资产在购建或生产过程中发生的非正常中断、且中断时间连续超过</w:t>
      </w:r>
      <w:r>
        <w:rPr>
          <w:rFonts w:ascii="Times New Roman" w:hAnsi="Times New Roman" w:cs="Times New Roman" w:eastAsia="Times New Roman" w:hint="default"/>
          <w:spacing w:val="-1"/>
        </w:rPr>
        <w:t>3</w:t>
      </w:r>
      <w:r>
        <w:rPr>
          <w:spacing w:val="-1"/>
        </w:rPr>
        <w:t>个月的，则借款费用</w:t>
      </w:r>
      <w:r>
        <w:rPr/>
        <w:t> 暂停资本化；该项中断如是所购建或生产的符合资本化条件的资产达到预定可使用状态或者可销售状态必 要的程序，则借款费用继续资本化。在中断期间发生的借款费用确认为当期损益，直至资产的购建或者生 产活动重新开始后借款费用继续资本化。</w:t>
      </w:r>
    </w:p>
    <w:p>
      <w:pPr>
        <w:spacing w:line="240" w:lineRule="auto" w:before="6"/>
        <w:rPr>
          <w:rFonts w:ascii="宋体" w:hAnsi="宋体" w:cs="宋体" w:eastAsia="宋体" w:hint="default"/>
          <w:sz w:val="25"/>
          <w:szCs w:val="25"/>
        </w:rPr>
      </w:pPr>
    </w:p>
    <w:p>
      <w:pPr>
        <w:pStyle w:val="BodyText"/>
        <w:spacing w:line="316" w:lineRule="auto"/>
        <w:ind w:left="1430" w:right="1196" w:hanging="360"/>
        <w:jc w:val="left"/>
      </w:pPr>
      <w:r>
        <w:rPr>
          <w:rFonts w:ascii="宋体" w:hAnsi="宋体" w:cs="宋体" w:eastAsia="宋体" w:hint="default"/>
        </w:rPr>
        <w:t>1. </w:t>
      </w:r>
      <w:r>
        <w:rPr/>
        <w:t>借款费用资本化率、资本化金额的计算方法 对于为购建或者生产符合资本化条件的资产而借入的专门借款，以专门借款当期实际发生的借款费用，减 去尚未动用的借款资金存入银行取得的利息收入或进行暂时性投资取得的投资收益后的金额，来确定借款 费用的资本化金额。 对于为购建或者生产符合资本化条件的资产而占用的一般借款，根据累计资产支出超过专门借款部分的资 产支出加权平均数（按期初期末简单平均）乘以所占用一般借款的资本化率，计算确定一般借款应予资本 化的借款费用金额。资本化率根据一般借款加权平均利率计算确定。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32"/>
        <w:jc w:val="left"/>
        <w:rPr>
          <w:b w:val="0"/>
          <w:bCs w:val="0"/>
        </w:rPr>
      </w:pPr>
      <w:bookmarkStart w:name="16、无形资产" w:id="188"/>
      <w:bookmarkEnd w:id="188"/>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28"/>
        <w:ind w:left="1430" w:right="1032"/>
        <w:jc w:val="left"/>
      </w:pPr>
      <w:r>
        <w:rPr/>
        <w:t>无形资产的计价方法</w:t>
      </w:r>
    </w:p>
    <w:p>
      <w:pPr>
        <w:pStyle w:val="BodyText"/>
        <w:spacing w:line="316" w:lineRule="auto" w:before="76"/>
        <w:ind w:left="1430" w:right="1196"/>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外购无形资产的成本，包括购买价款、相关税费以及直接归属于使该项资产达到预定用途所发生的其他支 出。购买无形资产的价款超过正常信用条件延期支付，实质上具有融资性质的，无形资产的成本以购买价 款的现值为基础确定。 债务重组取得债务人用以抵债的无形资产，以该无形资产的公允价值为基础确定其入账价值，并将重组债 务的账面价值与该用以抵债的无形资产公允价值之间的差额，计入当期损益。 以同一控制下的企业吸收合并方式取得的无形资产按被合并方的账面价值确定其入账价值；以非同一控制 下的企业吸收合并方式取得的无形资产按公允价值确定其入账价值。 内部自行开发的无形资产，其成本包括：开发该无形资产时耗用的材料、劳务成本、注册费、在开发过程 中使用的其他专利权和特许权的摊销以及满足资本化条件的利息费用，以及为使该无形资产达到预定用途 前所发生的其他直接费用。</w:t>
      </w:r>
    </w:p>
    <w:p>
      <w:pPr>
        <w:spacing w:after="0" w:line="316" w:lineRule="auto"/>
        <w:jc w:val="left"/>
        <w:sectPr>
          <w:footerReference w:type="default" r:id="rId1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430" w:right="6236"/>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1430" w:right="1196"/>
        <w:jc w:val="left"/>
      </w:pPr>
      <w:r>
        <w:rPr/>
        <w:t>对于使用寿命有限的无形资产，在为企业带来经济利益的期限内按直线法摊销；无法预见无形资产为企业 带来经济利益期限的，视为使用寿命不确定的无形资产，不予摊销。</w:t>
      </w:r>
    </w:p>
    <w:p>
      <w:pPr>
        <w:spacing w:line="240" w:lineRule="auto" w:before="5"/>
        <w:rPr>
          <w:rFonts w:ascii="宋体" w:hAnsi="宋体" w:cs="宋体" w:eastAsia="宋体" w:hint="default"/>
          <w:sz w:val="23"/>
          <w:szCs w:val="23"/>
        </w:rPr>
      </w:pPr>
    </w:p>
    <w:p>
      <w:pPr>
        <w:pStyle w:val="Heading3"/>
        <w:spacing w:line="240" w:lineRule="auto"/>
        <w:ind w:left="1070" w:right="1032"/>
        <w:jc w:val="left"/>
        <w:rPr>
          <w:b w:val="0"/>
          <w:bCs w:val="0"/>
        </w:rPr>
      </w:pPr>
      <w:r>
        <w:rPr>
          <w:rFonts w:ascii="宋体" w:hAnsi="宋体" w:cs="宋体" w:eastAsia="宋体" w:hint="default"/>
        </w:rPr>
        <w:t>1.</w:t>
      </w:r>
      <w:r>
        <w:rPr>
          <w:rFonts w:ascii="宋体" w:hAnsi="宋体" w:cs="宋体" w:eastAsia="宋体" w:hint="default"/>
          <w:spacing w:val="36"/>
        </w:rPr>
        <w:t> </w:t>
      </w:r>
      <w:r>
        <w:rPr/>
        <w:t>使用寿命有限的无形资产的使用寿命估计情况：</w:t>
      </w:r>
      <w:r>
        <w:rPr>
          <w:b w:val="0"/>
          <w:bCs w:val="0"/>
        </w:rPr>
      </w:r>
    </w:p>
    <w:p>
      <w:pPr>
        <w:spacing w:line="240" w:lineRule="auto" w:before="11"/>
        <w:rPr>
          <w:rFonts w:ascii="宋体" w:hAnsi="宋体" w:cs="宋体" w:eastAsia="宋体" w:hint="default"/>
          <w:b/>
          <w:bCs/>
          <w:sz w:val="27"/>
          <w:szCs w:val="27"/>
        </w:rPr>
      </w:pPr>
    </w:p>
    <w:tbl>
      <w:tblPr>
        <w:tblW w:w="0" w:type="auto"/>
        <w:jc w:val="left"/>
        <w:tblInd w:w="753" w:type="dxa"/>
        <w:tblLayout w:type="fixed"/>
        <w:tblCellMar>
          <w:top w:w="0" w:type="dxa"/>
          <w:left w:w="0" w:type="dxa"/>
          <w:bottom w:w="0" w:type="dxa"/>
          <w:right w:w="0" w:type="dxa"/>
        </w:tblCellMar>
        <w:tblLook w:val="01E0"/>
      </w:tblPr>
      <w:tblGrid>
        <w:gridCol w:w="3055"/>
        <w:gridCol w:w="1913"/>
        <w:gridCol w:w="2846"/>
      </w:tblGrid>
      <w:tr>
        <w:trPr>
          <w:trHeight w:val="355" w:hRule="exact"/>
        </w:trPr>
        <w:tc>
          <w:tcPr>
            <w:tcW w:w="30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2" w:hRule="exact"/>
        </w:trPr>
        <w:tc>
          <w:tcPr>
            <w:tcW w:w="30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8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土地使用权证规定年限</w:t>
            </w:r>
          </w:p>
        </w:tc>
      </w:tr>
      <w:tr>
        <w:trPr>
          <w:trHeight w:val="353" w:hRule="exact"/>
        </w:trPr>
        <w:tc>
          <w:tcPr>
            <w:tcW w:w="30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8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2" w:hRule="exact"/>
        </w:trPr>
        <w:tc>
          <w:tcPr>
            <w:tcW w:w="30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8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2" w:hRule="exact"/>
        </w:trPr>
        <w:tc>
          <w:tcPr>
            <w:tcW w:w="30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3" w:hRule="exact"/>
        </w:trPr>
        <w:tc>
          <w:tcPr>
            <w:tcW w:w="30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8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预计受益期限</w:t>
            </w:r>
          </w:p>
        </w:tc>
      </w:tr>
    </w:tbl>
    <w:p>
      <w:pPr>
        <w:spacing w:line="240" w:lineRule="auto" w:before="3"/>
        <w:rPr>
          <w:rFonts w:ascii="宋体" w:hAnsi="宋体" w:cs="宋体" w:eastAsia="宋体" w:hint="default"/>
          <w:b/>
          <w:bCs/>
          <w:sz w:val="21"/>
          <w:szCs w:val="21"/>
        </w:rPr>
      </w:pPr>
    </w:p>
    <w:p>
      <w:pPr>
        <w:pStyle w:val="BodyText"/>
        <w:spacing w:line="316" w:lineRule="auto" w:before="44"/>
        <w:ind w:left="1430" w:right="3536"/>
        <w:jc w:val="left"/>
      </w:pPr>
      <w:r>
        <w:rPr/>
        <w:t>每年度终了，对使用寿命有限的无形资产的使用寿命及摊销方法进行复核。 经复核，本报告期末无形资产的使用寿命及摊销方法与以前估计未有不同</w:t>
      </w:r>
    </w:p>
    <w:p>
      <w:pPr>
        <w:spacing w:line="240" w:lineRule="auto" w:before="4"/>
        <w:rPr>
          <w:rFonts w:ascii="宋体" w:hAnsi="宋体" w:cs="宋体" w:eastAsia="宋体" w:hint="default"/>
          <w:sz w:val="25"/>
          <w:szCs w:val="25"/>
        </w:rPr>
      </w:pPr>
    </w:p>
    <w:p>
      <w:pPr>
        <w:pStyle w:val="BodyText"/>
        <w:spacing w:line="316" w:lineRule="auto"/>
        <w:ind w:left="1430" w:right="3716"/>
        <w:jc w:val="left"/>
      </w:pPr>
      <w:r>
        <w:rPr/>
        <w:t>使用寿命不确定的无形资产的判断依据以及对其使用寿命进行复核的程序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日，本公司无使用寿命不确定的无形资产。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30" w:right="1736"/>
        <w:jc w:val="left"/>
      </w:pPr>
      <w:r>
        <w:rPr/>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left="1430" w:right="1196"/>
        <w:jc w:val="left"/>
      </w:pPr>
      <w:r>
        <w:rPr/>
        <w:t>开发阶段：在进行商业性生产或使用前，将研究成果或其他知识应用于某项计划或设计，以生产出新的或 具有实质性改进的材料、装置、产品等活动的阶段。</w:t>
      </w:r>
    </w:p>
    <w:p>
      <w:pPr>
        <w:spacing w:line="240" w:lineRule="auto" w:before="4"/>
        <w:rPr>
          <w:rFonts w:ascii="宋体" w:hAnsi="宋体" w:cs="宋体" w:eastAsia="宋体" w:hint="default"/>
          <w:sz w:val="25"/>
          <w:szCs w:val="25"/>
        </w:rPr>
      </w:pPr>
    </w:p>
    <w:p>
      <w:pPr>
        <w:pStyle w:val="BodyText"/>
        <w:spacing w:line="316" w:lineRule="auto"/>
        <w:ind w:left="1430" w:right="3536"/>
        <w:jc w:val="left"/>
      </w:pPr>
      <w:r>
        <w:rPr/>
        <w:t>开发阶段支出资本化的具体条件 内部研究开发项目开发阶段的支出，同时满足下列条件时确认为无形资产：</w:t>
      </w:r>
    </w:p>
    <w:p>
      <w:pPr>
        <w:pStyle w:val="BodyText"/>
        <w:spacing w:line="240" w:lineRule="auto" w:before="19"/>
        <w:ind w:left="1430" w:right="1032"/>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1430" w:right="1032"/>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1430" w:right="1032"/>
        <w:jc w:val="left"/>
      </w:pPr>
      <w:r>
        <w:rPr>
          <w:spacing w:val="-1"/>
        </w:rPr>
        <w:t>（</w:t>
      </w: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w:t>
      </w:r>
      <w:r>
        <w:rPr>
          <w:spacing w:val="-51"/>
        </w:rPr>
        <w:t> </w:t>
      </w:r>
      <w:r>
        <w:rPr>
          <w:spacing w:val="-51"/>
        </w:rPr>
      </w:r>
      <w:r>
        <w:rPr/>
        <w:t>在市场，无形资产将在内部使用的，能够证明其有用性；</w:t>
      </w:r>
    </w:p>
    <w:p>
      <w:pPr>
        <w:pStyle w:val="BodyText"/>
        <w:spacing w:line="300" w:lineRule="auto" w:before="31"/>
        <w:ind w:left="1430" w:right="1032"/>
        <w:jc w:val="left"/>
      </w:pPr>
      <w:r>
        <w:rPr>
          <w:spacing w:val="-1"/>
        </w:rPr>
        <w:t>（</w:t>
      </w:r>
      <w:r>
        <w:rPr>
          <w:rFonts w:ascii="Times New Roman" w:hAnsi="Times New Roman" w:cs="Times New Roman" w:eastAsia="Times New Roman" w:hint="default"/>
          <w:spacing w:val="-1"/>
        </w:rPr>
        <w:t>4</w:t>
      </w:r>
      <w:r>
        <w:rPr>
          <w:spacing w:val="-1"/>
        </w:rPr>
        <w:t>）有足够的技术、财务资源和其他资源支持，以完成该无形资产的开发，并有能力使用或出售该无形资</w:t>
      </w:r>
      <w:r>
        <w:rPr>
          <w:spacing w:val="-55"/>
        </w:rPr>
        <w:t> </w:t>
      </w:r>
      <w:r>
        <w:rPr>
          <w:spacing w:val="-55"/>
        </w:rPr>
      </w:r>
      <w:r>
        <w:rPr/>
        <w:t>产；</w:t>
      </w:r>
    </w:p>
    <w:p>
      <w:pPr>
        <w:pStyle w:val="BodyText"/>
        <w:spacing w:line="309" w:lineRule="auto" w:before="31"/>
        <w:ind w:left="1430" w:right="1196"/>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 益。</w:t>
      </w:r>
    </w:p>
    <w:p>
      <w:pPr>
        <w:spacing w:after="0" w:line="309" w:lineRule="auto"/>
        <w:jc w:val="left"/>
        <w:sectPr>
          <w:footerReference w:type="default" r:id="rId16"/>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17、长期资产减值" w:id="191"/>
      <w:bookmarkEnd w:id="191"/>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30" w:right="1213"/>
        <w:jc w:val="both"/>
      </w:pPr>
      <w:r>
        <w:rPr/>
        <w:t>长期股权投资、采用成本模式计量的投资性房地产、固定资产、在建工程、使用寿命有限的无形资产等长 期资产，于资产负债表日存在减值迹象的，进行减值测试。减值测试结果表明资产的可收回金额低于其账 面价值的，按其差额计提减值准备并计入减值损失。可收回金额为资产的公允价值减去处置费用后的净额 与资产预计未来现金流量的现值两者之间的较高者。资产减值准备按单项资产为基础计算并确认，如果难 以对单项资产的可收回金额进行估计的，以该资产所属的资产组确定资产组的可收回金额。资产组是能够 独立产生现金流入的最小资产组合。</w:t>
      </w:r>
    </w:p>
    <w:p>
      <w:pPr>
        <w:pStyle w:val="BodyText"/>
        <w:spacing w:line="316" w:lineRule="auto" w:before="19"/>
        <w:ind w:left="1430" w:right="1196"/>
        <w:jc w:val="left"/>
      </w:pPr>
      <w:r>
        <w:rPr/>
        <w:t>商誉至少在每年年度终了进行减值测试。 本公司进行商誉减值测试，对于因企业合并形成的商誉的账面价值，自购买日起按照合理的方法分摊至相 关的资产组；难以分摊至相关的资产组的，将其分摊至相关的资产组组合。在将商誉的账面价值分摊至相 关的资产组或者资产组组合时，按照各资产组或者资产组组合的公允价值占相关资产组或者资产组组合公 允价值总额的比例进行分摊。公允价值难以可靠计量的，按照各资产组或者资产组组合的账面价值占相关 资产组或者资产组组合账面价值总额的比例进行分摊。 在对包含商誉的相关资产组或者资产组组合进行减值测试时，如与商誉相关的资产组或者资产组组合存在 减值迹象的，先对不包含商誉的资产组或者资产组组合进行减值测试，计算可收回金额，并与相关账面价 值相比较，确认相应的减值损失。再对包含商誉的资产组或者资产组组合进行减值测试，比较这些相关资 产组或者资产组组合的账面价值（包括所分摊的商誉的账面价值部分）与其可收回金额，如相关资产组或 者资产组组合的可收回金额低于其账面价值的，确认商誉的减值损失。上述资产减值损失一经确认，在以 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1032"/>
        <w:jc w:val="left"/>
        <w:rPr>
          <w:b w:val="0"/>
          <w:bCs w:val="0"/>
        </w:rPr>
      </w:pPr>
      <w:bookmarkStart w:name="18、长期待摊费用" w:id="192"/>
      <w:bookmarkEnd w:id="192"/>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30" w:right="1032"/>
        <w:jc w:val="left"/>
      </w:pPr>
      <w:r>
        <w:rPr/>
        <w:t>长期待摊费用为已经发生但应由本期和以后各期负担的分摊期限在一年以上的各项费用。</w:t>
      </w:r>
    </w:p>
    <w:p>
      <w:pPr>
        <w:spacing w:line="240" w:lineRule="auto" w:before="0"/>
        <w:rPr>
          <w:rFonts w:ascii="宋体" w:hAnsi="宋体" w:cs="宋体" w:eastAsia="宋体" w:hint="default"/>
          <w:sz w:val="18"/>
          <w:szCs w:val="18"/>
        </w:rPr>
      </w:pPr>
    </w:p>
    <w:p>
      <w:pPr>
        <w:pStyle w:val="Heading3"/>
        <w:spacing w:line="240" w:lineRule="auto" w:before="127"/>
        <w:ind w:left="1070" w:right="1032"/>
        <w:jc w:val="left"/>
        <w:rPr>
          <w:b w:val="0"/>
          <w:bCs w:val="0"/>
        </w:rPr>
      </w:pPr>
      <w:r>
        <w:rPr>
          <w:rFonts w:ascii="宋体" w:hAnsi="宋体" w:cs="宋体" w:eastAsia="宋体" w:hint="default"/>
        </w:rPr>
        <w:t>1.</w:t>
      </w:r>
      <w:r>
        <w:rPr>
          <w:rFonts w:ascii="宋体" w:hAnsi="宋体" w:cs="宋体" w:eastAsia="宋体" w:hint="default"/>
          <w:spacing w:val="42"/>
        </w:rPr>
        <w:t> </w:t>
      </w:r>
      <w:r>
        <w:rPr/>
        <w:t>摊销方法</w:t>
      </w:r>
      <w:r>
        <w:rPr>
          <w:b w:val="0"/>
          <w:bCs w:val="0"/>
        </w:rPr>
      </w:r>
    </w:p>
    <w:p>
      <w:pPr>
        <w:pStyle w:val="BodyText"/>
        <w:spacing w:line="240" w:lineRule="auto" w:before="62"/>
        <w:ind w:left="1430" w:right="1032"/>
        <w:jc w:val="left"/>
      </w:pPr>
      <w:r>
        <w:rPr/>
        <w:t>长期待摊费用在受益期内平均摊销</w:t>
      </w:r>
    </w:p>
    <w:p>
      <w:pPr>
        <w:spacing w:line="240" w:lineRule="auto" w:before="0"/>
        <w:rPr>
          <w:rFonts w:ascii="宋体" w:hAnsi="宋体" w:cs="宋体" w:eastAsia="宋体" w:hint="default"/>
          <w:sz w:val="18"/>
          <w:szCs w:val="18"/>
        </w:rPr>
      </w:pPr>
    </w:p>
    <w:p>
      <w:pPr>
        <w:pStyle w:val="Heading3"/>
        <w:spacing w:line="240" w:lineRule="auto" w:before="127"/>
        <w:ind w:left="1070" w:right="1032"/>
        <w:jc w:val="left"/>
        <w:rPr>
          <w:b w:val="0"/>
          <w:bCs w:val="0"/>
        </w:rPr>
      </w:pPr>
      <w:r>
        <w:rPr>
          <w:rFonts w:ascii="宋体" w:hAnsi="宋体" w:cs="宋体" w:eastAsia="宋体" w:hint="default"/>
        </w:rPr>
        <w:t>1.</w:t>
      </w:r>
      <w:r>
        <w:rPr>
          <w:rFonts w:ascii="宋体" w:hAnsi="宋体" w:cs="宋体" w:eastAsia="宋体" w:hint="default"/>
          <w:spacing w:val="42"/>
        </w:rPr>
        <w:t> </w:t>
      </w:r>
      <w:r>
        <w:rPr/>
        <w:t>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4555"/>
        <w:gridCol w:w="3868"/>
      </w:tblGrid>
      <w:tr>
        <w:trPr>
          <w:trHeight w:val="355" w:hRule="exact"/>
        </w:trPr>
        <w:tc>
          <w:tcPr>
            <w:tcW w:w="45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38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3" w:hRule="exact"/>
        </w:trPr>
        <w:tc>
          <w:tcPr>
            <w:tcW w:w="4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r>
        <w:trPr>
          <w:trHeight w:val="352" w:hRule="exact"/>
        </w:trPr>
        <w:tc>
          <w:tcPr>
            <w:tcW w:w="4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3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032"/>
        <w:jc w:val="left"/>
        <w:rPr>
          <w:b w:val="0"/>
          <w:bCs w:val="0"/>
        </w:rPr>
      </w:pPr>
      <w:bookmarkStart w:name="19、职工薪酬" w:id="193"/>
      <w:bookmarkEnd w:id="193"/>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430" w:right="1196"/>
        <w:jc w:val="left"/>
      </w:pPr>
      <w:r>
        <w:rPr/>
        <w:t>本公司在职工为本公司提供服务的会计期间，将实际发生的短期薪酬确认为负债，并计入当期损益或相关 资产成本。 本公司为职工缴纳的社会保险费和住房公积金，以及按规定提取的工会经费和职工教育经费，在职工为本 公司提供服务的会计期间，根据规定的计提基础和计提比例计算确定相应的职工薪酬金额。 职工福利费为非货币性福利的，如能够可靠计量的，按照公允价值计量。</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1032"/>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430" w:right="1032"/>
        <w:jc w:val="left"/>
      </w:pPr>
      <w:r>
        <w:rPr/>
        <w:t>（</w:t>
      </w: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本公司按当地政府的相关规定为职工缴纳基本养老保险和失业保险，在职工为本公司提供服务的会计期间，</w:t>
      </w:r>
      <w:r>
        <w:rPr>
          <w:spacing w:val="-52"/>
        </w:rPr>
        <w:t> </w:t>
      </w:r>
      <w:r>
        <w:rPr>
          <w:spacing w:val="-52"/>
        </w:rPr>
      </w:r>
      <w:r>
        <w:rPr/>
        <w:t>按以当地规定的缴纳基数和比例计算应缴纳金额，确认为负债，并计入当期损益或相关资产成本。 除基本养老保险外，本公司还依据国家企业年金制度的相关政策建立了企业年</w:t>
      </w:r>
    </w:p>
    <w:p>
      <w:pPr>
        <w:pStyle w:val="BodyText"/>
        <w:spacing w:line="316" w:lineRule="auto" w:before="22"/>
        <w:ind w:left="1430" w:right="1196"/>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本公司根据预期累计福利单位法确定的公式将设定受益计划产生的福利义务归属于职工提供服务的期间， 并计入当期损益或相关资产成本。 设定受益计划义务现值减去设定受益计划资产公允价值所形成的赤字或盈余确认为一项设定受益计划净负 债或净资产。设定受益计划存在盈余的，本公司以设定受益计划的盈余和资产上限两项的孰低者计量设定 受益计划净资产。 所有设定受益计划义务，包括预期在职工提供服务的年度报告期间结束后的十二个月内支付的义务，根据 资产负债表日与设定受益计划义务期限和币种相匹配的国债或活跃市场上的高质量公司债券的市场收益率 予以折现。 设定受益计划产生的服务成本和设定受益计划净负债或净资产的利息净额计入当期损益或相关资产成本； 重新计量设定受益计划净负债或净资产所产生的变动计入其他综合收益，并且在后续会计期间不转回至损 益，在原设定受益计划终止时在权益范围内将原计入其他综合收益的部分全部结转至未分配利润。 在设定受益计划结算时，按在结算日确定的设定受益计划义务现值和结算价格两者的差额，确认结算利得 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1032"/>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30" w:right="1196"/>
        <w:jc w:val="left"/>
      </w:pPr>
      <w:r>
        <w:rPr/>
        <w:t>本公司在不能单方面撤回因解除劳动关系计划或裁减建议所提供的辞退福利时，或确认与涉及支付辞退福 </w:t>
      </w:r>
      <w:r>
        <w:rPr>
          <w:spacing w:val="-3"/>
        </w:rPr>
        <w:t>利的重组相关的成本或费用时（两者孰早），确认辞退福利产生的职工薪酬负债，并计入当期损益。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32"/>
        <w:jc w:val="left"/>
        <w:rPr>
          <w:b w:val="0"/>
          <w:bCs w:val="0"/>
        </w:rPr>
      </w:pPr>
      <w:bookmarkStart w:name="20、收入" w:id="197"/>
      <w:bookmarkEnd w:id="197"/>
      <w:r>
        <w:rPr>
          <w:b w:val="0"/>
          <w:bCs w:val="0"/>
        </w:rPr>
      </w:r>
      <w:r>
        <w:rPr>
          <w:rFonts w:ascii="Times New Roman" w:hAnsi="Times New Roman" w:cs="Times New Roman" w:eastAsia="Times New Roman" w:hint="default"/>
        </w:rPr>
        <w:t>20</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6"/>
        <w:ind w:right="1032"/>
        <w:jc w:val="left"/>
      </w:pPr>
      <w:r>
        <w:rPr/>
        <w:t>收入确认和计量所采用的会计政策</w:t>
      </w:r>
    </w:p>
    <w:p>
      <w:pPr>
        <w:pStyle w:val="BodyText"/>
        <w:spacing w:line="240" w:lineRule="auto" w:before="115"/>
        <w:ind w:left="1430" w:right="1032"/>
        <w:jc w:val="left"/>
      </w:pPr>
      <w:r>
        <w:rPr/>
        <w:t>销售商品收入确认和计量原则</w:t>
      </w:r>
    </w:p>
    <w:p>
      <w:pPr>
        <w:pStyle w:val="BodyText"/>
        <w:spacing w:line="312" w:lineRule="auto" w:before="76"/>
        <w:ind w:left="1430" w:right="1196"/>
        <w:jc w:val="left"/>
      </w:pPr>
      <w:r>
        <w:rPr/>
        <w:t>（</w:t>
      </w:r>
      <w:r>
        <w:rPr>
          <w:rFonts w:ascii="Times New Roman" w:hAnsi="Times New Roman" w:cs="Times New Roman" w:eastAsia="Times New Roman" w:hint="default"/>
        </w:rPr>
        <w:t>1</w:t>
      </w:r>
      <w:r>
        <w:rPr/>
        <w:t>）销售商品收入确认和计量的一般原则 公司已将商品所有权上的主要风险和报酬转移给购买方；公司既没有保留与所有权相联系的继续管理权， 也没有对已售出的商品实施有效控制；收入的金额能够可靠地计量；相关的经济利益很可能流入企业；相 关的已发生或将发生的成本能够可靠地计量时，确认商品销售收入实现。</w:t>
      </w:r>
    </w:p>
    <w:p>
      <w:pPr>
        <w:spacing w:line="240" w:lineRule="auto" w:before="8"/>
        <w:rPr>
          <w:rFonts w:ascii="宋体" w:hAnsi="宋体" w:cs="宋体" w:eastAsia="宋体" w:hint="default"/>
          <w:sz w:val="25"/>
          <w:szCs w:val="25"/>
        </w:rPr>
      </w:pPr>
    </w:p>
    <w:p>
      <w:pPr>
        <w:pStyle w:val="BodyText"/>
        <w:spacing w:line="240" w:lineRule="auto"/>
        <w:ind w:left="1430" w:right="1032"/>
        <w:jc w:val="left"/>
      </w:pPr>
      <w:r>
        <w:rPr/>
        <w:t>（</w:t>
      </w:r>
      <w:r>
        <w:rPr>
          <w:rFonts w:ascii="Times New Roman" w:hAnsi="Times New Roman" w:cs="Times New Roman" w:eastAsia="Times New Roman" w:hint="default"/>
        </w:rPr>
        <w:t>2</w:t>
      </w:r>
      <w:r>
        <w:rPr/>
        <w:t>）本公司销售商品收入确认的具体判断标准</w:t>
      </w:r>
    </w:p>
    <w:p>
      <w:pPr>
        <w:pStyle w:val="BodyText"/>
        <w:spacing w:line="300" w:lineRule="auto" w:before="63"/>
        <w:ind w:left="1430" w:right="1147"/>
        <w:jc w:val="left"/>
      </w:pPr>
      <w:r>
        <w:rPr/>
        <w:t>本公司主要业务为超细纤维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44"/>
        </w:rPr>
        <w:t> </w:t>
      </w:r>
      <w:r>
        <w:rPr/>
        <w:t>合成革的研制开发、生产、销售与服务，报告期内不同业务类别的收入具 体确认原则如下：</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left="1430" w:right="1032"/>
        <w:jc w:val="left"/>
      </w:pPr>
      <w:r>
        <w:rPr>
          <w:rFonts w:ascii="Times New Roman" w:hAnsi="Times New Roman" w:cs="Times New Roman" w:eastAsia="Times New Roman" w:hint="default"/>
        </w:rPr>
        <w:t>1</w:t>
      </w:r>
      <w:r>
        <w:rPr/>
        <w:t>）在同时具备下列条件后确认内销收入： 根据与客户签订的销售协议的规定，完成相关产品生产，经检验合格交与客户，根据合同规定的金额开具 发票；产品销售收入货款金额已确定，款项已收讫或预计可以收回；销售产品的单位成本能够合理计算。 </w:t>
      </w:r>
      <w:r>
        <w:rPr>
          <w:rFonts w:ascii="Times New Roman" w:hAnsi="Times New Roman" w:cs="Times New Roman" w:eastAsia="Times New Roman" w:hint="default"/>
        </w:rPr>
        <w:t>2</w:t>
      </w:r>
      <w:r>
        <w:rPr/>
        <w:t>）在同时具备下列条件后确认外销收入： </w:t>
      </w:r>
      <w:r>
        <w:rPr>
          <w:spacing w:val="-1"/>
        </w:rPr>
        <w:t>根据与客户签订的出口销售协议的规定，完成相关产品生产，经检验合格后向海关报关出口，取得报关单，</w:t>
      </w:r>
      <w:r>
        <w:rPr>
          <w:spacing w:val="-52"/>
        </w:rPr>
        <w:t> </w:t>
      </w:r>
      <w:r>
        <w:rPr>
          <w:spacing w:val="-52"/>
        </w:rPr>
      </w:r>
      <w:r>
        <w:rPr>
          <w:spacing w:val="-2"/>
        </w:rPr>
        <w:t>并取得提单（运单）；产品出口收入货款金额已确定，款项已收讫或预计可以收回，并开具出口销售发票；</w:t>
      </w:r>
      <w:r>
        <w:rPr>
          <w:spacing w:val="-86"/>
        </w:rPr>
        <w:t> </w:t>
      </w:r>
      <w:r>
        <w:rPr>
          <w:spacing w:val="-86"/>
        </w:rPr>
      </w:r>
      <w:r>
        <w:rPr/>
        <w:t>出口产品的单位成本能够合理计算。</w:t>
      </w:r>
    </w:p>
    <w:p>
      <w:pPr>
        <w:spacing w:line="240" w:lineRule="auto" w:before="7"/>
        <w:rPr>
          <w:rFonts w:ascii="宋体" w:hAnsi="宋体" w:cs="宋体" w:eastAsia="宋体" w:hint="default"/>
          <w:sz w:val="25"/>
          <w:szCs w:val="25"/>
        </w:rPr>
      </w:pPr>
    </w:p>
    <w:p>
      <w:pPr>
        <w:pStyle w:val="BodyText"/>
        <w:spacing w:line="240" w:lineRule="auto"/>
        <w:ind w:left="1430" w:right="1032"/>
        <w:jc w:val="left"/>
      </w:pPr>
      <w:r>
        <w:rPr/>
        <w:t>（</w:t>
      </w:r>
      <w:r>
        <w:rPr>
          <w:rFonts w:ascii="Times New Roman" w:hAnsi="Times New Roman" w:cs="Times New Roman" w:eastAsia="Times New Roman" w:hint="default"/>
        </w:rPr>
        <w:t>3</w:t>
      </w:r>
      <w:r>
        <w:rPr/>
        <w:t>）本公司子公司威富通收入确认的具体判断标准</w:t>
      </w:r>
    </w:p>
    <w:p>
      <w:pPr>
        <w:pStyle w:val="BodyText"/>
        <w:spacing w:line="309" w:lineRule="auto" w:before="63"/>
        <w:ind w:left="1430" w:right="1032"/>
        <w:jc w:val="left"/>
      </w:pPr>
      <w:r>
        <w:rPr>
          <w:rFonts w:ascii="Times New Roman" w:hAnsi="Times New Roman" w:cs="Times New Roman" w:eastAsia="Times New Roman" w:hint="default"/>
        </w:rPr>
        <w:t>1</w:t>
      </w:r>
      <w:r>
        <w:rPr/>
        <w:t>）软件技术开发服务 </w:t>
      </w:r>
      <w:r>
        <w:rPr>
          <w:spacing w:val="-1"/>
        </w:rPr>
        <w:t>公司通过自身的技术研发能力，为其他有需求的公司进行软件开发并收取相应的服务费用，按照合同约定、</w:t>
      </w:r>
      <w:r>
        <w:rPr>
          <w:spacing w:val="-51"/>
        </w:rPr>
        <w:t> </w:t>
      </w:r>
      <w:r>
        <w:rPr>
          <w:spacing w:val="-51"/>
        </w:rPr>
      </w:r>
      <w:r>
        <w:rPr/>
        <w:t>在项目实施完成并经客户验收合格后确认营业收入。</w:t>
      </w:r>
    </w:p>
    <w:p>
      <w:pPr>
        <w:pStyle w:val="BodyText"/>
        <w:spacing w:line="309" w:lineRule="auto" w:before="24"/>
        <w:ind w:left="1430" w:right="1196"/>
        <w:jc w:val="left"/>
      </w:pPr>
      <w:r>
        <w:rPr>
          <w:rFonts w:ascii="Times New Roman" w:hAnsi="Times New Roman" w:cs="Times New Roman" w:eastAsia="Times New Roman" w:hint="default"/>
        </w:rPr>
        <w:t>2</w:t>
      </w:r>
      <w:r>
        <w:rPr/>
        <w:t>）移动支付分润业务 公司为第三方移动支付公司、银行、终端商户等提供技术支持、账单结算等服务并收取相应的服务费用， 按照终端商户实际发生的交易资金及签约费用率于交易实现的当天确认营业收入。</w:t>
      </w:r>
    </w:p>
    <w:p>
      <w:pPr>
        <w:pStyle w:val="BodyText"/>
        <w:spacing w:line="240" w:lineRule="auto" w:before="24"/>
        <w:ind w:left="1430" w:right="1032"/>
        <w:jc w:val="left"/>
      </w:pPr>
      <w:r>
        <w:rPr>
          <w:rFonts w:ascii="Times New Roman" w:hAnsi="Times New Roman" w:cs="Times New Roman" w:eastAsia="Times New Roman" w:hint="default"/>
        </w:rPr>
        <w:t>3</w:t>
      </w:r>
      <w:r>
        <w:rPr/>
        <w:t>）流量充值业务</w:t>
      </w:r>
    </w:p>
    <w:p>
      <w:pPr>
        <w:pStyle w:val="BodyText"/>
        <w:spacing w:line="309" w:lineRule="auto" w:before="63"/>
        <w:ind w:left="1430" w:right="1196"/>
        <w:jc w:val="left"/>
      </w:pPr>
      <w:r>
        <w:rPr>
          <w:rFonts w:ascii="Times New Roman" w:hAnsi="Times New Roman" w:cs="Times New Roman" w:eastAsia="Times New Roman" w:hint="default"/>
        </w:rPr>
        <w:t>○</w:t>
      </w:r>
      <w:r>
        <w:rPr>
          <w:rFonts w:ascii="Times New Roman" w:hAnsi="Times New Roman" w:cs="Times New Roman" w:eastAsia="Times New Roman" w:hint="default"/>
        </w:rPr>
        <w:t>1</w:t>
      </w:r>
      <w:r>
        <w:rPr/>
        <w:t>手机流量充值服务</w:t>
      </w:r>
      <w:r>
        <w:rPr>
          <w:w w:val="99"/>
        </w:rPr>
        <w:t> </w:t>
      </w:r>
      <w:r>
        <w:rPr/>
        <w:t>公司作为货源供应商在腾讯充值平台为用户提供手机流量充值，按照终端消费者实际发生的充值量于交易</w:t>
      </w:r>
      <w:r>
        <w:rPr>
          <w:w w:val="99"/>
        </w:rPr>
        <w:t> </w:t>
      </w:r>
      <w:r>
        <w:rPr/>
        <w:t>实现的当天以与腾讯结算价确认流量充值收入。</w:t>
      </w:r>
    </w:p>
    <w:p>
      <w:pPr>
        <w:pStyle w:val="BodyText"/>
        <w:spacing w:line="309" w:lineRule="auto" w:before="24"/>
        <w:ind w:left="1430" w:right="1196"/>
        <w:jc w:val="left"/>
      </w:pPr>
      <w:r>
        <w:rPr>
          <w:rFonts w:ascii="Times New Roman" w:hAnsi="Times New Roman" w:cs="Times New Roman" w:eastAsia="Times New Roman" w:hint="default"/>
        </w:rPr>
        <w:t>○</w:t>
      </w:r>
      <w:r>
        <w:rPr>
          <w:rFonts w:ascii="Times New Roman" w:hAnsi="Times New Roman" w:cs="Times New Roman" w:eastAsia="Times New Roman" w:hint="default"/>
        </w:rPr>
        <w:t>2</w:t>
      </w:r>
      <w:r>
        <w:rPr/>
        <w:t>充值平台技术服务</w:t>
      </w:r>
      <w:r>
        <w:rPr>
          <w:w w:val="99"/>
        </w:rPr>
        <w:t> </w:t>
      </w:r>
      <w:r>
        <w:rPr/>
        <w:t>公司为手机流量充值供应商提供充值平台技术服务，按照终端消费者实际发生的充值量于交易实现的当天</w:t>
      </w:r>
      <w:r>
        <w:rPr>
          <w:w w:val="99"/>
        </w:rPr>
        <w:t> </w:t>
      </w:r>
      <w:r>
        <w:rPr/>
        <w:t>以与手机流量充值供应商签约服务费金额确认服务收入。</w:t>
      </w:r>
    </w:p>
    <w:p>
      <w:pPr>
        <w:pStyle w:val="BodyText"/>
        <w:spacing w:line="300" w:lineRule="auto" w:before="24"/>
        <w:ind w:left="1430" w:right="3026"/>
        <w:jc w:val="left"/>
      </w:pPr>
      <w:r>
        <w:rPr>
          <w:rFonts w:ascii="Times New Roman" w:hAnsi="Times New Roman" w:cs="Times New Roman" w:eastAsia="Times New Roman" w:hint="default"/>
        </w:rPr>
        <w:t>4</w:t>
      </w:r>
      <w:r>
        <w:rPr/>
        <w:t>）终端设备销售业务 终端设备（</w:t>
      </w:r>
      <w:r>
        <w:rPr>
          <w:rFonts w:ascii="Times New Roman" w:hAnsi="Times New Roman" w:cs="Times New Roman" w:eastAsia="Times New Roman" w:hint="default"/>
        </w:rPr>
        <w:t>POS</w:t>
      </w:r>
      <w:r>
        <w:rPr/>
        <w:t>机、扫码枪等）销售业务，在同时具备下列条件后确认营业收入：</w:t>
      </w:r>
    </w:p>
    <w:p>
      <w:pPr>
        <w:pStyle w:val="BodyText"/>
        <w:spacing w:line="316" w:lineRule="auto" w:before="13"/>
        <w:ind w:left="1430" w:right="1214"/>
        <w:jc w:val="both"/>
      </w:pPr>
      <w:r>
        <w:rPr/>
        <w:t>根据与客户签订的销售协议的规定，将终端设备交与客户，公司不再保留与所有权相联系的继续管理权， 也不再对售出的商品实施有效控制；产品销售收入货款金额已确定；款项已收讫或预计可以收回，相关经 济利益很可能流入；销售产品的单位成本能够合理计算。</w:t>
      </w:r>
    </w:p>
    <w:p>
      <w:pPr>
        <w:spacing w:line="240" w:lineRule="auto" w:before="4"/>
        <w:rPr>
          <w:rFonts w:ascii="宋体" w:hAnsi="宋体" w:cs="宋体" w:eastAsia="宋体" w:hint="default"/>
          <w:sz w:val="25"/>
          <w:szCs w:val="25"/>
        </w:rPr>
      </w:pPr>
    </w:p>
    <w:p>
      <w:pPr>
        <w:pStyle w:val="BodyText"/>
        <w:spacing w:line="240" w:lineRule="auto"/>
        <w:ind w:left="1430" w:right="1032"/>
        <w:jc w:val="left"/>
      </w:pPr>
      <w:r>
        <w:rPr>
          <w:rFonts w:ascii="Times New Roman" w:hAnsi="Times New Roman" w:cs="Times New Roman" w:eastAsia="Times New Roman" w:hint="default"/>
        </w:rPr>
        <w:t>2</w:t>
      </w:r>
      <w:r>
        <w:rPr/>
        <w:t>、</w:t>
      </w:r>
      <w:r>
        <w:rPr>
          <w:spacing w:val="44"/>
        </w:rPr>
        <w:t> </w:t>
      </w:r>
      <w:r>
        <w:rPr/>
        <w:t>让渡资产使用权收入的确认和计量原则</w:t>
      </w:r>
    </w:p>
    <w:p>
      <w:pPr>
        <w:pStyle w:val="BodyText"/>
        <w:spacing w:line="309" w:lineRule="auto" w:before="63"/>
        <w:ind w:left="1430" w:right="1196"/>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与交易相关的经济利益很可能流入企业，收入的金额能够可靠地计量时。分别下列情况确定让渡资产使用 权收入金额：</w:t>
      </w:r>
    </w:p>
    <w:p>
      <w:pPr>
        <w:pStyle w:val="BodyText"/>
        <w:spacing w:line="240" w:lineRule="auto" w:before="24"/>
        <w:ind w:left="1430" w:right="1032"/>
        <w:jc w:val="left"/>
      </w:pPr>
      <w:r>
        <w:rPr/>
        <w:t>①利息收入金额，按照他人使用本企业货币资金的时间和实际利率计算确定。</w:t>
      </w:r>
    </w:p>
    <w:p>
      <w:pPr>
        <w:pStyle w:val="BodyText"/>
        <w:spacing w:line="240" w:lineRule="auto" w:before="76"/>
        <w:ind w:left="1430" w:right="1032"/>
        <w:jc w:val="left"/>
      </w:pPr>
      <w:r>
        <w:rPr/>
        <w:t>②使用费收入金额，按照有关合同或协议约定的收费时间和方法计算确定。</w:t>
      </w:r>
    </w:p>
    <w:p>
      <w:pPr>
        <w:pStyle w:val="BodyText"/>
        <w:spacing w:line="300" w:lineRule="auto" w:before="76"/>
        <w:ind w:left="1430" w:right="5966"/>
        <w:jc w:val="left"/>
      </w:pPr>
      <w:r>
        <w:rPr/>
        <w:t>（</w:t>
      </w:r>
      <w:r>
        <w:rPr>
          <w:rFonts w:ascii="Times New Roman" w:hAnsi="Times New Roman" w:cs="Times New Roman" w:eastAsia="Times New Roman" w:hint="default"/>
        </w:rPr>
        <w:t>2</w:t>
      </w:r>
      <w:r>
        <w:rPr/>
        <w:t>）本公司确认让渡资产使用权收入的依据 本公司本期无让渡资产使用权收入。</w:t>
      </w:r>
    </w:p>
    <w:p>
      <w:pPr>
        <w:spacing w:line="240" w:lineRule="auto" w:before="0"/>
        <w:rPr>
          <w:rFonts w:ascii="宋体" w:hAnsi="宋体" w:cs="宋体" w:eastAsia="宋体" w:hint="default"/>
          <w:sz w:val="18"/>
          <w:szCs w:val="18"/>
        </w:rPr>
      </w:pPr>
    </w:p>
    <w:p>
      <w:pPr>
        <w:pStyle w:val="BodyText"/>
        <w:spacing w:line="240" w:lineRule="auto" w:before="148"/>
        <w:ind w:right="1032"/>
        <w:jc w:val="left"/>
      </w:pPr>
      <w:r>
        <w:rPr/>
        <w:t>同类业务采用不同经营模式导致收入确认会计政策存在差异的情况</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1、政府补助" w:id="198"/>
      <w:bookmarkEnd w:id="198"/>
      <w:r>
        <w:rPr>
          <w:b w:val="0"/>
          <w:bCs w:val="0"/>
        </w:rPr>
      </w:r>
      <w:r>
        <w:rPr>
          <w:rFonts w:ascii="Times New Roman" w:hAnsi="Times New Roman" w:cs="Times New Roman" w:eastAsia="Times New Roman" w:hint="default"/>
        </w:rPr>
        <w:t>21</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30" w:right="1196"/>
        <w:jc w:val="left"/>
      </w:pPr>
      <w:r>
        <w:rPr/>
        <w:t>类型 政府补助，是本公司从政府无偿取得的货币性资产与非货币性资产。分为与资产相关的政府补助和与收益 相关的政府补助。</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430" w:right="1196"/>
        <w:jc w:val="left"/>
      </w:pPr>
      <w:r>
        <w:rPr/>
        <w:t>与资产相关的政府补助，是指本公司取得的、用于购建或以其他方式形成长期资产的政府补助。与收益相 关的政府补助，是指除与资产相关的政府补助之外的政府补助。</w:t>
      </w:r>
    </w:p>
    <w:p>
      <w:pPr>
        <w:spacing w:line="240" w:lineRule="auto" w:before="4"/>
        <w:rPr>
          <w:rFonts w:ascii="宋体" w:hAnsi="宋体" w:cs="宋体" w:eastAsia="宋体" w:hint="default"/>
          <w:sz w:val="25"/>
          <w:szCs w:val="25"/>
        </w:rPr>
      </w:pPr>
    </w:p>
    <w:p>
      <w:pPr>
        <w:pStyle w:val="BodyText"/>
        <w:spacing w:line="319" w:lineRule="auto"/>
        <w:ind w:left="1430" w:right="1032"/>
        <w:jc w:val="left"/>
      </w:pPr>
      <w:r>
        <w:rPr/>
        <w:t>本公司将政府补助划分为与资产相关的具体标准为： 本公司将所取得的用于购建或以其他方式形成长期资产的政府补助界定为与资产相关的政府补助； 本公司将政府补助划分为与收益相关的具体标准为： 资产相关的政府补助之外的政府补助界定为与收益相关的政府补助； </w:t>
      </w:r>
      <w:r>
        <w:rPr>
          <w:spacing w:val="-1"/>
        </w:rPr>
        <w:t>对于政府文件未明确规定补助对象的，本公司将该政府补助划分为与资产相关或与收益相关的判断依据为：</w:t>
      </w:r>
    </w:p>
    <w:p>
      <w:pPr>
        <w:pStyle w:val="BodyText"/>
        <w:spacing w:line="300" w:lineRule="auto" w:before="17"/>
        <w:ind w:left="1430" w:right="1032"/>
        <w:jc w:val="left"/>
      </w:pPr>
      <w:r>
        <w:rPr>
          <w:spacing w:val="-1"/>
        </w:rPr>
        <w:t>（</w:t>
      </w:r>
      <w:r>
        <w:rPr>
          <w:rFonts w:ascii="Times New Roman" w:hAnsi="Times New Roman" w:cs="Times New Roman" w:eastAsia="Times New Roman" w:hint="default"/>
          <w:spacing w:val="-1"/>
        </w:rPr>
        <w:t>1</w:t>
      </w:r>
      <w:r>
        <w:rPr>
          <w:spacing w:val="-1"/>
        </w:rPr>
        <w:t>）政府文件明确了补助所针对的特定项目的，根据该特定项目的预算中将形成资产的支出金额和计入费</w:t>
      </w:r>
      <w:r>
        <w:rPr>
          <w:spacing w:val="-51"/>
        </w:rPr>
        <w:t> </w:t>
      </w:r>
      <w:r>
        <w:rPr>
          <w:spacing w:val="-51"/>
        </w:rPr>
      </w:r>
      <w:r>
        <w:rPr/>
        <w:t>用的支出金额的相对比例进行划分，对该划分比例需在每个资产负债表日进行复核，必要时进行变更；</w:t>
      </w:r>
    </w:p>
    <w:p>
      <w:pPr>
        <w:pStyle w:val="BodyText"/>
        <w:spacing w:line="240" w:lineRule="auto" w:before="31"/>
        <w:ind w:left="1430" w:right="1032"/>
        <w:jc w:val="left"/>
      </w:pPr>
      <w:r>
        <w:rPr/>
        <w:t>（</w:t>
      </w:r>
      <w:r>
        <w:rPr>
          <w:rFonts w:ascii="Times New Roman" w:hAnsi="Times New Roman" w:cs="Times New Roman" w:eastAsia="Times New Roman" w:hint="default"/>
        </w:rPr>
        <w:t>2</w:t>
      </w:r>
      <w:r>
        <w:rPr/>
        <w:t>）政府文件中对用途仅作一般性表述，没有指明特定项目的，作为与收益相关的政府补助。</w:t>
      </w:r>
    </w:p>
    <w:p>
      <w:pPr>
        <w:spacing w:line="240" w:lineRule="auto" w:before="0"/>
        <w:rPr>
          <w:rFonts w:ascii="宋体" w:hAnsi="宋体" w:cs="宋体" w:eastAsia="宋体" w:hint="default"/>
          <w:sz w:val="18"/>
          <w:szCs w:val="18"/>
        </w:rPr>
      </w:pPr>
    </w:p>
    <w:p>
      <w:pPr>
        <w:pStyle w:val="BodyText"/>
        <w:spacing w:line="316" w:lineRule="auto" w:before="139"/>
        <w:ind w:left="1430" w:right="1196"/>
        <w:jc w:val="left"/>
      </w:pPr>
      <w:r>
        <w:rPr/>
        <w:t>确认时点 对期末有证据表明公司能够符合财政扶持政策规定的相关条件且预计能够收到财政扶持资金的，按应收金 额确认政府补助。除此之外，政府补助均在实际收到时确认。</w:t>
      </w:r>
    </w:p>
    <w:p>
      <w:pPr>
        <w:pStyle w:val="BodyText"/>
        <w:spacing w:line="316" w:lineRule="auto" w:before="19"/>
        <w:ind w:left="1430" w:right="1196"/>
        <w:jc w:val="left"/>
      </w:pPr>
      <w:r>
        <w:rPr/>
        <w:t>会计处理 与资产相关的政府补助，冲减相关资产账面价值或确认为递延收益。确认为递延收益的，在相关资产使用 寿命内按照合理、系统的方法分期计入当期损益（与本公司日常活动相关的，计入其他收益；与本公司日 </w:t>
      </w:r>
      <w:r>
        <w:rPr>
          <w:spacing w:val="-6"/>
        </w:rPr>
        <w:t>常活动无关的，计入营业外收入）；</w:t>
      </w:r>
      <w:r>
        <w:rPr>
          <w:spacing w:val="-84"/>
        </w:rPr>
        <w:t> </w:t>
      </w:r>
      <w:r>
        <w:rPr>
          <w:spacing w:val="-84"/>
        </w:rPr>
      </w:r>
      <w:r>
        <w:rPr/>
        <w:t>与收益相关的政府补助，用于补偿本公司以后期间的相关成本费用或损失的，确认为递延收益，并在确认 相关成本费用或损失的期间，计入当期损益（与本公司日常活动相关的，计入其他收益；与本公司日常活 动无关的，计入营业外收入）或冲减相关成本费用或损失；用于补偿本公司已发生的相关成本费用或损失 的，直接计入当期损益（与本公司日常活动相关的，计入其他收益；与本公司日常活动无关的，计入营业 外收入）或冲减相关成本费用或损失。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32"/>
        <w:jc w:val="left"/>
        <w:rPr>
          <w:b w:val="0"/>
          <w:bCs w:val="0"/>
        </w:rPr>
      </w:pPr>
      <w:bookmarkStart w:name="22、递延所得税资产/递延所得税负债" w:id="199"/>
      <w:bookmarkEnd w:id="199"/>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30" w:right="1196"/>
        <w:jc w:val="left"/>
      </w:pPr>
      <w:r>
        <w:rPr/>
        <w:t>对于可抵扣暂时性差异确认递延所得税资产，以未来期间很可能取得的用来抵扣可抵扣暂时性差异的应纳 税所得额为限。对于能够结转以后年度的可抵扣亏损和税款抵减，以很可能获得用来抵扣可抵扣亏损和税 款抵减的未来应纳税所得额为限，确认相应的递延所得税资产。 对于应纳税暂时性差异，除特殊情况外，确认递延所得税负债。 不确认递延所得税资产或递延所得税负债的特殊情况包括：商誉的初始确认；除企业合并以外的发生时既 不影响会计利润也不影响应纳税所得额（或可抵扣亏损）的其他交易或事项。 当拥有以净额结算的法定权利，且意图以净额结算或取得资产、清偿负债同时进行时，当期所得税资产及 当期所得税负债以抵销后的净额列报。 当拥有以净额结算当期所得税资产及当期所得税负债的法定权利，且递延所得税资产及递延所得税负债是 与同一税收征管部门对同一纳税主体征收的所得税相关或者是对不同的纳税主体相关，但在未来每一具有 重要性的递延所得税资产及负债转回的期间内，涉及的纳税主体意图以净额结算当期所得税资产和负债或 是同时取得资产、清偿负债时，递延所得税资产及递延所得税负债以抵销后的净额列报。</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23、租赁" w:id="200"/>
      <w:bookmarkEnd w:id="200"/>
      <w:r>
        <w:rPr>
          <w:b w:val="0"/>
          <w:bCs w:val="0"/>
        </w:rPr>
      </w:r>
      <w:r>
        <w:rPr>
          <w:rFonts w:ascii="Times New Roman" w:hAnsi="Times New Roman" w:cs="Times New Roman" w:eastAsia="Times New Roman" w:hint="default"/>
        </w:rPr>
        <w:t>23</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经营租赁的会计处理方法" w:id="201"/>
      <w:bookmarkEnd w:id="20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430" w:right="1022"/>
        <w:jc w:val="left"/>
      </w:pPr>
      <w:r>
        <w:rPr>
          <w:spacing w:val="-2"/>
        </w:rPr>
        <w:t>（</w:t>
      </w: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）公司租入资产所支付的租赁费，在不扣除免租期的整个租赁期内，按直线法进行分摊，计入当期费用。</w:t>
      </w:r>
      <w:r>
        <w:rPr/>
        <w:t> 公司支付的与租赁交易相关的初始直接费用，计入当期费用。 资产出租方承担了应由公司承担的与租赁相关的费用时，公司将该部分费用从租金总额中扣除，按扣除后 的租金费用在租赁期内分摊，计入当期费用。</w:t>
      </w:r>
    </w:p>
    <w:p>
      <w:pPr>
        <w:pStyle w:val="BodyText"/>
        <w:spacing w:line="314" w:lineRule="auto" w:before="22"/>
        <w:ind w:left="1430" w:right="1032"/>
        <w:jc w:val="left"/>
      </w:pPr>
      <w:r>
        <w:rPr>
          <w:spacing w:val="-1"/>
        </w:rPr>
        <w:t>（</w:t>
      </w:r>
      <w:r>
        <w:rPr>
          <w:rFonts w:ascii="Times New Roman" w:hAnsi="Times New Roman" w:cs="Times New Roman" w:eastAsia="Times New Roman" w:hint="default"/>
          <w:spacing w:val="-1"/>
        </w:rPr>
        <w:t>2</w:t>
      </w:r>
      <w:r>
        <w:rPr>
          <w:spacing w:val="-1"/>
        </w:rPr>
        <w:t>）公司出租资产所收取的租赁费，在不扣除免租期的整个租赁期内，按直线法进行分摊，确认为租赁相</w:t>
      </w:r>
      <w:r>
        <w:rPr>
          <w:spacing w:val="-54"/>
        </w:rPr>
        <w:t> </w:t>
      </w:r>
      <w:r>
        <w:rPr>
          <w:spacing w:val="-54"/>
        </w:rPr>
      </w:r>
      <w:r>
        <w:rPr/>
        <w:t>关收入。公司支付的与租赁交易相关的初始直接费用，计入当期费用；如金额较大的，则予以资本化，在 整个租赁期间内按照与租赁相关收入确认相同的基础分期计入当期收益。 公司承担了应由承租方承担的与租赁相关的费用时，公司将该部分费用从租金收入总额中扣除，按扣除后 的租金费用在租赁期内分配。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032"/>
        <w:jc w:val="left"/>
        <w:rPr>
          <w:b w:val="0"/>
          <w:bCs w:val="0"/>
        </w:rPr>
      </w:pPr>
      <w:bookmarkStart w:name="24、其他重要的会计政策和会计估计" w:id="202"/>
      <w:bookmarkEnd w:id="202"/>
      <w:r>
        <w:rPr>
          <w:b w:val="0"/>
          <w:bCs w:val="0"/>
        </w:rPr>
      </w:r>
      <w:r>
        <w:rPr>
          <w:rFonts w:ascii="Times New Roman" w:hAnsi="Times New Roman" w:cs="Times New Roman" w:eastAsia="Times New Roman" w:hint="default"/>
        </w:rPr>
        <w:t>24</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30" w:right="1196"/>
        <w:jc w:val="left"/>
      </w:pPr>
      <w:r>
        <w:rPr/>
        <w:t>关联方 一方控制、共同控制另一方或对另一方施加重大影响，以及两方或两方以上同受一方控制、共同控制的， 构成关联方。关联方可为个人或企业。仅仅同受国家控制而不存在其他关联方关系的企业，不构成本公司 的关联方。</w:t>
      </w:r>
    </w:p>
    <w:p>
      <w:pPr>
        <w:pStyle w:val="BodyText"/>
        <w:spacing w:line="240" w:lineRule="auto" w:before="19"/>
        <w:ind w:left="1430" w:right="1032"/>
        <w:jc w:val="left"/>
      </w:pPr>
      <w:r>
        <w:rPr/>
        <w:t>本公司的关联方包括但不限于：</w:t>
      </w:r>
    </w:p>
    <w:p>
      <w:pPr>
        <w:pStyle w:val="BodyText"/>
        <w:spacing w:line="240" w:lineRule="auto" w:before="77"/>
        <w:ind w:left="1430" w:right="1032"/>
        <w:jc w:val="left"/>
      </w:pPr>
      <w:r>
        <w:rPr/>
        <w:t>（</w:t>
      </w:r>
      <w:r>
        <w:rPr>
          <w:rFonts w:ascii="Times New Roman" w:hAnsi="Times New Roman" w:cs="Times New Roman" w:eastAsia="Times New Roman" w:hint="default"/>
        </w:rPr>
        <w:t>1</w:t>
      </w:r>
      <w:r>
        <w:rPr/>
        <w:t>）本公司的母公司；</w:t>
      </w:r>
    </w:p>
    <w:p>
      <w:pPr>
        <w:pStyle w:val="BodyText"/>
        <w:spacing w:line="240" w:lineRule="auto" w:before="63"/>
        <w:ind w:left="1430" w:right="1032"/>
        <w:jc w:val="left"/>
      </w:pPr>
      <w:r>
        <w:rPr/>
        <w:t>（</w:t>
      </w:r>
      <w:r>
        <w:rPr>
          <w:rFonts w:ascii="Times New Roman" w:hAnsi="Times New Roman" w:cs="Times New Roman" w:eastAsia="Times New Roman" w:hint="default"/>
        </w:rPr>
        <w:t>2</w:t>
      </w:r>
      <w:r>
        <w:rPr/>
        <w:t>）本公司的子公司；</w:t>
      </w:r>
    </w:p>
    <w:p>
      <w:pPr>
        <w:pStyle w:val="BodyText"/>
        <w:spacing w:line="240" w:lineRule="auto" w:before="63"/>
        <w:ind w:left="1430" w:right="1032"/>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63"/>
        <w:ind w:left="1430" w:right="1032"/>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63"/>
        <w:ind w:left="1430" w:right="1032"/>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63"/>
        <w:ind w:left="1430" w:right="1032"/>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63"/>
        <w:ind w:left="1430" w:right="1032"/>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63"/>
        <w:ind w:left="1430" w:right="1032"/>
        <w:jc w:val="left"/>
      </w:pPr>
      <w:r>
        <w:rPr/>
        <w:t>（</w:t>
      </w:r>
      <w:r>
        <w:rPr>
          <w:rFonts w:ascii="Times New Roman" w:hAnsi="Times New Roman" w:cs="Times New Roman" w:eastAsia="Times New Roman" w:hint="default"/>
        </w:rPr>
        <w:t>8</w:t>
      </w:r>
      <w:r>
        <w:rPr/>
        <w:t>）本公司的主要投资者个人及与其关系密切的家庭成员；</w:t>
      </w:r>
    </w:p>
    <w:p>
      <w:pPr>
        <w:pStyle w:val="BodyText"/>
        <w:spacing w:line="240" w:lineRule="auto" w:before="63"/>
        <w:ind w:left="1430" w:right="1032"/>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240" w:lineRule="auto" w:before="63"/>
        <w:ind w:left="1430" w:right="1032"/>
        <w:jc w:val="left"/>
      </w:pPr>
      <w:r>
        <w:rPr/>
        <w:t>（</w:t>
      </w:r>
      <w:r>
        <w:rPr>
          <w:rFonts w:ascii="Times New Roman" w:hAnsi="Times New Roman" w:cs="Times New Roman" w:eastAsia="Times New Roman" w:hint="default"/>
        </w:rPr>
        <w:t>10</w:t>
      </w:r>
      <w:r>
        <w:rPr/>
        <w:t>）本公司的主要投资者个人、关键管理人员或与其关系密切的家庭成员控制、共同控制的其他企业。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1032"/>
        <w:jc w:val="left"/>
        <w:rPr>
          <w:b w:val="0"/>
          <w:bCs w:val="0"/>
        </w:rPr>
      </w:pPr>
      <w:bookmarkStart w:name="25、重要会计政策和会计估计变更" w:id="203"/>
      <w:bookmarkEnd w:id="203"/>
      <w:r>
        <w:rPr>
          <w:b w:val="0"/>
          <w:bCs w:val="0"/>
        </w:rPr>
      </w:r>
      <w:r>
        <w:rPr>
          <w:rFonts w:ascii="Times New Roman" w:hAnsi="Times New Roman" w:cs="Times New Roman" w:eastAsia="Times New Roman" w:hint="default"/>
        </w:rPr>
        <w:t>25</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重要会计政策变更" w:id="204"/>
      <w:bookmarkEnd w:id="20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）资产负债表中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w:t>
            </w:r>
            <w:r>
              <w:rPr>
                <w:rFonts w:ascii="宋体" w:hAnsi="宋体" w:cs="宋体" w:eastAsia="宋体" w:hint="default"/>
                <w:sz w:val="18"/>
                <w:szCs w:val="18"/>
              </w:rPr>
              <w:t> </w:t>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633,254,813.03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元，上期金额</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348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1"/>
              <w:jc w:val="left"/>
              <w:rPr>
                <w:rFonts w:ascii="宋体" w:hAnsi="宋体" w:cs="宋体" w:eastAsia="宋体" w:hint="default"/>
                <w:sz w:val="18"/>
                <w:szCs w:val="18"/>
              </w:rPr>
            </w:pPr>
            <w:r>
              <w:rPr>
                <w:rFonts w:ascii="宋体" w:hAnsi="宋体" w:cs="宋体" w:eastAsia="宋体" w:hint="default"/>
                <w:spacing w:val="-3"/>
                <w:sz w:val="18"/>
                <w:szCs w:val="18"/>
              </w:rPr>
              <w:t>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w:t>
            </w:r>
            <w:r>
              <w:rPr>
                <w:rFonts w:ascii="宋体" w:hAnsi="宋体" w:cs="宋体" w:eastAsia="宋体" w:hint="default"/>
                <w:spacing w:val="-74"/>
                <w:sz w:val="18"/>
                <w:szCs w:val="18"/>
              </w:rPr>
              <w:t> </w:t>
            </w:r>
            <w:r>
              <w:rPr>
                <w:rFonts w:ascii="宋体" w:hAnsi="宋体" w:cs="宋体" w:eastAsia="宋体" w:hint="default"/>
                <w:spacing w:val="-3"/>
                <w:sz w:val="18"/>
                <w:szCs w:val="18"/>
              </w:rPr>
              <w:t>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3"/>
                <w:sz w:val="18"/>
                <w:szCs w:val="18"/>
              </w:rPr>
              <w:t>工程物资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在建工程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专项应</w:t>
            </w:r>
            <w:r>
              <w:rPr>
                <w:rFonts w:ascii="宋体" w:hAnsi="宋体" w:cs="宋体" w:eastAsia="宋体" w:hint="default"/>
                <w:spacing w:val="-74"/>
                <w:sz w:val="18"/>
                <w:szCs w:val="18"/>
              </w:rPr>
              <w:t> </w:t>
            </w:r>
            <w:r>
              <w:rPr>
                <w:rFonts w:ascii="宋体" w:hAnsi="宋体" w:cs="宋体" w:eastAsia="宋体" w:hint="default"/>
                <w:sz w:val="18"/>
                <w:szCs w:val="18"/>
              </w:rPr>
              <w:t>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 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431,076,952.95</w:t>
            </w:r>
            <w:r>
              <w:rPr>
                <w:rFonts w:ascii="Times New Roman" w:hAnsi="Times New Roman" w:cs="Times New Roman" w:eastAsia="Times New Roman" w:hint="default"/>
                <w:spacing w:val="17"/>
                <w:sz w:val="18"/>
                <w:szCs w:val="18"/>
              </w:rPr>
              <w:t> </w:t>
            </w:r>
            <w:r>
              <w:rPr>
                <w:rFonts w:ascii="宋体" w:hAnsi="宋体" w:cs="宋体" w:eastAsia="宋体" w:hint="default"/>
                <w:spacing w:val="-7"/>
                <w:w w:val="100"/>
                <w:sz w:val="18"/>
                <w:szCs w:val="18"/>
              </w:rPr>
              <w:t>元；</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应付票据</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和</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应付账</w:t>
            </w:r>
            <w:r>
              <w:rPr>
                <w:rFonts w:ascii="宋体" w:hAnsi="宋体" w:cs="宋体" w:eastAsia="宋体" w:hint="default"/>
                <w:spacing w:val="-84"/>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395,398,803.86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449,753,831.11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50,752.41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元，上期金额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1,041,797.79</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3,027,900.74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8,080,707.69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33,872,14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w w:val="100"/>
                <w:sz w:val="18"/>
                <w:szCs w:val="18"/>
              </w:rPr>
              <w:t>”</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400,000.00</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元。</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单独列示；在利润表中财务费 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140,107,547.57</w:t>
            </w:r>
          </w:p>
          <w:p>
            <w:pPr>
              <w:pStyle w:val="TableParagraph"/>
              <w:spacing w:line="302" w:lineRule="auto" w:before="61"/>
              <w:ind w:left="22" w:right="20"/>
              <w:jc w:val="left"/>
              <w:rPr>
                <w:rFonts w:ascii="宋体" w:hAnsi="宋体" w:cs="宋体" w:eastAsia="宋体" w:hint="default"/>
                <w:sz w:val="18"/>
                <w:szCs w:val="18"/>
              </w:rPr>
            </w:pPr>
            <w:r>
              <w:rPr>
                <w:rFonts w:ascii="宋体" w:hAnsi="宋体" w:cs="宋体" w:eastAsia="宋体" w:hint="default"/>
                <w:spacing w:val="-4"/>
                <w:sz w:val="18"/>
                <w:szCs w:val="18"/>
              </w:rPr>
              <w:t>元，上期金额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118,333,115.40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元，重分类</w:t>
            </w:r>
            <w:r>
              <w:rPr>
                <w:rFonts w:ascii="宋体" w:hAnsi="宋体" w:cs="宋体" w:eastAsia="宋体" w:hint="default"/>
                <w:sz w:val="18"/>
                <w:szCs w:val="18"/>
              </w:rPr>
              <w:t> 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重要会计估计变更" w:id="205"/>
      <w:bookmarkEnd w:id="20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首次执行新金融工具准则或新收入准则调整首次执行当年年初财务报表相关项目情况" w:id="206"/>
      <w:bookmarkEnd w:id="206"/>
      <w:r>
        <w:rPr>
          <w:b w:val="0"/>
          <w:bCs w:val="0"/>
        </w:rPr>
      </w:r>
      <w:r>
        <w:rPr/>
        <w:t>（</w:t>
      </w:r>
      <w:r>
        <w:rPr>
          <w:rFonts w:ascii="Times New Roman" w:hAnsi="Times New Roman" w:cs="Times New Roman" w:eastAsia="Times New Roman" w:hint="default"/>
        </w:rPr>
        <w:t>3</w:t>
      </w:r>
      <w:r>
        <w:rPr/>
        <w:t>）首次执行新金融工具准则或新收入准则调整首次执行当年年初财务报表相关项目情况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1533" w:space="7387"/>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303,846,223.57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303,846,223.57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431,076,952.95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431,076,952.95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149,980,774.31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149,980,774.31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281,096,178.64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281,096,178.64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42,020,877.12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42,020,877.12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83,557,350.15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83,557,350.15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464,157,537.19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464,157,537.19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416,553,624.38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416,553,624.38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1,741,212,565.36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1,741,212,565.36</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78"/>
        <w:gridCol w:w="2471"/>
        <w:gridCol w:w="2454"/>
        <w:gridCol w:w="2454"/>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10,752,070.41</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5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7,171,268.81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7,171,268.81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2,292,372,679.07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2,292,372,679.07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291,968,437.54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291,968,437.54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311,392,790.54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311,392,790.54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1,733,150,150.68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1,733,150,150.68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4,152,375.24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4,152,375.24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57,171,749.63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57,171,749.63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171,717,771.24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171,717,771.24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4,879,849,293.16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4,879,849,293.16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6,621,061,858.52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6,621,061,858.52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602,086,000.00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602,086,000.00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1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75"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82" w:right="0"/>
              <w:jc w:val="left"/>
              <w:rPr>
                <w:rFonts w:ascii="Times New Roman" w:hAnsi="Times New Roman" w:cs="Times New Roman" w:eastAsia="Times New Roman" w:hint="default"/>
                <w:sz w:val="18"/>
                <w:szCs w:val="18"/>
              </w:rPr>
            </w:pPr>
            <w:r>
              <w:rPr>
                <w:rFonts w:ascii="Times New Roman"/>
                <w:sz w:val="18"/>
              </w:rPr>
              <w:t>3,518,534.90</w:t>
            </w:r>
          </w:p>
        </w:tc>
        <w:tc>
          <w:tcPr>
            <w:tcW w:w="2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2454" w:type="dxa"/>
            <w:vMerge w:val="restart"/>
            <w:tcBorders>
              <w:top w:val="single" w:sz="4" w:space="0" w:color="000000"/>
              <w:left w:val="single" w:sz="9" w:space="0" w:color="D2D2D2"/>
              <w:right w:val="single" w:sz="4" w:space="0" w:color="000000"/>
            </w:tcBorders>
          </w:tcPr>
          <w:p>
            <w:pPr/>
          </w:p>
        </w:tc>
      </w:tr>
      <w:tr>
        <w:trPr>
          <w:trHeight w:val="392" w:hRule="exact"/>
        </w:trPr>
        <w:tc>
          <w:tcPr>
            <w:tcW w:w="2178" w:type="dxa"/>
            <w:vMerge/>
            <w:tcBorders>
              <w:left w:val="single" w:sz="4" w:space="0" w:color="000000"/>
              <w:right w:val="single" w:sz="4" w:space="0" w:color="000000"/>
            </w:tcBorders>
            <w:shd w:val="clear" w:color="auto" w:fill="D2D2D2"/>
          </w:tcPr>
          <w:p>
            <w:pPr/>
          </w:p>
        </w:tc>
        <w:tc>
          <w:tcPr>
            <w:tcW w:w="2471" w:type="dxa"/>
            <w:vMerge/>
            <w:tcBorders>
              <w:left w:val="single" w:sz="13" w:space="0" w:color="D2D2D2"/>
              <w:right w:val="single" w:sz="9" w:space="0" w:color="D2D2D2"/>
            </w:tcBorders>
          </w:tcPr>
          <w:p>
            <w:pPr/>
          </w:p>
        </w:tc>
        <w:tc>
          <w:tcPr>
            <w:tcW w:w="2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5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54" w:type="dxa"/>
            <w:vMerge/>
            <w:tcBorders>
              <w:left w:val="single" w:sz="9" w:space="0" w:color="D2D2D2"/>
              <w:right w:val="single" w:sz="4" w:space="0" w:color="000000"/>
            </w:tcBorders>
          </w:tcPr>
          <w:p>
            <w:pPr/>
          </w:p>
        </w:tc>
      </w:tr>
      <w:tr>
        <w:trPr>
          <w:trHeight w:val="317" w:hRule="exact"/>
        </w:trPr>
        <w:tc>
          <w:tcPr>
            <w:tcW w:w="2178" w:type="dxa"/>
            <w:vMerge/>
            <w:tcBorders>
              <w:left w:val="single" w:sz="4" w:space="0" w:color="000000"/>
              <w:bottom w:val="single" w:sz="4" w:space="0" w:color="000000"/>
              <w:right w:val="single" w:sz="4" w:space="0" w:color="000000"/>
            </w:tcBorders>
            <w:shd w:val="clear" w:color="auto" w:fill="D2D2D2"/>
          </w:tcPr>
          <w:p>
            <w:pPr/>
          </w:p>
        </w:tc>
        <w:tc>
          <w:tcPr>
            <w:tcW w:w="2471" w:type="dxa"/>
            <w:vMerge/>
            <w:tcBorders>
              <w:left w:val="single" w:sz="13" w:space="0" w:color="D2D2D2"/>
              <w:bottom w:val="single" w:sz="4" w:space="0" w:color="000000"/>
              <w:right w:val="single" w:sz="9" w:space="0" w:color="D2D2D2"/>
            </w:tcBorders>
          </w:tcPr>
          <w:p>
            <w:pPr/>
          </w:p>
        </w:tc>
        <w:tc>
          <w:tcPr>
            <w:tcW w:w="2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2454" w:type="dxa"/>
            <w:vMerge/>
            <w:tcBorders>
              <w:left w:val="single" w:sz="9" w:space="0" w:color="D2D2D2"/>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449,753,831.11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449,753,831.11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44,724,189.25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44,724,189.25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62,040,249.54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62,040,249.54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12,187,595.58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12,187,595.58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100,306,673.47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100,306,673.47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3,027,900.74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3,027,900.74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1,274,617,073.85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1,274,617,073.85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268,325,000.00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268,325,000.00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207,582,158.60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207,582,158.60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476,307,158.60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476,307,158.60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1,750,924,232.45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1,750,924,232.45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631,019,839.00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631,019,839.00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3,324,472,319.92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3,324,472,319.92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-434,468.53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89,221,946.68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89,221,946.68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820,462,519.05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820,462,519.05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4,864,742,156.12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4,864,742,156.12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5,395,469.95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5,395,469.95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4,870,137,626.07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4,870,137,626.07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6,621,061,858.52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6,621,061,858.52</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700" w:left="980" w:right="0"/>
          <w:cols w:num="2" w:equalWidth="0">
            <w:col w:w="1595" w:space="7325"/>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78"/>
        <w:gridCol w:w="2471"/>
        <w:gridCol w:w="2454"/>
        <w:gridCol w:w="2454"/>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121,308,155.23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121,308,155.23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270,961,611.84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270,961,611.84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22,149,690.76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22,149,690.76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248,811,921.08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248,811,921.08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18,554,129.14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18,554,129.14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270,990,854.50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270,990,854.50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281,034,243.70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281,034,243.70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962,848,994.41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962,848,994.41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649,728,510.95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649,728,510.95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4,585,310.60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4,585,310.60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59,770,626.98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59,770,626.98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2,300,508.33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2,300,508.33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20,235,382.79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20,235,382.79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4,286,620,339.65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4,286,620,339.65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5,249,469,334.06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5,249,469,334.06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322,086,000.00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322,086,000.00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3,518,534.90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106,140,113.67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106,140,113.67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24,030,856.08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24,030,856.08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19,596,251.30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19,596,251.30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5,271,234.85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5,271,234.85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2,385,517.57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2,385,517.57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483,028,508.37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483,028,508.37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16,895,000.00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16,895,000.00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499,923,508.37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499,923,508.37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631,019,839.00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631,019,839.00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3,322,746,519.92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3,322,746,519.92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89,221,946.68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89,221,946.68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706,557,520.09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706,557,520.09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4,749,545,825.69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4,749,545,825.69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5,249,469,334.06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5,249,469,334.06</w:t>
            </w:r>
          </w:p>
        </w:tc>
        <w:tc>
          <w:tcPr>
            <w:tcW w:w="24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调整情况说明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首次执行新金融工具准则追溯调整前期比较数据的说明" w:id="207"/>
      <w:bookmarkEnd w:id="207"/>
      <w:r>
        <w:rPr>
          <w:b w:val="0"/>
          <w:bCs w:val="0"/>
        </w:rPr>
      </w:r>
      <w:r>
        <w:rPr/>
        <w:t>（</w:t>
      </w:r>
      <w:r>
        <w:rPr>
          <w:rFonts w:ascii="Times New Roman" w:hAnsi="Times New Roman" w:cs="Times New Roman" w:eastAsia="Times New Roman" w:hint="default"/>
        </w:rPr>
        <w:t>4</w:t>
      </w:r>
      <w:r>
        <w:rPr/>
        <w:t>）首次执行新金融工具准则追溯调整前期比较数据的说明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六、税项" w:id="208"/>
      <w:bookmarkEnd w:id="208"/>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主要税种及税率" w:id="209"/>
      <w:bookmarkEnd w:id="20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8.25%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103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购购通、联银通富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智付通、智易信息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跨境通、威富通香港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白龙移动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税收优惠" w:id="210"/>
      <w:bookmarkEnd w:id="21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
        <w:rPr>
          <w:rFonts w:ascii="宋体" w:hAnsi="宋体" w:cs="宋体" w:eastAsia="宋体" w:hint="default"/>
          <w:b/>
          <w:bCs/>
          <w:sz w:val="23"/>
          <w:szCs w:val="23"/>
        </w:rPr>
      </w:pPr>
    </w:p>
    <w:p>
      <w:pPr>
        <w:pStyle w:val="BodyText"/>
        <w:spacing w:line="302" w:lineRule="auto" w:before="44"/>
        <w:ind w:left="1430" w:right="1042"/>
        <w:jc w:val="left"/>
      </w:pPr>
      <w:r>
        <w:rPr>
          <w:rFonts w:ascii="Times New Roman" w:hAnsi="Times New Roman" w:cs="Times New Roman" w:eastAsia="Times New Roman" w:hint="default"/>
          <w:spacing w:val="-5"/>
        </w:rPr>
        <w:t>1</w:t>
      </w:r>
      <w:r>
        <w:rPr>
          <w:spacing w:val="-5"/>
        </w:rPr>
        <w:t>、根据《高新技术企业认定管理办法》（国科发火</w:t>
      </w:r>
      <w:r>
        <w:rPr>
          <w:rFonts w:ascii="Times New Roman" w:hAnsi="Times New Roman" w:cs="Times New Roman" w:eastAsia="Times New Roman" w:hint="default"/>
          <w:spacing w:val="-5"/>
        </w:rPr>
        <w:t>[2008]172</w:t>
      </w:r>
      <w:r>
        <w:rPr>
          <w:spacing w:val="-5"/>
        </w:rPr>
        <w:t>号）和《高新技术企业认定管理工作指引》（国</w:t>
      </w:r>
      <w:r>
        <w:rPr>
          <w:spacing w:val="-46"/>
        </w:rPr>
        <w:t> </w:t>
      </w:r>
      <w:r>
        <w:rPr>
          <w:spacing w:val="-46"/>
        </w:rPr>
      </w:r>
      <w:r>
        <w:rPr/>
        <w:t>科发火</w:t>
      </w:r>
      <w:r>
        <w:rPr>
          <w:rFonts w:ascii="Times New Roman" w:hAnsi="Times New Roman" w:cs="Times New Roman" w:eastAsia="Times New Roman" w:hint="default"/>
        </w:rPr>
        <w:t>[2008]362</w:t>
      </w:r>
      <w:r>
        <w:rPr/>
        <w:t>号）有关规定，上海市科学技术委员会、上海市财政局、上海市国家税务局、上海市地方 </w:t>
      </w:r>
      <w:r>
        <w:rPr>
          <w:spacing w:val="-4"/>
        </w:rPr>
        <w:t>税务局联合颁发《高新技术企业证书》（证书编号：</w:t>
      </w:r>
      <w:r>
        <w:rPr>
          <w:rFonts w:ascii="Times New Roman" w:hAnsi="Times New Roman" w:cs="Times New Roman" w:eastAsia="Times New Roman" w:hint="default"/>
          <w:spacing w:val="-4"/>
        </w:rPr>
        <w:t>GR201731000053</w:t>
      </w:r>
      <w:r>
        <w:rPr>
          <w:spacing w:val="-4"/>
        </w:rPr>
        <w:t>），认定本公司为高新技术企业，认定</w:t>
      </w:r>
      <w:r>
        <w:rPr>
          <w:spacing w:val="-55"/>
        </w:rPr>
        <w:t> </w:t>
      </w:r>
      <w:r>
        <w:rPr>
          <w:spacing w:val="-55"/>
        </w:rPr>
      </w:r>
      <w:r>
        <w:rPr/>
        <w:t>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-2019</w:t>
      </w:r>
      <w:r>
        <w:rPr/>
        <w:t>年，本报告期企业所得税税率按照</w:t>
      </w:r>
      <w:r>
        <w:rPr>
          <w:rFonts w:ascii="Times New Roman" w:hAnsi="Times New Roman" w:cs="Times New Roman" w:eastAsia="Times New Roman" w:hint="default"/>
        </w:rPr>
        <w:t>15%</w:t>
      </w:r>
      <w:r>
        <w:rPr/>
        <w:t>执行。 </w:t>
      </w:r>
      <w:r>
        <w:rPr>
          <w:rFonts w:ascii="Times New Roman" w:hAnsi="Times New Roman" w:cs="Times New Roman" w:eastAsia="Times New Roman" w:hint="default"/>
          <w:spacing w:val="-4"/>
        </w:rPr>
        <w:t>2</w:t>
      </w:r>
      <w:r>
        <w:rPr>
          <w:spacing w:val="-4"/>
        </w:rPr>
        <w:t>、根据《高新技术企业认定管理办法》（国科发火</w:t>
      </w:r>
      <w:r>
        <w:rPr>
          <w:rFonts w:ascii="Times New Roman" w:hAnsi="Times New Roman" w:cs="Times New Roman" w:eastAsia="Times New Roman" w:hint="default"/>
          <w:spacing w:val="-4"/>
        </w:rPr>
        <w:t>[2016]32</w:t>
      </w:r>
      <w:r>
        <w:rPr>
          <w:spacing w:val="-4"/>
        </w:rPr>
        <w:t>号）和《高新技术企业认定管理工作指引》（国</w:t>
      </w:r>
      <w:r>
        <w:rPr>
          <w:spacing w:val="-63"/>
        </w:rPr>
        <w:t> </w:t>
      </w:r>
      <w:r>
        <w:rPr>
          <w:spacing w:val="-63"/>
        </w:rPr>
      </w:r>
      <w:r>
        <w:rPr>
          <w:spacing w:val="-1"/>
        </w:rPr>
        <w:t>科发火</w:t>
      </w:r>
      <w:r>
        <w:rPr>
          <w:rFonts w:ascii="Times New Roman" w:hAnsi="Times New Roman" w:cs="Times New Roman" w:eastAsia="Times New Roman" w:hint="default"/>
          <w:spacing w:val="-1"/>
        </w:rPr>
        <w:t>[2016]195</w:t>
      </w:r>
      <w:r>
        <w:rPr>
          <w:spacing w:val="-1"/>
        </w:rPr>
        <w:t>号）有关规定，</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日子公司江苏华峰取得由江苏省科学技术厅、江苏省财政厅、</w:t>
      </w:r>
      <w:r>
        <w:rPr>
          <w:spacing w:val="-75"/>
        </w:rPr>
        <w:t> </w:t>
      </w:r>
      <w:r>
        <w:rPr>
          <w:spacing w:val="-75"/>
        </w:rPr>
      </w:r>
      <w:r>
        <w:rPr>
          <w:spacing w:val="-4"/>
        </w:rPr>
        <w:t>国家税务总局江苏省税务局颁发的《高新技术企业证书》（证书编号：</w:t>
      </w:r>
      <w:r>
        <w:rPr>
          <w:rFonts w:ascii="Times New Roman" w:hAnsi="Times New Roman" w:cs="Times New Roman" w:eastAsia="Times New Roman" w:hint="default"/>
          <w:spacing w:val="-4"/>
        </w:rPr>
        <w:t>GR201832007500</w:t>
      </w:r>
      <w:r>
        <w:rPr>
          <w:spacing w:val="-4"/>
        </w:rPr>
        <w:t>），认定子公司江苏</w:t>
      </w:r>
      <w:r>
        <w:rPr>
          <w:spacing w:val="-54"/>
        </w:rPr>
        <w:t> </w:t>
      </w:r>
      <w:r>
        <w:rPr>
          <w:spacing w:val="-54"/>
        </w:rPr>
      </w:r>
      <w:r>
        <w:rPr/>
        <w:t>华峰为高新技术企业，有效期为三年，本报告期企业所得税税率按照</w:t>
      </w:r>
      <w:r>
        <w:rPr>
          <w:rFonts w:ascii="Times New Roman" w:hAnsi="Times New Roman" w:cs="Times New Roman" w:eastAsia="Times New Roman" w:hint="default"/>
        </w:rPr>
        <w:t>15%</w:t>
      </w:r>
      <w:r>
        <w:rPr/>
        <w:t>执行。 </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t>号</w:t>
      </w:r>
      <w:r>
        <w:rPr>
          <w:rFonts w:ascii="Times New Roman" w:hAnsi="Times New Roman" w:cs="Times New Roman" w:eastAsia="Times New Roman" w:hint="default"/>
        </w:rPr>
        <w:t>”</w:t>
      </w:r>
      <w:r>
        <w:rPr/>
        <w:t>文件的相关规定，国家规划布局内的重点软件企业和集 </w:t>
      </w:r>
      <w:r>
        <w:rPr>
          <w:spacing w:val="-2"/>
        </w:rPr>
        <w:t>成电路设计企业，如当年未享受免税优惠的，可减按</w:t>
      </w:r>
      <w:r>
        <w:rPr>
          <w:rFonts w:ascii="Times New Roman" w:hAnsi="Times New Roman" w:cs="Times New Roman" w:eastAsia="Times New Roman" w:hint="default"/>
          <w:spacing w:val="-2"/>
        </w:rPr>
        <w:t>10%</w:t>
      </w:r>
      <w:r>
        <w:rPr>
          <w:spacing w:val="-2"/>
        </w:rPr>
        <w:t>的税率征收企业所得税。子公司威富通</w:t>
      </w:r>
      <w:r>
        <w:rPr>
          <w:rFonts w:ascii="Times New Roman" w:hAnsi="Times New Roman" w:cs="Times New Roman" w:eastAsia="Times New Roman" w:hint="default"/>
          <w:spacing w:val="-2"/>
        </w:rPr>
        <w:t>2018</w:t>
      </w:r>
      <w:r>
        <w:rPr>
          <w:spacing w:val="-2"/>
        </w:rPr>
        <w:t>年度实</w:t>
      </w:r>
      <w:r>
        <w:rPr>
          <w:spacing w:val="-59"/>
        </w:rPr>
        <w:t> </w:t>
      </w:r>
      <w:r>
        <w:rPr/>
        <w:t>际按照</w:t>
      </w:r>
      <w:r>
        <w:rPr>
          <w:rFonts w:ascii="Times New Roman" w:hAnsi="Times New Roman" w:cs="Times New Roman" w:eastAsia="Times New Roman" w:hint="default"/>
        </w:rPr>
        <w:t>10%</w:t>
      </w:r>
      <w:r>
        <w:rPr/>
        <w:t>的税率计缴企业所得税。 </w:t>
      </w:r>
      <w:r>
        <w:rPr>
          <w:rFonts w:ascii="Times New Roman" w:hAnsi="Times New Roman" w:cs="Times New Roman" w:eastAsia="Times New Roman" w:hint="default"/>
          <w:spacing w:val="-8"/>
        </w:rPr>
        <w:t>4</w:t>
      </w:r>
      <w:r>
        <w:rPr>
          <w:spacing w:val="-8"/>
        </w:rPr>
        <w:t>、根据《高新技术企业认定管理办法》（国科发火</w:t>
      </w:r>
      <w:r>
        <w:rPr>
          <w:rFonts w:ascii="Times New Roman" w:hAnsi="Times New Roman" w:cs="Times New Roman" w:eastAsia="Times New Roman" w:hint="default"/>
          <w:spacing w:val="-8"/>
        </w:rPr>
        <w:t>[2008]172</w:t>
      </w:r>
      <w:r>
        <w:rPr>
          <w:spacing w:val="-8"/>
        </w:rPr>
        <w:t>号）、《高新技术企业认定管理工作指引》（国科</w:t>
      </w:r>
      <w:r>
        <w:rPr>
          <w:spacing w:val="-61"/>
        </w:rPr>
        <w:t> </w:t>
      </w:r>
      <w:r>
        <w:rPr>
          <w:spacing w:val="-61"/>
        </w:rPr>
      </w:r>
      <w:r>
        <w:rPr/>
        <w:t>发火</w:t>
      </w:r>
      <w:r>
        <w:rPr>
          <w:rFonts w:ascii="Times New Roman" w:hAnsi="Times New Roman" w:cs="Times New Roman" w:eastAsia="Times New Roman" w:hint="default"/>
        </w:rPr>
        <w:t>[2008]362</w:t>
      </w:r>
      <w:r>
        <w:rPr/>
        <w:t>号）有关规定，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日子公司威富通取得由深圳市科技创新委员会、深圳市财政委 员会、深圳市国家税务局和深圳市地方税务局联合颁发的编号为</w:t>
      </w:r>
      <w:r>
        <w:rPr>
          <w:rFonts w:ascii="Times New Roman" w:hAnsi="Times New Roman" w:cs="Times New Roman" w:eastAsia="Times New Roman" w:hint="default"/>
        </w:rPr>
        <w:t>GR201644201137</w:t>
      </w:r>
      <w:r>
        <w:rPr/>
        <w:t>的高新技术企业证书，认 定子公司威富通为高新技术企业，有效期为三年。 </w:t>
      </w:r>
      <w:r>
        <w:rPr>
          <w:rFonts w:ascii="Times New Roman" w:hAnsi="Times New Roman" w:cs="Times New Roman" w:eastAsia="Times New Roman" w:hint="default"/>
        </w:rPr>
        <w:t>5</w:t>
      </w:r>
      <w:r>
        <w:rPr/>
        <w:t>、子公司购购通和联银通富符合小型微利企业认定，其所得减按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 纳企业所得税。 </w:t>
      </w:r>
      <w:r>
        <w:rPr>
          <w:rFonts w:ascii="Times New Roman" w:hAnsi="Times New Roman" w:cs="Times New Roman" w:eastAsia="Times New Roman" w:hint="default"/>
          <w:spacing w:val="-2"/>
        </w:rPr>
        <w:t>6</w:t>
      </w:r>
      <w:r>
        <w:rPr>
          <w:spacing w:val="-2"/>
        </w:rPr>
        <w:t>、根据</w:t>
      </w:r>
      <w:r>
        <w:rPr>
          <w:rFonts w:ascii="Times New Roman" w:hAnsi="Times New Roman" w:cs="Times New Roman" w:eastAsia="Times New Roman" w:hint="default"/>
          <w:spacing w:val="-2"/>
        </w:rPr>
        <w:t>“</w:t>
      </w:r>
      <w:r>
        <w:rPr>
          <w:spacing w:val="-2"/>
        </w:rPr>
        <w:t>国家税务总局广东省税务局公告</w:t>
      </w:r>
      <w:r>
        <w:rPr>
          <w:rFonts w:ascii="Times New Roman" w:hAnsi="Times New Roman" w:cs="Times New Roman" w:eastAsia="Times New Roman" w:hint="default"/>
          <w:spacing w:val="-2"/>
        </w:rPr>
        <w:t>2018</w:t>
      </w:r>
      <w:r>
        <w:rPr>
          <w:spacing w:val="-2"/>
        </w:rPr>
        <w:t>年第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文件的相关规定，对设在广东横琴新区、福建平潭综</w:t>
      </w:r>
      <w:r>
        <w:rPr>
          <w:spacing w:val="-69"/>
        </w:rPr>
        <w:t> </w:t>
      </w:r>
      <w:r>
        <w:rPr>
          <w:spacing w:val="-69"/>
        </w:rPr>
      </w:r>
      <w:r>
        <w:rPr>
          <w:spacing w:val="-2"/>
        </w:rPr>
        <w:t>合实验区和深圳前海深港现代服务业合作区的鼓励类产业企业减按</w:t>
      </w:r>
      <w:r>
        <w:rPr>
          <w:rFonts w:ascii="Times New Roman" w:hAnsi="Times New Roman" w:cs="Times New Roman" w:eastAsia="Times New Roman" w:hint="default"/>
          <w:spacing w:val="-2"/>
        </w:rPr>
        <w:t>15%</w:t>
      </w:r>
      <w:r>
        <w:rPr>
          <w:spacing w:val="-2"/>
        </w:rPr>
        <w:t>的税率征收企业所得税。子公司智付</w:t>
      </w:r>
      <w:r>
        <w:rPr>
          <w:spacing w:val="-63"/>
        </w:rPr>
        <w:t> </w:t>
      </w:r>
      <w:r>
        <w:rPr>
          <w:spacing w:val="-63"/>
        </w:rPr>
      </w:r>
      <w:r>
        <w:rPr/>
        <w:t>通和智易信息按照</w:t>
      </w:r>
      <w:r>
        <w:rPr>
          <w:rFonts w:ascii="Times New Roman" w:hAnsi="Times New Roman" w:cs="Times New Roman" w:eastAsia="Times New Roman" w:hint="default"/>
        </w:rPr>
        <w:t>15%</w:t>
      </w:r>
      <w:r>
        <w:rPr/>
        <w:t>的企业所得税税率计缴。 </w:t>
      </w:r>
      <w:r>
        <w:rPr>
          <w:rFonts w:ascii="Times New Roman" w:hAnsi="Times New Roman" w:cs="Times New Roman" w:eastAsia="Times New Roman" w:hint="default"/>
        </w:rPr>
        <w:t>7</w:t>
      </w:r>
      <w:r>
        <w:rPr/>
        <w:t>、根据香港《</w:t>
      </w:r>
      <w:r>
        <w:rPr>
          <w:rFonts w:ascii="Times New Roman" w:hAnsi="Times New Roman" w:cs="Times New Roman" w:eastAsia="Times New Roman" w:hint="default"/>
        </w:rPr>
        <w:t>2018</w:t>
      </w:r>
      <w:r>
        <w:rPr/>
        <w:t>年税务</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w:t>
      </w:r>
      <w:r>
        <w:rPr/>
        <w:t>条例》的相关规定，法团首</w:t>
      </w:r>
      <w:r>
        <w:rPr>
          <w:rFonts w:ascii="Times New Roman" w:hAnsi="Times New Roman" w:cs="Times New Roman" w:eastAsia="Times New Roman" w:hint="default"/>
        </w:rPr>
        <w:t>200</w:t>
      </w:r>
      <w:r>
        <w:rPr/>
        <w:t>万元的利得税税率将降至</w:t>
      </w:r>
      <w:r>
        <w:rPr>
          <w:rFonts w:ascii="Times New Roman" w:hAnsi="Times New Roman" w:cs="Times New Roman" w:eastAsia="Times New Roman" w:hint="default"/>
        </w:rPr>
        <w:t>8.25%</w:t>
      </w:r>
      <w:r>
        <w:rPr/>
        <w:t>，其后的利 润则继续按</w:t>
      </w:r>
      <w:r>
        <w:rPr>
          <w:rFonts w:ascii="Times New Roman" w:hAnsi="Times New Roman" w:cs="Times New Roman" w:eastAsia="Times New Roman" w:hint="default"/>
        </w:rPr>
        <w:t>16.5%</w:t>
      </w:r>
      <w:r>
        <w:rPr/>
        <w:t>征税。子公司跨境通和威富通香港按照</w:t>
      </w:r>
      <w:r>
        <w:rPr>
          <w:rFonts w:ascii="Times New Roman" w:hAnsi="Times New Roman" w:cs="Times New Roman" w:eastAsia="Times New Roman" w:hint="default"/>
        </w:rPr>
        <w:t>8.25%</w:t>
      </w:r>
      <w:r>
        <w:rPr/>
        <w:t>的利得税税率计缴。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2"/>
        <w:spacing w:line="240" w:lineRule="auto"/>
        <w:ind w:right="1032"/>
        <w:jc w:val="left"/>
        <w:rPr>
          <w:b w:val="0"/>
          <w:bCs w:val="0"/>
        </w:rPr>
      </w:pPr>
      <w:bookmarkStart w:name="七、合并财务报表项目注释" w:id="211"/>
      <w:bookmarkEnd w:id="21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货币资金" w:id="212"/>
      <w:bookmarkEnd w:id="21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108,835.87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132,593.54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310,650,316.81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222,858,600.03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6,029,766.12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80,855,030.00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316,788,918.80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303,846,223.57</w:t>
            </w:r>
          </w:p>
        </w:tc>
      </w:tr>
    </w:tbl>
    <w:p>
      <w:pPr>
        <w:pStyle w:val="BodyText"/>
        <w:spacing w:line="240" w:lineRule="auto" w:before="51"/>
        <w:ind w:right="1032"/>
        <w:jc w:val="left"/>
      </w:pPr>
      <w:r>
        <w:rPr/>
        <w:t>其他说明</w:t>
      </w:r>
    </w:p>
    <w:p>
      <w:pPr>
        <w:pStyle w:val="Heading4"/>
        <w:spacing w:line="240" w:lineRule="auto" w:before="90"/>
        <w:ind w:left="868" w:right="1032"/>
        <w:jc w:val="left"/>
      </w:pPr>
      <w:r>
        <w:rPr/>
        <w:t>期末受限制的货币资金明细如下：</w:t>
      </w:r>
    </w:p>
    <w:p>
      <w:pPr>
        <w:spacing w:line="240" w:lineRule="auto" w:before="11"/>
        <w:rPr>
          <w:rFonts w:ascii="宋体" w:hAnsi="宋体" w:cs="宋体" w:eastAsia="宋体" w:hint="default"/>
          <w:sz w:val="27"/>
          <w:szCs w:val="27"/>
        </w:rPr>
      </w:pPr>
    </w:p>
    <w:tbl>
      <w:tblPr>
        <w:tblW w:w="0" w:type="auto"/>
        <w:jc w:val="left"/>
        <w:tblInd w:w="753" w:type="dxa"/>
        <w:tblLayout w:type="fixed"/>
        <w:tblCellMar>
          <w:top w:w="0" w:type="dxa"/>
          <w:left w:w="0" w:type="dxa"/>
          <w:bottom w:w="0" w:type="dxa"/>
          <w:right w:w="0" w:type="dxa"/>
        </w:tblCellMar>
        <w:tblLook w:val="01E0"/>
      </w:tblPr>
      <w:tblGrid>
        <w:gridCol w:w="3338"/>
        <w:gridCol w:w="2238"/>
        <w:gridCol w:w="2238"/>
      </w:tblGrid>
      <w:tr>
        <w:trPr>
          <w:trHeight w:val="355" w:hRule="exact"/>
        </w:trPr>
        <w:tc>
          <w:tcPr>
            <w:tcW w:w="333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3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6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3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69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6,029,766.12</w:t>
            </w: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17,800,000.00</w:t>
            </w:r>
          </w:p>
        </w:tc>
      </w:tr>
      <w:tr>
        <w:trPr>
          <w:trHeight w:val="353"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利率掉期质押的美元存款</w:t>
            </w:r>
          </w:p>
        </w:tc>
        <w:tc>
          <w:tcPr>
            <w:tcW w:w="2238" w:type="dxa"/>
            <w:tcBorders>
              <w:top w:val="single" w:sz="12" w:space="0" w:color="000000"/>
              <w:left w:val="single" w:sz="6" w:space="0" w:color="000000"/>
              <w:bottom w:val="single" w:sz="12" w:space="0" w:color="000000"/>
              <w:right w:val="single" w:sz="6" w:space="0" w:color="000000"/>
            </w:tcBorders>
          </w:tcPr>
          <w:p>
            <w:pP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63,055,030.00</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6,029,766.12</w:t>
            </w: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80,855,030.00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before="35"/>
        <w:ind w:right="1032"/>
        <w:jc w:val="left"/>
        <w:rPr>
          <w:b w:val="0"/>
          <w:bCs w:val="0"/>
        </w:rPr>
      </w:pPr>
      <w:bookmarkStart w:name="2、衍生金融资产" w:id="213"/>
      <w:bookmarkEnd w:id="213"/>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3、应收票据及应收账款" w:id="214"/>
      <w:bookmarkEnd w:id="214"/>
      <w:r>
        <w:rPr>
          <w:b w:val="0"/>
          <w:bCs w:val="0"/>
        </w:rPr>
      </w:r>
      <w:r>
        <w:rPr>
          <w:rFonts w:ascii="Times New Roman" w:hAnsi="Times New Roman" w:cs="Times New Roman" w:eastAsia="Times New Roman" w:hint="default"/>
        </w:rPr>
        <w:t>3</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231,133,972.94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149,980,774.31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402,120,840.09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281,096,178.64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633,254,813.03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431,076,952.95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收票据" w:id="215"/>
      <w:bookmarkEnd w:id="21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231,133,972.94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149,980,774.31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231,133,972.94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149,980,774.31</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6"/>
        <w:gridCol w:w="762"/>
        <w:gridCol w:w="762"/>
        <w:gridCol w:w="762"/>
        <w:gridCol w:w="763"/>
        <w:gridCol w:w="768"/>
        <w:gridCol w:w="798"/>
        <w:gridCol w:w="797"/>
        <w:gridCol w:w="798"/>
        <w:gridCol w:w="791"/>
        <w:gridCol w:w="931"/>
      </w:tblGrid>
      <w:tr>
        <w:trPr>
          <w:trHeight w:val="402" w:hRule="exact"/>
        </w:trPr>
        <w:tc>
          <w:tcPr>
            <w:tcW w:w="1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6" w:type="dxa"/>
            <w:vMerge/>
            <w:tcBorders>
              <w:left w:val="single" w:sz="4" w:space="0" w:color="000000"/>
              <w:right w:val="single" w:sz="4" w:space="0" w:color="000000"/>
            </w:tcBorders>
            <w:shd w:val="clear" w:color="auto" w:fill="D2D2D2"/>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87" w:right="10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6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032"/>
        <w:jc w:val="left"/>
      </w:pPr>
      <w:r>
        <w:rPr/>
        <w:t>按单项计提坏账准备：</w:t>
      </w:r>
    </w:p>
    <w:p>
      <w:pPr>
        <w:pStyle w:val="BodyText"/>
        <w:spacing w:line="240" w:lineRule="auto" w:before="117"/>
        <w:ind w:left="0" w:right="1130"/>
        <w:jc w:val="right"/>
      </w:pPr>
      <w:r>
        <w:rPr/>
        <w:t>单位：</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1032"/>
        <w:jc w:val="left"/>
      </w:pPr>
      <w:r>
        <w:rPr/>
        <w:t>按组合计提坏账准备：</w:t>
      </w:r>
    </w:p>
    <w:p>
      <w:pPr>
        <w:pStyle w:val="BodyText"/>
        <w:spacing w:line="240" w:lineRule="auto" w:before="117"/>
        <w:ind w:left="0" w:right="1130"/>
        <w:jc w:val="right"/>
      </w:pPr>
      <w:r>
        <w:rPr/>
        <w:t>单位：</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2"/>
        <w:ind w:right="1752"/>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32"/>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549,450,364.58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549,450,364.58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应收账款" w:id="216"/>
      <w:bookmarkEnd w:id="21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6"/>
        <w:gridCol w:w="762"/>
        <w:gridCol w:w="762"/>
        <w:gridCol w:w="762"/>
        <w:gridCol w:w="763"/>
        <w:gridCol w:w="790"/>
        <w:gridCol w:w="775"/>
        <w:gridCol w:w="798"/>
        <w:gridCol w:w="798"/>
        <w:gridCol w:w="790"/>
        <w:gridCol w:w="932"/>
      </w:tblGrid>
      <w:tr>
        <w:trPr>
          <w:trHeight w:val="402" w:hRule="exact"/>
        </w:trPr>
        <w:tc>
          <w:tcPr>
            <w:tcW w:w="1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6" w:type="dxa"/>
            <w:vMerge/>
            <w:tcBorders>
              <w:left w:val="single" w:sz="4" w:space="0" w:color="000000"/>
              <w:right w:val="single" w:sz="4" w:space="0" w:color="000000"/>
            </w:tcBorders>
            <w:shd w:val="clear" w:color="auto" w:fill="D2D2D2"/>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3"/>
        <w:gridCol w:w="774"/>
        <w:gridCol w:w="762"/>
        <w:gridCol w:w="762"/>
        <w:gridCol w:w="763"/>
        <w:gridCol w:w="790"/>
        <w:gridCol w:w="775"/>
        <w:gridCol w:w="798"/>
        <w:gridCol w:w="798"/>
        <w:gridCol w:w="790"/>
        <w:gridCol w:w="932"/>
      </w:tblGrid>
      <w:tr>
        <w:trPr>
          <w:trHeight w:val="714"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427,219,</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719.73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25,098,8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79.64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402,120,8</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40.09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298,905,3</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68.53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17,809,18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281,096,17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8.64</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427,219,</w:t>
            </w:r>
          </w:p>
          <w:p>
            <w:pPr>
              <w:pStyle w:val="TableParagraph"/>
              <w:spacing w:line="240" w:lineRule="auto" w:before="106"/>
              <w:ind w:left="218" w:right="0"/>
              <w:jc w:val="center"/>
              <w:rPr>
                <w:rFonts w:ascii="Times New Roman" w:hAnsi="Times New Roman" w:cs="Times New Roman" w:eastAsia="Times New Roman" w:hint="default"/>
                <w:sz w:val="18"/>
                <w:szCs w:val="18"/>
              </w:rPr>
            </w:pPr>
            <w:r>
              <w:rPr>
                <w:rFonts w:ascii="Times New Roman"/>
                <w:sz w:val="18"/>
              </w:rPr>
              <w:t>719.73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25,098,8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79.64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5.88%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402,120,8</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40.09</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298,905,3</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68.53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100.00%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17,809,18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9.89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281,096,17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8.64</w:t>
            </w:r>
          </w:p>
        </w:tc>
      </w:tr>
      <w:tr>
        <w:trPr>
          <w:trHeight w:val="393"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按单项计提坏账准备：</w:t>
      </w:r>
    </w:p>
    <w:p>
      <w:pPr>
        <w:pStyle w:val="BodyText"/>
        <w:spacing w:line="240" w:lineRule="auto" w:before="117"/>
        <w:ind w:left="0" w:right="1130"/>
        <w:jc w:val="right"/>
      </w:pPr>
      <w:r>
        <w:rPr/>
        <w:t>单位：</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1032"/>
        <w:jc w:val="left"/>
      </w:pPr>
      <w:r>
        <w:rPr/>
        <w:t>按组合计提坏账准备：</w:t>
      </w:r>
    </w:p>
    <w:p>
      <w:pPr>
        <w:pStyle w:val="BodyText"/>
        <w:spacing w:line="240" w:lineRule="auto" w:before="116"/>
        <w:ind w:left="0" w:right="1130"/>
        <w:jc w:val="right"/>
      </w:pPr>
      <w:r>
        <w:rPr/>
        <w:t>单位：</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right="1752"/>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按账龄披露</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416,540,071.23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6,716,951.60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1,477,444.50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2,485,252.40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427,219,719.73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0" w:lineRule="auto" w:before="51"/>
        <w:ind w:right="-20"/>
        <w:jc w:val="left"/>
      </w:pPr>
      <w:r>
        <w:rPr>
          <w:rFonts w:ascii="Times New Roman" w:hAnsi="Times New Roman" w:cs="Times New Roman" w:eastAsia="Times New Roman" w:hint="default"/>
        </w:rPr>
        <w:t>2</w:t>
      </w:r>
      <w:r>
        <w:rPr/>
        <w:t>）本期计提、收回或转回的坏账准备情况 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3485" w:space="534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17,809,189.89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7,855,913.19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566,223.44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25,098,879.64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17,809,189.89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7,855,913.19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566,223.44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25,098,879.64</w:t>
            </w:r>
          </w:p>
        </w:tc>
      </w:tr>
    </w:tbl>
    <w:p>
      <w:pPr>
        <w:pStyle w:val="BodyText"/>
        <w:spacing w:line="240" w:lineRule="auto" w:before="51"/>
        <w:ind w:right="1032"/>
        <w:jc w:val="left"/>
      </w:pPr>
      <w:r>
        <w:rPr/>
        <w:t>其中本期坏账准备收回或转回金额重要的：</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032"/>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after="0" w:line="240" w:lineRule="auto"/>
        <w:jc w:val="right"/>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确认无法收回的应收账款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566,223.44</w:t>
            </w:r>
          </w:p>
        </w:tc>
      </w:tr>
    </w:tbl>
    <w:p>
      <w:pPr>
        <w:pStyle w:val="BodyText"/>
        <w:spacing w:line="240" w:lineRule="auto" w:before="51"/>
        <w:ind w:right="1032"/>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48" w:lineRule="auto" w:before="52"/>
        <w:ind w:right="6702"/>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5"/>
        <w:ind w:right="1032"/>
        <w:jc w:val="left"/>
      </w:pPr>
      <w:r>
        <w:rPr/>
        <w:t>否</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753" w:type="dxa"/>
        <w:tblLayout w:type="fixed"/>
        <w:tblCellMar>
          <w:top w:w="0" w:type="dxa"/>
          <w:left w:w="0" w:type="dxa"/>
          <w:bottom w:w="0" w:type="dxa"/>
          <w:right w:w="0" w:type="dxa"/>
        </w:tblCellMar>
        <w:tblLook w:val="01E0"/>
      </w:tblPr>
      <w:tblGrid>
        <w:gridCol w:w="1444"/>
        <w:gridCol w:w="1553"/>
        <w:gridCol w:w="3418"/>
        <w:gridCol w:w="1434"/>
      </w:tblGrid>
      <w:tr>
        <w:trPr>
          <w:trHeight w:val="435" w:hRule="exact"/>
        </w:trPr>
        <w:tc>
          <w:tcPr>
            <w:tcW w:w="1444"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40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0" w:hRule="exact"/>
        </w:trPr>
        <w:tc>
          <w:tcPr>
            <w:tcW w:w="1444" w:type="dxa"/>
            <w:vMerge/>
            <w:tcBorders>
              <w:left w:val="single" w:sz="6" w:space="0" w:color="000000"/>
              <w:bottom w:val="single" w:sz="12" w:space="0" w:color="000000"/>
              <w:right w:val="single" w:sz="6" w:space="0" w:color="000000"/>
            </w:tcBorders>
          </w:tcPr>
          <w:p>
            <w:pPr/>
          </w:p>
        </w:tc>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2" w:hRule="exact"/>
        </w:trPr>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34,419,536.07</w:t>
            </w:r>
          </w:p>
        </w:tc>
        <w:tc>
          <w:tcPr>
            <w:tcW w:w="3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8.06</w:t>
            </w: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1,720,976.80</w:t>
            </w:r>
          </w:p>
        </w:tc>
      </w:tr>
      <w:tr>
        <w:trPr>
          <w:trHeight w:val="432" w:hRule="exact"/>
        </w:trPr>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32,182,709.26</w:t>
            </w:r>
          </w:p>
        </w:tc>
        <w:tc>
          <w:tcPr>
            <w:tcW w:w="3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7.53</w:t>
            </w: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1,609,135.46</w:t>
            </w:r>
          </w:p>
        </w:tc>
      </w:tr>
      <w:tr>
        <w:trPr>
          <w:trHeight w:val="432" w:hRule="exact"/>
        </w:trPr>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28,728,064.16</w:t>
            </w:r>
          </w:p>
        </w:tc>
        <w:tc>
          <w:tcPr>
            <w:tcW w:w="3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6.72</w:t>
            </w: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1,436,403.21</w:t>
            </w:r>
          </w:p>
        </w:tc>
      </w:tr>
      <w:tr>
        <w:trPr>
          <w:trHeight w:val="432" w:hRule="exact"/>
        </w:trPr>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26,858,181.61</w:t>
            </w:r>
          </w:p>
        </w:tc>
        <w:tc>
          <w:tcPr>
            <w:tcW w:w="3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6.29</w:t>
            </w: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1,342,909.08</w:t>
            </w:r>
          </w:p>
        </w:tc>
      </w:tr>
      <w:tr>
        <w:trPr>
          <w:trHeight w:val="432" w:hRule="exact"/>
        </w:trPr>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17,148,341.16</w:t>
            </w:r>
          </w:p>
        </w:tc>
        <w:tc>
          <w:tcPr>
            <w:tcW w:w="3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4.01</w:t>
            </w: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857,417.06</w:t>
            </w:r>
          </w:p>
        </w:tc>
      </w:tr>
      <w:tr>
        <w:trPr>
          <w:trHeight w:val="432" w:hRule="exact"/>
        </w:trPr>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139,336,832.26</w:t>
            </w:r>
          </w:p>
        </w:tc>
        <w:tc>
          <w:tcPr>
            <w:tcW w:w="3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32.61</w:t>
            </w: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6,966,841.61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38" w:lineRule="auto" w:before="44"/>
        <w:ind w:right="7422"/>
        <w:jc w:val="left"/>
      </w:pPr>
      <w:r>
        <w:rPr>
          <w:rFonts w:ascii="Times New Roman" w:hAnsi="Times New Roman" w:cs="Times New Roman" w:eastAsia="Times New Roman" w:hint="default"/>
        </w:rPr>
        <w:t>5</w:t>
      </w:r>
      <w:r>
        <w:rPr/>
        <w:t>）因金融资产转移而终止确认的应收账款 无</w:t>
      </w:r>
    </w:p>
    <w:p>
      <w:pPr>
        <w:spacing w:line="240" w:lineRule="auto" w:before="4"/>
        <w:rPr>
          <w:rFonts w:ascii="宋体" w:hAnsi="宋体" w:cs="宋体" w:eastAsia="宋体" w:hint="default"/>
          <w:sz w:val="21"/>
          <w:szCs w:val="21"/>
        </w:rPr>
      </w:pPr>
    </w:p>
    <w:p>
      <w:pPr>
        <w:pStyle w:val="Heading3"/>
        <w:spacing w:line="240" w:lineRule="auto"/>
        <w:ind w:right="1032"/>
        <w:jc w:val="left"/>
        <w:rPr>
          <w:b w:val="0"/>
          <w:bCs w:val="0"/>
        </w:rPr>
      </w:pPr>
      <w:bookmarkStart w:name="4、预付款项" w:id="217"/>
      <w:bookmarkEnd w:id="21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预付款项按账龄列示" w:id="218"/>
      <w:bookmarkEnd w:id="21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59,548,882.73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40,253,639.84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6,720,450.49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1,520,012.73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536,131.60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55,863.48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232,511.78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191,361.07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67,037,976.60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42,020,877.12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按预付对象归集的期末余额前五名的预付款情况" w:id="219"/>
      <w:bookmarkEnd w:id="21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53" w:type="dxa"/>
        <w:tblLayout w:type="fixed"/>
        <w:tblCellMar>
          <w:top w:w="0" w:type="dxa"/>
          <w:left w:w="0" w:type="dxa"/>
          <w:bottom w:w="0" w:type="dxa"/>
          <w:right w:w="0" w:type="dxa"/>
        </w:tblCellMar>
        <w:tblLook w:val="01E0"/>
      </w:tblPr>
      <w:tblGrid>
        <w:gridCol w:w="3460"/>
        <w:gridCol w:w="2098"/>
        <w:gridCol w:w="2099"/>
      </w:tblGrid>
      <w:tr>
        <w:trPr>
          <w:trHeight w:val="667" w:hRule="exact"/>
        </w:trPr>
        <w:tc>
          <w:tcPr>
            <w:tcW w:w="3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0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99"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545" w:right="58"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 数的比例</w:t>
            </w:r>
            <w:r>
              <w:rPr>
                <w:rFonts w:ascii="Times New Roman" w:hAnsi="Times New Roman" w:cs="Times New Roman" w:eastAsia="Times New Roman" w:hint="default"/>
                <w:sz w:val="18"/>
                <w:szCs w:val="18"/>
              </w:rPr>
              <w:t>(%)</w:t>
            </w:r>
          </w:p>
        </w:tc>
      </w:tr>
      <w:tr>
        <w:trPr>
          <w:trHeight w:val="376" w:hRule="exact"/>
        </w:trPr>
        <w:tc>
          <w:tcPr>
            <w:tcW w:w="3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6,314,174.05</w:t>
            </w:r>
          </w:p>
        </w:tc>
        <w:tc>
          <w:tcPr>
            <w:tcW w:w="2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9.42</w:t>
            </w:r>
          </w:p>
        </w:tc>
      </w:tr>
      <w:tr>
        <w:trPr>
          <w:trHeight w:val="374" w:hRule="exact"/>
        </w:trPr>
        <w:tc>
          <w:tcPr>
            <w:tcW w:w="3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2,909,903.48</w:t>
            </w:r>
          </w:p>
        </w:tc>
        <w:tc>
          <w:tcPr>
            <w:tcW w:w="2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4.34</w:t>
            </w:r>
          </w:p>
        </w:tc>
      </w:tr>
      <w:tr>
        <w:trPr>
          <w:trHeight w:val="360" w:hRule="exact"/>
        </w:trPr>
        <w:tc>
          <w:tcPr>
            <w:tcW w:w="3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2,276,224.76</w:t>
            </w:r>
          </w:p>
        </w:tc>
        <w:tc>
          <w:tcPr>
            <w:tcW w:w="2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3.40</w:t>
            </w:r>
          </w:p>
        </w:tc>
      </w:tr>
      <w:tr>
        <w:trPr>
          <w:trHeight w:val="360" w:hRule="exact"/>
        </w:trPr>
        <w:tc>
          <w:tcPr>
            <w:tcW w:w="3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1,838,880.00</w:t>
            </w:r>
          </w:p>
        </w:tc>
        <w:tc>
          <w:tcPr>
            <w:tcW w:w="2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2.74</w:t>
            </w:r>
          </w:p>
        </w:tc>
      </w:tr>
      <w:tr>
        <w:trPr>
          <w:trHeight w:val="376" w:hRule="exact"/>
        </w:trPr>
        <w:tc>
          <w:tcPr>
            <w:tcW w:w="3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1,788,900.03</w:t>
            </w:r>
          </w:p>
        </w:tc>
        <w:tc>
          <w:tcPr>
            <w:tcW w:w="2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2.67</w:t>
            </w:r>
          </w:p>
        </w:tc>
      </w:tr>
      <w:tr>
        <w:trPr>
          <w:trHeight w:val="374" w:hRule="exact"/>
        </w:trPr>
        <w:tc>
          <w:tcPr>
            <w:tcW w:w="3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15,128,082.32</w:t>
            </w:r>
          </w:p>
        </w:tc>
        <w:tc>
          <w:tcPr>
            <w:tcW w:w="2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22.57</w:t>
            </w:r>
          </w:p>
        </w:tc>
      </w:tr>
    </w:tbl>
    <w:p>
      <w:pPr>
        <w:spacing w:line="240" w:lineRule="auto" w:before="5"/>
        <w:rPr>
          <w:rFonts w:ascii="宋体" w:hAnsi="宋体" w:cs="宋体" w:eastAsia="宋体" w:hint="default"/>
          <w:b/>
          <w:bCs/>
          <w:sz w:val="24"/>
          <w:szCs w:val="24"/>
        </w:rPr>
      </w:pPr>
    </w:p>
    <w:p>
      <w:pPr>
        <w:pStyle w:val="BodyText"/>
        <w:spacing w:line="240" w:lineRule="auto" w:before="44"/>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其他应收款" w:id="220"/>
      <w:bookmarkEnd w:id="220"/>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69,366,650.74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83,557,350.15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69,417,403.15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83,557,350.15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收利息" w:id="221"/>
      <w:bookmarkEnd w:id="22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50,752.41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50,752.41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rFonts w:ascii="Times New Roman" w:hAnsi="Times New Roman" w:cs="Times New Roman" w:eastAsia="Times New Roman" w:hint="default"/>
        </w:rPr>
        <w:t>2</w:t>
      </w:r>
      <w:r>
        <w:rPr/>
        <w:t>）坏账准备计提情况</w:t>
      </w:r>
    </w:p>
    <w:p>
      <w:pPr>
        <w:pStyle w:val="BodyText"/>
        <w:spacing w:line="240" w:lineRule="auto" w:before="10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应收股利" w:id="222"/>
      <w:bookmarkEnd w:id="22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）应收股利分类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rFonts w:ascii="Times New Roman" w:hAnsi="Times New Roman" w:cs="Times New Roman" w:eastAsia="Times New Roman" w:hint="default"/>
        </w:rPr>
        <w:t>2</w:t>
      </w:r>
      <w:r>
        <w:rPr/>
        <w:t>）坏账准备计提情况</w:t>
      </w:r>
    </w:p>
    <w:p>
      <w:pPr>
        <w:pStyle w:val="BodyText"/>
        <w:spacing w:line="338" w:lineRule="auto" w:before="103"/>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3）其他应收款" w:id="223"/>
      <w:bookmarkEnd w:id="22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13,490,725.79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8,994,764.74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733,058.04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55,832,881.01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73,722,344.69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609,345.65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1,523,690.94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1,158,342.39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3,679,197.46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4,661,911.19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75,503,550.34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88,902,711.56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0" w:lineRule="auto" w:before="51"/>
        <w:ind w:right="-20"/>
        <w:jc w:val="left"/>
      </w:pPr>
      <w:r>
        <w:rPr>
          <w:rFonts w:ascii="Times New Roman" w:hAnsi="Times New Roman" w:cs="Times New Roman" w:eastAsia="Times New Roman" w:hint="default"/>
        </w:rPr>
        <w:t>2</w:t>
      </w:r>
      <w:r>
        <w:rPr/>
        <w:t>）本期计提、收回或转回的坏账准备情况 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3485" w:space="534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5,345,361.41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791,538.19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6,136,899.60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5,345,361.41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791,538.19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6,136,899.60</w:t>
            </w:r>
          </w:p>
        </w:tc>
      </w:tr>
    </w:tbl>
    <w:p>
      <w:pPr>
        <w:pStyle w:val="BodyText"/>
        <w:spacing w:line="240" w:lineRule="auto" w:before="51"/>
        <w:ind w:right="1032"/>
        <w:jc w:val="left"/>
      </w:pPr>
      <w:r>
        <w:rPr/>
        <w:t>其中本期坏账准备转回或收回金额重要的：</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032"/>
        <w:jc w:val="left"/>
      </w:pPr>
      <w:r>
        <w:rPr>
          <w:rFonts w:ascii="Times New Roman" w:hAnsi="Times New Roman" w:cs="Times New Roman" w:eastAsia="Times New Roman" w:hint="default"/>
        </w:rPr>
        <w:t>3</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49,906,231.32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4,431,661.57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13,490,725.79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2,067,494.00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103,374.70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1,017,879.50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50,893.98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代收代付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666,137.46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133,227.49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67,148,468.07</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88.87%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4,719,157.74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存货" w:id="224"/>
      <w:bookmarkEnd w:id="224"/>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1）存货分类" w:id="225"/>
      <w:bookmarkEnd w:id="22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FFFFFF"/>
            </w:tcBorders>
            <w:shd w:val="clear" w:color="auto" w:fill="D2D2D2"/>
          </w:tcPr>
          <w:p>
            <w:pPr/>
          </w:p>
        </w:tc>
        <w:tc>
          <w:tcPr>
            <w:tcW w:w="4102" w:type="dxa"/>
            <w:gridSpan w:val="3"/>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6" w:hRule="exact"/>
        </w:trPr>
        <w:tc>
          <w:tcPr>
            <w:tcW w:w="1368"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tcBorders>
              <w:left w:val="single" w:sz="4" w:space="0" w:color="FFFFFF"/>
              <w:bottom w:val="nil" w:sz="6" w:space="0" w:color="auto"/>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0" w:hRule="exact"/>
        </w:trPr>
        <w:tc>
          <w:tcPr>
            <w:tcW w:w="1368" w:type="dxa"/>
            <w:vMerge w:val="restart"/>
            <w:tcBorders>
              <w:top w:val="nil" w:sz="6" w:space="0" w:color="auto"/>
              <w:left w:val="single" w:sz="4" w:space="0" w:color="000000"/>
              <w:right w:val="single" w:sz="4" w:space="0" w:color="FFFFFF"/>
            </w:tcBorders>
            <w:shd w:val="clear" w:color="auto" w:fill="D2D2D2"/>
          </w:tcPr>
          <w:p>
            <w:pPr/>
          </w:p>
        </w:tc>
        <w:tc>
          <w:tcPr>
            <w:tcW w:w="1368" w:type="dxa"/>
            <w:vMerge/>
            <w:tcBorders>
              <w:left w:val="single" w:sz="4" w:space="0" w:color="FFFFFF"/>
              <w:bottom w:val="nil" w:sz="6" w:space="0" w:color="auto"/>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8" w:type="dxa"/>
            <w:vMerge/>
            <w:tcBorders>
              <w:left w:val="single" w:sz="4" w:space="0" w:color="000000"/>
              <w:bottom w:val="single" w:sz="4" w:space="0" w:color="000000"/>
              <w:right w:val="single" w:sz="4" w:space="0" w:color="FFFFFF"/>
            </w:tcBorders>
            <w:shd w:val="clear" w:color="auto" w:fill="D2D2D2"/>
          </w:tcPr>
          <w:p>
            <w:pPr/>
          </w:p>
        </w:tc>
        <w:tc>
          <w:tcPr>
            <w:tcW w:w="1368" w:type="dxa"/>
            <w:tcBorders>
              <w:top w:val="nil" w:sz="6" w:space="0" w:color="auto"/>
              <w:left w:val="single" w:sz="4" w:space="0" w:color="FFFFFF"/>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129,897,522.49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129,897,522.49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142,404,937.59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142,404,937.59</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144,187,457.44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144,187,457.44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116,046,089.27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116,046,089.27</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195,106,228.80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13,152,486.99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181,953,741.81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181,082,041.90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6,816,786.84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174,265,255.06</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18,999,878.87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18,999,878.87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19,936,950.56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19,936,950.56</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11,714,416.73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11,714,416.73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11,504,304.71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11,504,304.71</w:t>
            </w:r>
          </w:p>
        </w:tc>
      </w:tr>
      <w:tr>
        <w:trPr>
          <w:trHeight w:val="402"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499,905,504.33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13,152,486.99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486,753,017.34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470,974,324.03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6,816,786.84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464,157,537.19</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2）存货跌价准备和合同履约成本减值准备" w:id="226"/>
      <w:bookmarkEnd w:id="226"/>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6,816,786.84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10,653,699.65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4,317,999.50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13,152,486.99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6,816,786.84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10,653,699.65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4,317,999.50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13,152,486.99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7、其他流动资产" w:id="227"/>
      <w:bookmarkEnd w:id="227"/>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139,961,083.28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126,985,394.65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4,321,167.99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6,595,478.76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待认证的增值税进项税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549,406.05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548,597.45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17,509,595.92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2,424,153.52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预交的其他税款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2,160.12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392,843,413.36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416,553,624.38</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8、长期应收款" w:id="228"/>
      <w:bookmarkEnd w:id="228"/>
      <w:r>
        <w:rPr>
          <w:b w:val="0"/>
          <w:bCs w:val="0"/>
        </w:rPr>
      </w:r>
      <w:r>
        <w:rPr>
          <w:rFonts w:ascii="Times New Roman" w:hAnsi="Times New Roman" w:cs="Times New Roman" w:eastAsia="Times New Roman" w:hint="default"/>
        </w:rPr>
        <w:t>8</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长期应收款情况" w:id="229"/>
      <w:bookmarkEnd w:id="22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11,400,000.00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11,400,000.00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11,400,000.00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11,400,000.00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坏账减值准备情况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650"/>
        <w:gridCol w:w="2099"/>
        <w:gridCol w:w="2099"/>
        <w:gridCol w:w="1804"/>
      </w:tblGrid>
      <w:tr>
        <w:trPr>
          <w:trHeight w:val="402" w:hRule="exact"/>
        </w:trPr>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7"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49" w:right="54"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1"/>
        <w:ind w:right="1032"/>
        <w:jc w:val="left"/>
      </w:pPr>
      <w:r>
        <w:rPr/>
        <w:t>损失准备本期变动金额重大的账面余额变动情况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9、长期股权投资" w:id="230"/>
      <w:bookmarkEnd w:id="230"/>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3"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3"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深圳市飞 猪网络科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1,470,727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-44,829.4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1,425,898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上海合码 商务咨询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1,324,069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-828,105.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-495,964.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福州十方 科技网络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1,131,210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227,386.9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1,358,597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深圳市世 明科技有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-140,557.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1,979,703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深圳市汇 商盈实业 中心（有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-908,219.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216,780.9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上海利市 商务服务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-318,328.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2,681,671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深圳市亦 卡科技有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-258.56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1,499,741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上海华峰 创享互联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5,885.95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7,171,268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9,168,279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7,171,268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-828,105.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-1,874,88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9,168,279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pStyle w:val="BodyText"/>
        <w:spacing w:line="240" w:lineRule="auto" w:before="116"/>
        <w:ind w:right="1032"/>
        <w:jc w:val="left"/>
        <w:rPr>
          <w:rFonts w:ascii="Times New Roman" w:hAnsi="Times New Roman" w:cs="Times New Roman" w:eastAsia="Times New Roman" w:hint="default"/>
        </w:rPr>
      </w:pPr>
      <w:r>
        <w:rPr/>
        <w:t>注</w:t>
      </w:r>
      <w:r>
        <w:rPr>
          <w:spacing w:val="-43"/>
        </w:rPr>
        <w:t> </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2018</w:t>
      </w:r>
      <w:r>
        <w:rPr>
          <w:rFonts w:ascii="Times New Roman" w:hAnsi="Times New Roman" w:cs="Times New Roman" w:eastAsia="Times New Roman" w:hint="default"/>
          <w:spacing w:val="4"/>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4"/>
        </w:rPr>
        <w:t>月，子公司威富通与上海喔噻互联网科技有限公司（以下简称</w:t>
      </w:r>
      <w:r>
        <w:rPr>
          <w:rFonts w:ascii="Times New Roman" w:hAnsi="Times New Roman" w:cs="Times New Roman" w:eastAsia="Times New Roman" w:hint="default"/>
          <w:spacing w:val="-4"/>
        </w:rPr>
        <w:t>“</w:t>
      </w:r>
      <w:r>
        <w:rPr>
          <w:spacing w:val="-4"/>
        </w:rPr>
        <w:t>上海喔噻</w:t>
      </w:r>
      <w:r>
        <w:rPr>
          <w:rFonts w:ascii="Times New Roman" w:hAnsi="Times New Roman" w:cs="Times New Roman" w:eastAsia="Times New Roman" w:hint="default"/>
          <w:spacing w:val="-4"/>
        </w:rPr>
        <w:t>”</w:t>
      </w:r>
      <w:r>
        <w:rPr>
          <w:spacing w:val="-4"/>
        </w:rPr>
        <w:t>）签署股权转让协议，以</w:t>
      </w:r>
      <w:r>
        <w:rPr>
          <w:spacing w:val="-43"/>
        </w:rPr>
        <w:t> </w:t>
      </w:r>
      <w:r>
        <w:rPr>
          <w:rFonts w:ascii="Times New Roman" w:hAnsi="Times New Roman" w:cs="Times New Roman" w:eastAsia="Times New Roman" w:hint="default"/>
        </w:rPr>
        <w:t>828,105.00</w:t>
      </w:r>
    </w:p>
    <w:p>
      <w:pPr>
        <w:pStyle w:val="BodyText"/>
        <w:spacing w:line="240" w:lineRule="auto" w:before="63"/>
        <w:ind w:right="1032"/>
        <w:jc w:val="left"/>
        <w:rPr>
          <w:rFonts w:ascii="Times New Roman" w:hAnsi="Times New Roman" w:cs="Times New Roman" w:eastAsia="Times New Roman" w:hint="default"/>
        </w:rPr>
      </w:pPr>
      <w:r>
        <w:rPr>
          <w:spacing w:val="-2"/>
        </w:rPr>
        <w:t>元的价格转让威富通持有上海合码商务咨询有限公司（以下简称</w:t>
      </w:r>
      <w:r>
        <w:rPr>
          <w:rFonts w:ascii="Times New Roman" w:hAnsi="Times New Roman" w:cs="Times New Roman" w:eastAsia="Times New Roman" w:hint="default"/>
          <w:spacing w:val="-2"/>
        </w:rPr>
        <w:t>“</w:t>
      </w:r>
      <w:r>
        <w:rPr>
          <w:spacing w:val="-2"/>
        </w:rPr>
        <w:t>合码商务</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45%</w:t>
      </w:r>
      <w:r>
        <w:rPr>
          <w:spacing w:val="-2"/>
        </w:rPr>
        <w:t>的股权。根据该协议约定，威富通于</w:t>
      </w:r>
      <w:r>
        <w:rPr>
          <w:spacing w:val="-18"/>
        </w:rPr>
        <w:t> </w:t>
      </w:r>
      <w:r>
        <w:rPr>
          <w:rFonts w:ascii="Times New Roman" w:hAnsi="Times New Roman" w:cs="Times New Roman" w:eastAsia="Times New Roman" w:hint="default"/>
        </w:rPr>
        <w:t>2018</w:t>
      </w:r>
    </w:p>
    <w:p>
      <w:pPr>
        <w:pStyle w:val="BodyText"/>
        <w:spacing w:line="240" w:lineRule="auto" w:before="64"/>
        <w:ind w:right="1032"/>
        <w:jc w:val="left"/>
      </w:pP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月收到上海喔塞支付转让款</w:t>
      </w:r>
      <w:r>
        <w:rPr>
          <w:spacing w:val="-47"/>
        </w:rPr>
        <w:t> </w:t>
      </w:r>
      <w:r>
        <w:rPr>
          <w:rFonts w:ascii="Times New Roman" w:hAnsi="Times New Roman" w:cs="Times New Roman" w:eastAsia="Times New Roman" w:hint="default"/>
        </w:rPr>
        <w:t>828,105.00</w:t>
      </w:r>
      <w:r>
        <w:rPr>
          <w:rFonts w:ascii="Times New Roman" w:hAnsi="Times New Roman" w:cs="Times New Roman" w:eastAsia="Times New Roman" w:hint="default"/>
          <w:spacing w:val="-2"/>
        </w:rPr>
        <w:t> </w:t>
      </w:r>
      <w:r>
        <w:rPr/>
        <w:t>元。合码商务就上述事项尚未完成工商登记。</w:t>
      </w:r>
    </w:p>
    <w:p>
      <w:pPr>
        <w:pStyle w:val="BodyText"/>
        <w:spacing w:line="240" w:lineRule="auto" w:before="101"/>
        <w:ind w:right="1032"/>
        <w:jc w:val="left"/>
        <w:rPr>
          <w:rFonts w:ascii="Times New Roman" w:hAnsi="Times New Roman" w:cs="Times New Roman" w:eastAsia="Times New Roman" w:hint="default"/>
        </w:rPr>
      </w:pPr>
      <w:r>
        <w:rPr/>
        <w:t>注</w:t>
      </w:r>
      <w:r>
        <w:rPr>
          <w:spacing w:val="-42"/>
        </w:rPr>
        <w:t> </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2018</w:t>
      </w:r>
      <w:r>
        <w:rPr>
          <w:rFonts w:ascii="Times New Roman" w:hAnsi="Times New Roman" w:cs="Times New Roman" w:eastAsia="Times New Roman" w:hint="default"/>
          <w:spacing w:val="5"/>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4"/>
        </w:rPr>
        <w:t>月，子公司威富通与上海利市商务服务有限公司（以下简称</w:t>
      </w:r>
      <w:r>
        <w:rPr>
          <w:rFonts w:ascii="Times New Roman" w:hAnsi="Times New Roman" w:cs="Times New Roman" w:eastAsia="Times New Roman" w:hint="default"/>
          <w:spacing w:val="-4"/>
        </w:rPr>
        <w:t>“</w:t>
      </w:r>
      <w:r>
        <w:rPr>
          <w:spacing w:val="-4"/>
        </w:rPr>
        <w:t>上海利市</w:t>
      </w:r>
      <w:r>
        <w:rPr>
          <w:rFonts w:ascii="Times New Roman" w:hAnsi="Times New Roman" w:cs="Times New Roman" w:eastAsia="Times New Roman" w:hint="default"/>
          <w:spacing w:val="-4"/>
        </w:rPr>
        <w:t>”</w:t>
      </w:r>
      <w:r>
        <w:rPr>
          <w:spacing w:val="-4"/>
        </w:rPr>
        <w:t>）签署投资协议，威富通认缴</w:t>
      </w:r>
      <w:r>
        <w:rPr>
          <w:spacing w:val="-42"/>
        </w:rPr>
        <w:t> </w:t>
      </w:r>
      <w:r>
        <w:rPr>
          <w:rFonts w:ascii="Times New Roman" w:hAnsi="Times New Roman" w:cs="Times New Roman" w:eastAsia="Times New Roman" w:hint="default"/>
        </w:rPr>
        <w:t>1,500.00</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both"/>
      </w:pPr>
      <w:r>
        <w:rPr/>
        <w:t>万元，持有上海利市</w:t>
      </w:r>
      <w:r>
        <w:rPr>
          <w:spacing w:val="-46"/>
        </w:rPr>
        <w:t> </w:t>
      </w:r>
      <w:r>
        <w:rPr>
          <w:rFonts w:ascii="Times New Roman" w:hAnsi="Times New Roman" w:cs="Times New Roman" w:eastAsia="Times New Roman" w:hint="default"/>
        </w:rPr>
        <w:t>30%</w:t>
      </w:r>
      <w:r>
        <w:rPr/>
        <w:t>的股权。根据上述协议，威富通分别于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月和</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月向上海利市支付投资款，款项</w:t>
      </w:r>
    </w:p>
    <w:p>
      <w:pPr>
        <w:pStyle w:val="BodyText"/>
        <w:spacing w:line="240" w:lineRule="auto" w:before="64"/>
        <w:ind w:right="0"/>
        <w:jc w:val="both"/>
      </w:pPr>
      <w:r>
        <w:rPr/>
        <w:t>共计</w:t>
      </w:r>
      <w:r>
        <w:rPr>
          <w:spacing w:val="-46"/>
        </w:rPr>
        <w:t> </w:t>
      </w:r>
      <w:r>
        <w:rPr>
          <w:rFonts w:ascii="Times New Roman" w:hAnsi="Times New Roman" w:cs="Times New Roman" w:eastAsia="Times New Roman" w:hint="default"/>
        </w:rPr>
        <w:t>300.00 </w:t>
      </w:r>
      <w:r>
        <w:rPr/>
        <w:t>万元。上海利市于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月完成工商登记。</w:t>
      </w:r>
    </w:p>
    <w:p>
      <w:pPr>
        <w:pStyle w:val="BodyText"/>
        <w:spacing w:line="302" w:lineRule="auto" w:before="101"/>
        <w:ind w:right="1131"/>
        <w:jc w:val="both"/>
      </w:pPr>
      <w:r>
        <w:rPr/>
        <w:t>注</w:t>
      </w:r>
      <w:r>
        <w:rPr>
          <w:spacing w:val="-45"/>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3 </w:t>
      </w:r>
      <w:r>
        <w:rPr>
          <w:spacing w:val="-2"/>
          <w:w w:val="100"/>
        </w:rPr>
        <w:t>月，子公司威富通与深圳市合汇通实业中心（有限合伙）（以下简称</w:t>
      </w:r>
      <w:r>
        <w:rPr>
          <w:rFonts w:ascii="Times New Roman" w:hAnsi="Times New Roman" w:cs="Times New Roman" w:eastAsia="Times New Roman" w:hint="default"/>
          <w:spacing w:val="-2"/>
          <w:w w:val="100"/>
        </w:rPr>
        <w:t>“</w:t>
      </w:r>
      <w:r>
        <w:rPr>
          <w:spacing w:val="-2"/>
          <w:w w:val="100"/>
        </w:rPr>
        <w:t>合汇通</w:t>
      </w:r>
      <w:r>
        <w:rPr>
          <w:rFonts w:ascii="Times New Roman" w:hAnsi="Times New Roman" w:cs="Times New Roman" w:eastAsia="Times New Roman" w:hint="default"/>
          <w:spacing w:val="-2"/>
          <w:w w:val="100"/>
        </w:rPr>
        <w:t>”</w:t>
      </w:r>
      <w:r>
        <w:rPr>
          <w:spacing w:val="-2"/>
          <w:w w:val="100"/>
        </w:rPr>
        <w:t>）签署发起协议，成立深圳市</w:t>
      </w:r>
      <w:r>
        <w:rPr/>
        <w:t> </w:t>
      </w:r>
      <w:r>
        <w:rPr>
          <w:spacing w:val="-4"/>
          <w:w w:val="100"/>
        </w:rPr>
        <w:t>亦卡科技有限公司（以下简称</w:t>
      </w:r>
      <w:r>
        <w:rPr>
          <w:rFonts w:ascii="Times New Roman" w:hAnsi="Times New Roman" w:cs="Times New Roman" w:eastAsia="Times New Roman" w:hint="default"/>
          <w:spacing w:val="-4"/>
          <w:w w:val="100"/>
        </w:rPr>
        <w:t>“</w:t>
      </w:r>
      <w:r>
        <w:rPr>
          <w:spacing w:val="-4"/>
          <w:w w:val="100"/>
        </w:rPr>
        <w:t>深圳亦卡</w:t>
      </w:r>
      <w:r>
        <w:rPr>
          <w:rFonts w:ascii="Times New Roman" w:hAnsi="Times New Roman" w:cs="Times New Roman" w:eastAsia="Times New Roman" w:hint="default"/>
          <w:spacing w:val="-4"/>
          <w:w w:val="100"/>
        </w:rPr>
        <w:t>”</w:t>
      </w:r>
      <w:r>
        <w:rPr>
          <w:spacing w:val="-4"/>
          <w:w w:val="100"/>
        </w:rPr>
        <w:t>），威富通认缴</w:t>
      </w:r>
      <w:r>
        <w:rPr>
          <w:spacing w:val="-43"/>
          <w:w w:val="100"/>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2"/>
        </w:rPr>
        <w:t> </w:t>
      </w:r>
      <w:r>
        <w:rPr>
          <w:spacing w:val="-1"/>
        </w:rPr>
        <w:t>万元，持有深圳亦卡</w:t>
      </w:r>
      <w:r>
        <w:rPr>
          <w:spacing w:val="-43"/>
        </w:rPr>
        <w:t> </w:t>
      </w:r>
      <w:r>
        <w:rPr>
          <w:rFonts w:ascii="Times New Roman" w:hAnsi="Times New Roman" w:cs="Times New Roman" w:eastAsia="Times New Roman" w:hint="default"/>
          <w:spacing w:val="-1"/>
        </w:rPr>
        <w:t>30%</w:t>
      </w:r>
      <w:r>
        <w:rPr>
          <w:spacing w:val="-1"/>
        </w:rPr>
        <w:t>的股权。根据该协议约定，威富通</w:t>
      </w:r>
      <w:r>
        <w:rPr/>
        <w:t> 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月向深圳亦卡支付投资款</w:t>
      </w:r>
      <w:r>
        <w:rPr>
          <w:spacing w:val="-46"/>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1"/>
        </w:rPr>
        <w:t> </w:t>
      </w:r>
      <w:r>
        <w:rPr/>
        <w:t>万元，深圳亦卡于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月完成工商登记。</w:t>
      </w:r>
    </w:p>
    <w:p>
      <w:pPr>
        <w:pStyle w:val="BodyText"/>
        <w:spacing w:line="300" w:lineRule="auto" w:before="50"/>
        <w:ind w:right="1116"/>
        <w:jc w:val="left"/>
      </w:pPr>
      <w:r>
        <w:rPr/>
        <w:t>注</w:t>
      </w:r>
      <w:r>
        <w:rPr>
          <w:spacing w:val="-57"/>
        </w:rPr>
        <w:t> </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月，公司与浙江华峰智链工业互联网有限公司（以下简称</w:t>
      </w:r>
      <w:r>
        <w:rPr>
          <w:rFonts w:ascii="Times New Roman" w:hAnsi="Times New Roman" w:cs="Times New Roman" w:eastAsia="Times New Roman" w:hint="default"/>
        </w:rPr>
        <w:t>“</w:t>
      </w:r>
      <w:r>
        <w:rPr/>
        <w:t>华峰智链</w:t>
      </w:r>
      <w:r>
        <w:rPr>
          <w:rFonts w:ascii="Times New Roman" w:hAnsi="Times New Roman" w:cs="Times New Roman" w:eastAsia="Times New Roman" w:hint="default"/>
        </w:rPr>
        <w:t>”</w:t>
      </w:r>
      <w:r>
        <w:rPr/>
        <w:t>）共同出资设立上海华峰创享互联网络 </w:t>
      </w:r>
      <w:r>
        <w:rPr>
          <w:spacing w:val="-4"/>
          <w:w w:val="100"/>
        </w:rPr>
        <w:t>科技有限公司（以下简称</w:t>
      </w:r>
      <w:r>
        <w:rPr>
          <w:rFonts w:ascii="Times New Roman" w:hAnsi="Times New Roman" w:cs="Times New Roman" w:eastAsia="Times New Roman" w:hint="default"/>
          <w:spacing w:val="-4"/>
          <w:w w:val="100"/>
        </w:rPr>
        <w:t>“</w:t>
      </w:r>
      <w:r>
        <w:rPr>
          <w:spacing w:val="-4"/>
          <w:w w:val="100"/>
        </w:rPr>
        <w:t>华峰创享</w:t>
      </w:r>
      <w:r>
        <w:rPr>
          <w:rFonts w:ascii="Times New Roman" w:hAnsi="Times New Roman" w:cs="Times New Roman" w:eastAsia="Times New Roman" w:hint="default"/>
          <w:spacing w:val="-4"/>
          <w:w w:val="100"/>
        </w:rPr>
        <w:t>”</w:t>
      </w:r>
      <w:r>
        <w:rPr>
          <w:spacing w:val="-4"/>
          <w:w w:val="100"/>
        </w:rPr>
        <w:t>），威富通认缴</w:t>
      </w:r>
      <w:r>
        <w:rPr>
          <w:spacing w:val="-45"/>
          <w:w w:val="100"/>
        </w:rPr>
        <w:t> </w:t>
      </w:r>
      <w:r>
        <w:rPr>
          <w:rFonts w:ascii="Times New Roman" w:hAnsi="Times New Roman" w:cs="Times New Roman" w:eastAsia="Times New Roman" w:hint="default"/>
        </w:rPr>
        <w:t>200.00 </w:t>
      </w:r>
      <w:r>
        <w:rPr/>
        <w:t>万元，持有华峰创享</w:t>
      </w:r>
      <w:r>
        <w:rPr>
          <w:spacing w:val="-45"/>
        </w:rPr>
        <w:t> </w:t>
      </w:r>
      <w:r>
        <w:rPr>
          <w:rFonts w:ascii="Times New Roman" w:hAnsi="Times New Roman" w:cs="Times New Roman" w:eastAsia="Times New Roman" w:hint="default"/>
        </w:rPr>
        <w:t>20%</w:t>
      </w:r>
      <w:r>
        <w:rPr/>
        <w:t>股权。公司于</w:t>
      </w:r>
      <w:r>
        <w:rPr>
          <w:spacing w:val="-45"/>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9 </w:t>
      </w:r>
      <w:r>
        <w:rPr/>
        <w:t>月向华峰创享</w:t>
      </w:r>
    </w:p>
    <w:p>
      <w:pPr>
        <w:pStyle w:val="BodyText"/>
        <w:spacing w:line="240" w:lineRule="auto" w:before="14"/>
        <w:ind w:right="0"/>
        <w:jc w:val="both"/>
      </w:pPr>
      <w:r>
        <w:rPr/>
        <w:t>支付投资款</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万元，华峰创享于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月完成工商登记。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right="0"/>
        <w:jc w:val="both"/>
        <w:rPr>
          <w:b w:val="0"/>
          <w:bCs w:val="0"/>
        </w:rPr>
      </w:pPr>
      <w:bookmarkStart w:name="10、固定资产" w:id="231"/>
      <w:bookmarkEnd w:id="231"/>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3,100,324,727.22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2,292,372,679.07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3,100,324,727.22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2,292,372,679.07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固定资产情况" w:id="232"/>
      <w:bookmarkEnd w:id="23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912,115,119.56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1,972,837,217.08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23,221,316.98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43,258,852.95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2,951,432,506.57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152,141,935.22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914,509,332.58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3,332,471.53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11,206,451.00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1,081,190,190.33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7,083,707.33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48,388,491.72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3,332,471.53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7,974,509.58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66,779,180.16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145,058,227.89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866,120,840.86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3,231,941.42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1,014,411,010.17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59,201,917.10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699,558.83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4,792,744.94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64,694,220.87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59,201,917.10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699,558.83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4,792,744.94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64,694,220.87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1,064,257,054.78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2,828,144,632.56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25,854,229.68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49,672,559.01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3,967,928,476.03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163,099,218.77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465,492,195.70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9,909,111.03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20,559,302.00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659,059,827.50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47,757,936.20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207,100,693.48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3,088,116.73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6,200,653.91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264,147,400.32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47,757,936.20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207,100,693.48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3,088,116.73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6,200,653.91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264,147,400.32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50,552,133.86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611,483.55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4,439,861.60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55,603,479.01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50,552,133.86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611,483.55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4,439,861.60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55,603,479.01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210,857,154.97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622,040,755.32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12,385,744.21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22,320,094.31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867,603,748.81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853,399,899.81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2,206,103,877.24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13,468,485.47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27,352,464.70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3,100,324,727.22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749,015,900.79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1,507,345,021.38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13,312,205.95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22,699,550.95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2,292,372,679.07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未办妥产权证书的固定资产情况" w:id="233"/>
      <w:bookmarkEnd w:id="233"/>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551,082,633.15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新建房屋，目前正在办理中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江苏化学宿舍楼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89,650,663.26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新建房屋，目前正在办理中</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11、在建工程" w:id="234"/>
      <w:bookmarkEnd w:id="234"/>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169,331,605.14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258,096,296.54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8,080,707.69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33,872,141.00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177,412,312.83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291,968,437.54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1）在建工程情况" w:id="235"/>
      <w:bookmarkEnd w:id="23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71,085,888.48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71,085,888.48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120,265,497.79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120,265,497.79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98,245,716.66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98,245,716.66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137,830,798.75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137,830,798.75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169,331,605.14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169,331,605.14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258,096,296.54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258,096,296.54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重要在建工程项目本期变动情况" w:id="236"/>
      <w:bookmarkEnd w:id="23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8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米产业 用非织 造布超 纤材料 项目中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 安装</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16,660,4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79.90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89,545,0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34.20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106,132,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698.57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72,815.5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28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before="63"/>
              <w:ind w:left="22" w:right="69"/>
              <w:jc w:val="left"/>
              <w:rPr>
                <w:rFonts w:ascii="宋体" w:hAnsi="宋体" w:cs="宋体" w:eastAsia="宋体" w:hint="default"/>
                <w:sz w:val="18"/>
                <w:szCs w:val="18"/>
              </w:rPr>
            </w:pPr>
            <w:r>
              <w:rPr>
                <w:rFonts w:ascii="宋体" w:hAnsi="宋体" w:cs="宋体" w:eastAsia="宋体" w:hint="default"/>
                <w:sz w:val="18"/>
                <w:szCs w:val="18"/>
              </w:rPr>
              <w:t>米产业 用非织 造布超 纤材料 项目中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 安装</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106,498,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058.38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279,759,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619.07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383,641,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922.09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2,615,75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部分完 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254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63"/>
              <w:ind w:left="22" w:right="59"/>
              <w:jc w:val="both"/>
              <w:rPr>
                <w:rFonts w:ascii="宋体" w:hAnsi="宋体" w:cs="宋体" w:eastAsia="宋体" w:hint="default"/>
                <w:sz w:val="18"/>
                <w:szCs w:val="18"/>
              </w:rPr>
            </w:pPr>
            <w:r>
              <w:rPr>
                <w:rFonts w:ascii="宋体" w:hAnsi="宋体" w:cs="宋体" w:eastAsia="宋体" w:hint="default"/>
                <w:sz w:val="18"/>
                <w:szCs w:val="18"/>
              </w:rPr>
              <w:t>米产业 用非织 造布超 纤材料 项目中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324,846,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323.93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324,846,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323.93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部分完 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3,354,90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3,354,90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米产业 用非织 造布超 纤材料 项目中 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期建 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11,644,9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44.93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8,571,54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20,216,4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12,247,6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35.24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28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米产业 用非织 造布超 纤材料 项目中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 建筑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108,620,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552.86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29,979,3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138,599,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853.72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13,955,7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09.58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7,737,30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before="63"/>
              <w:ind w:left="22" w:right="159"/>
              <w:jc w:val="both"/>
              <w:rPr>
                <w:rFonts w:ascii="宋体" w:hAnsi="宋体" w:cs="宋体" w:eastAsia="宋体" w:hint="default"/>
                <w:sz w:val="18"/>
                <w:szCs w:val="18"/>
              </w:rPr>
            </w:pPr>
            <w:r>
              <w:rPr>
                <w:rFonts w:ascii="宋体" w:hAnsi="宋体" w:cs="宋体" w:eastAsia="宋体" w:hint="default"/>
                <w:sz w:val="18"/>
                <w:szCs w:val="18"/>
              </w:rPr>
              <w:t>米产业 用非织 造布超 纤材料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92,174,2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76.07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92,174,2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本期开 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7,162,13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7,162,13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243,424,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036.07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824,876,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098.64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973,437,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287.75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94,862,8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46.96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36,720,3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18,254,3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42.69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工程物资" w:id="237"/>
      <w:bookmarkEnd w:id="237"/>
      <w:r>
        <w:rPr>
          <w:b w:val="0"/>
          <w:bCs w:val="0"/>
        </w:rPr>
      </w:r>
      <w:r>
        <w:rPr/>
        <w:t>（</w:t>
      </w:r>
      <w:r>
        <w:rPr>
          <w:rFonts w:ascii="Times New Roman" w:hAnsi="Times New Roman" w:cs="Times New Roman" w:eastAsia="Times New Roman" w:hint="default"/>
        </w:rPr>
        <w:t>3</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0"/>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1" w:right="0"/>
              <w:jc w:val="left"/>
              <w:rPr>
                <w:rFonts w:ascii="Times New Roman" w:hAnsi="Times New Roman" w:cs="Times New Roman" w:eastAsia="Times New Roman" w:hint="default"/>
                <w:sz w:val="18"/>
                <w:szCs w:val="18"/>
              </w:rPr>
            </w:pPr>
            <w:r>
              <w:rPr>
                <w:rFonts w:ascii="Times New Roman"/>
                <w:sz w:val="18"/>
              </w:rPr>
              <w:t>8,080,707.69</w:t>
            </w:r>
          </w:p>
        </w:tc>
        <w:tc>
          <w:tcPr>
            <w:tcW w:w="13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8,080,707.69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33,872,141.00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center"/>
              <w:rPr>
                <w:rFonts w:ascii="Times New Roman" w:hAnsi="Times New Roman" w:cs="Times New Roman" w:eastAsia="Times New Roman" w:hint="default"/>
                <w:sz w:val="18"/>
                <w:szCs w:val="18"/>
              </w:rPr>
            </w:pPr>
            <w:r>
              <w:rPr>
                <w:rFonts w:ascii="Times New Roman"/>
                <w:sz w:val="18"/>
              </w:rPr>
              <w:t>33,872,141.00</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39" w:right="0"/>
              <w:jc w:val="left"/>
              <w:rPr>
                <w:rFonts w:ascii="Times New Roman" w:hAnsi="Times New Roman" w:cs="Times New Roman" w:eastAsia="Times New Roman" w:hint="default"/>
                <w:sz w:val="18"/>
                <w:szCs w:val="18"/>
              </w:rPr>
            </w:pPr>
            <w:r>
              <w:rPr>
                <w:rFonts w:ascii="Times New Roman"/>
                <w:sz w:val="18"/>
              </w:rPr>
              <w:t>8,080,707.69</w:t>
            </w:r>
          </w:p>
        </w:tc>
        <w:tc>
          <w:tcPr>
            <w:tcW w:w="13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8,080,707.69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33,872,141.00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center"/>
              <w:rPr>
                <w:rFonts w:ascii="Times New Roman" w:hAnsi="Times New Roman" w:cs="Times New Roman" w:eastAsia="Times New Roman" w:hint="default"/>
                <w:sz w:val="18"/>
                <w:szCs w:val="18"/>
              </w:rPr>
            </w:pPr>
            <w:r>
              <w:rPr>
                <w:rFonts w:ascii="Times New Roman"/>
                <w:sz w:val="18"/>
              </w:rPr>
              <w:t>33,872,141.00</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12、无形资产" w:id="238"/>
      <w:bookmarkEnd w:id="238"/>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无形资产情况" w:id="239"/>
      <w:bookmarkEnd w:id="23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338,229,997.66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621,791.49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443,642.38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341,049,977.53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15,646,642.26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1,406,741.17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49,486.89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17,102,870.32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15,646,642.26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1,406,741.17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49,486.89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17,102,870.32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338,229,997.66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16,268,433.75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1,431,287.17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493,129.27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358,152,847.85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29,005,525.61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275,639.32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107,009.39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29,657,186.99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6,764,604.15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1,178,420.52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246,609.06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109,690.59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40,243.54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8,339,567.86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6,764,604.15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1,178,420.52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246,609.06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109,690.59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40,243.54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8,339,567.86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35,770,129.76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1,454,059.84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495,275.73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130,036.59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147,252.93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37,996,754.85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302,459,867.90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14,814,373.91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1,234,724.27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1,301,250.58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345,876.34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320,156,093.00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309,224,472.05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346,152.17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336,632.99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311,392,790.54</w:t>
            </w:r>
          </w:p>
        </w:tc>
      </w:tr>
    </w:tbl>
    <w:p>
      <w:pPr>
        <w:pStyle w:val="BodyText"/>
        <w:spacing w:line="338" w:lineRule="auto" w:before="51"/>
        <w:ind w:right="175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4.62%</w:t>
      </w:r>
      <w:r>
        <w:rPr/>
        <w:t>。 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13、开发支出" w:id="240"/>
      <w:bookmarkEnd w:id="240"/>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9" w:space="0" w:color="D2D2D2"/>
            </w:tcBorders>
            <w:shd w:val="clear" w:color="auto" w:fill="E0FFFF"/>
          </w:tcPr>
          <w:p>
            <w:pPr>
              <w:pStyle w:val="TableParagraph"/>
              <w:spacing w:line="316" w:lineRule="auto" w:before="56"/>
              <w:ind w:left="340" w:right="68"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银联移动支 付服务平台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15,646,642.2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15,646,642.2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15,646,642.2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15,646,642.2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4722"/>
        <w:jc w:val="left"/>
      </w:pPr>
      <w:r>
        <w:rPr/>
        <w:t>其他说明 资本化开始时点</w:t>
      </w:r>
      <w:r>
        <w:rPr>
          <w:rFonts w:ascii="Times New Roman" w:hAnsi="Times New Roman" w:cs="Times New Roman" w:eastAsia="Times New Roman" w:hint="default"/>
        </w:rPr>
        <w:t>2018.1.2</w:t>
      </w:r>
      <w:r>
        <w:rPr/>
        <w:t>，依据为企业会计准则第六号，期末研发进度已完成</w:t>
      </w:r>
    </w:p>
    <w:p>
      <w:pPr>
        <w:spacing w:line="240" w:lineRule="auto" w:before="5"/>
        <w:rPr>
          <w:rFonts w:ascii="宋体" w:hAnsi="宋体" w:cs="宋体" w:eastAsia="宋体" w:hint="default"/>
          <w:sz w:val="18"/>
          <w:szCs w:val="18"/>
        </w:rPr>
      </w:pPr>
    </w:p>
    <w:p>
      <w:pPr>
        <w:pStyle w:val="Heading3"/>
        <w:spacing w:line="240" w:lineRule="auto"/>
        <w:ind w:right="1032"/>
        <w:jc w:val="left"/>
        <w:rPr>
          <w:b w:val="0"/>
          <w:bCs w:val="0"/>
        </w:rPr>
      </w:pPr>
      <w:bookmarkStart w:name="14、商誉" w:id="241"/>
      <w:bookmarkEnd w:id="241"/>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商誉账面原值" w:id="242"/>
      <w:bookmarkEnd w:id="24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39" w:right="0"/>
              <w:jc w:val="center"/>
              <w:rPr>
                <w:rFonts w:ascii="Times New Roman" w:hAnsi="Times New Roman" w:cs="Times New Roman" w:eastAsia="Times New Roman" w:hint="default"/>
                <w:sz w:val="18"/>
                <w:szCs w:val="18"/>
              </w:rPr>
            </w:pPr>
            <w:r>
              <w:rPr>
                <w:rFonts w:ascii="Times New Roman"/>
                <w:sz w:val="18"/>
              </w:rPr>
              <w:t>1,733,150,150.68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1,733,150,150.68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9" w:right="0"/>
              <w:jc w:val="center"/>
              <w:rPr>
                <w:rFonts w:ascii="Times New Roman" w:hAnsi="Times New Roman" w:cs="Times New Roman" w:eastAsia="Times New Roman" w:hint="default"/>
                <w:sz w:val="18"/>
                <w:szCs w:val="18"/>
              </w:rPr>
            </w:pPr>
            <w:r>
              <w:rPr>
                <w:rFonts w:ascii="Times New Roman"/>
                <w:sz w:val="18"/>
              </w:rPr>
              <w:t>1,733,150,150.68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1,733,150,150.68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2）商誉减值准备" w:id="243"/>
      <w:bookmarkEnd w:id="24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84,261,300.00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84,261,300.00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84,261,300.00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84,261,300.00</w:t>
            </w:r>
          </w:p>
        </w:tc>
      </w:tr>
    </w:tbl>
    <w:p>
      <w:pPr>
        <w:pStyle w:val="BodyText"/>
        <w:spacing w:line="240" w:lineRule="auto" w:before="51"/>
        <w:ind w:right="1032"/>
        <w:jc w:val="left"/>
      </w:pPr>
      <w:r>
        <w:rPr/>
        <w:t>商誉所在资产组或资产组组合的相关信息</w:t>
      </w:r>
    </w:p>
    <w:p>
      <w:pPr>
        <w:pStyle w:val="BodyText"/>
        <w:spacing w:line="316" w:lineRule="auto" w:before="115"/>
        <w:ind w:left="1430" w:right="1032"/>
        <w:jc w:val="left"/>
      </w:pPr>
      <w:r>
        <w:rPr/>
        <w:t>资产组的构成：威富通商誉减值测试时以与商誉相关的非流动资产（包括固定资产、无形资产、长期待摊 费用）作为资产组进行减值测试，主要现金流入独立于其他资产或者资产组的现金流入。 </w:t>
      </w:r>
      <w:r>
        <w:rPr>
          <w:spacing w:val="-1"/>
        </w:rPr>
        <w:t>说明商誉减值测试过程、关键参数（如预计未来现金流量现值时的预测期增长率、稳定期增长率、利润率、</w:t>
      </w:r>
      <w:r>
        <w:rPr>
          <w:spacing w:val="-54"/>
        </w:rPr>
        <w:t> </w:t>
      </w:r>
      <w:r>
        <w:rPr>
          <w:spacing w:val="-54"/>
        </w:rPr>
      </w:r>
      <w:r>
        <w:rPr/>
        <w:t>折现率、预测期等）及商誉减值损失的确认方法：</w:t>
      </w:r>
    </w:p>
    <w:p>
      <w:pPr>
        <w:pStyle w:val="BodyText"/>
        <w:spacing w:line="314" w:lineRule="auto" w:before="19"/>
        <w:ind w:left="1430" w:right="1032"/>
        <w:jc w:val="left"/>
      </w:pPr>
      <w:r>
        <w:rPr/>
        <w:t>（</w:t>
      </w:r>
      <w:r>
        <w:rPr>
          <w:rFonts w:ascii="Times New Roman" w:hAnsi="Times New Roman" w:cs="Times New Roman" w:eastAsia="Times New Roman" w:hint="default"/>
        </w:rPr>
        <w:t>1</w:t>
      </w:r>
      <w:r>
        <w:rPr/>
        <w:t>）公司期末对商誉相关的资产组进行了减值测试，在对包含商誉的相关资产组或者资产组组合进行减值 测试时，如与商誉相关的资产组或者资产组组合存在减值迹象的，先对不包含商誉的资产组或者资产组组 合进行减值测试，计算可收回金额，并与相关账面价值相比较，确认相应的减值损失。再对包含商誉的资 </w:t>
      </w:r>
      <w:r>
        <w:rPr>
          <w:spacing w:val="-1"/>
        </w:rPr>
        <w:t>产组或者资产组组合进行减值测试，比较这些相关资产组的账面价值（包括所分摊的商誉的账面价值部分）</w:t>
      </w:r>
      <w:r>
        <w:rPr>
          <w:spacing w:val="-51"/>
        </w:rPr>
        <w:t> </w:t>
      </w:r>
      <w:r>
        <w:rPr>
          <w:spacing w:val="-51"/>
        </w:rPr>
      </w:r>
      <w:r>
        <w:rPr/>
        <w:t>与其可收回金额，如相关资产组或者资产组组合的可收回金额低于其账面价值的，确认商誉的减值损失。</w:t>
      </w:r>
    </w:p>
    <w:p>
      <w:pPr>
        <w:pStyle w:val="BodyText"/>
        <w:spacing w:line="309" w:lineRule="auto" w:before="20"/>
        <w:ind w:left="1430" w:right="1032"/>
        <w:jc w:val="left"/>
      </w:pPr>
      <w:r>
        <w:rPr>
          <w:spacing w:val="-1"/>
        </w:rPr>
        <w:t>（</w:t>
      </w:r>
      <w:r>
        <w:rPr>
          <w:rFonts w:ascii="Times New Roman" w:hAnsi="Times New Roman" w:cs="Times New Roman" w:eastAsia="Times New Roman" w:hint="default"/>
          <w:spacing w:val="-1"/>
        </w:rPr>
        <w:t>2</w:t>
      </w:r>
      <w:r>
        <w:rPr>
          <w:spacing w:val="-1"/>
        </w:rPr>
        <w:t>）包含商誉的资产组可回收金额参考利用北京北方亚事资产评估事务所（特殊普通合伙）出具的《上海</w:t>
      </w:r>
      <w:r>
        <w:rPr>
          <w:spacing w:val="-54"/>
        </w:rPr>
        <w:t> </w:t>
      </w:r>
      <w:r>
        <w:rPr>
          <w:spacing w:val="-54"/>
        </w:rPr>
      </w:r>
      <w:r>
        <w:rPr/>
        <w:t>华峰超纤材料股份有限公司拟对合并威富通科技有限公司形成的商誉进行减值测试涉及的资产组可回收价 </w:t>
      </w:r>
      <w:r>
        <w:rPr>
          <w:spacing w:val="-9"/>
        </w:rPr>
        <w:t>值项目资产评估报告》。</w:t>
      </w:r>
    </w:p>
    <w:p>
      <w:pPr>
        <w:pStyle w:val="BodyText"/>
        <w:spacing w:line="307" w:lineRule="auto" w:before="24"/>
        <w:ind w:left="1430" w:right="1106"/>
        <w:jc w:val="left"/>
      </w:pPr>
      <w:r>
        <w:rPr/>
        <w:t>（</w:t>
      </w:r>
      <w:r>
        <w:rPr>
          <w:rFonts w:ascii="Times New Roman" w:hAnsi="Times New Roman" w:cs="Times New Roman" w:eastAsia="Times New Roman" w:hint="default"/>
        </w:rPr>
        <w:t>3</w:t>
      </w:r>
      <w:r>
        <w:rPr/>
        <w:t>）重要假设及依据 </w:t>
      </w:r>
      <w:r>
        <w:rPr>
          <w:rFonts w:ascii="Times New Roman" w:hAnsi="Times New Roman" w:cs="Times New Roman" w:eastAsia="Times New Roman" w:hint="default"/>
        </w:rPr>
        <w:t>1</w:t>
      </w:r>
      <w:r>
        <w:rPr/>
        <w:t>）持续经营假设：假定被评估企业的经营业务合法，并不会出现不可预见的因素导致其无法持续经营，被 评估资产现有用途不变并原地持续使用。 </w:t>
      </w:r>
      <w:r>
        <w:rPr>
          <w:rFonts w:ascii="Times New Roman" w:hAnsi="Times New Roman" w:cs="Times New Roman" w:eastAsia="Times New Roman" w:hint="default"/>
        </w:rPr>
        <w:t>2</w:t>
      </w:r>
      <w:r>
        <w:rPr/>
        <w:t>）假定所有待评估资产已经处在交易的过程中，评估师根据待评估资产的交易条件等模拟市场进行估价。</w:t>
      </w:r>
    </w:p>
    <w:p>
      <w:pPr>
        <w:pStyle w:val="BodyText"/>
        <w:spacing w:line="240" w:lineRule="auto" w:before="7"/>
        <w:ind w:left="1430" w:right="1032"/>
        <w:jc w:val="left"/>
      </w:pPr>
      <w:r>
        <w:rPr>
          <w:rFonts w:ascii="Times New Roman" w:hAnsi="Times New Roman" w:cs="Times New Roman" w:eastAsia="Times New Roman" w:hint="default"/>
        </w:rPr>
        <w:t>3</w:t>
      </w:r>
      <w:r>
        <w:rPr/>
        <w:t>）假设国家宏观经济形势及现行的有关法律、法规、政策，无重大变化。</w:t>
      </w:r>
    </w:p>
    <w:p>
      <w:pPr>
        <w:pStyle w:val="BodyText"/>
        <w:spacing w:line="240" w:lineRule="auto" w:before="63"/>
        <w:ind w:left="1430" w:right="1032"/>
        <w:jc w:val="left"/>
      </w:pPr>
      <w:r>
        <w:rPr>
          <w:rFonts w:ascii="Times New Roman" w:hAnsi="Times New Roman" w:cs="Times New Roman" w:eastAsia="Times New Roman" w:hint="default"/>
        </w:rPr>
        <w:t>4</w:t>
      </w:r>
      <w:r>
        <w:rPr/>
        <w:t>）假设被评估单位所在的行业保持稳定发展态势，行业政策、管理制度及相关规定无重大变化。</w:t>
      </w:r>
    </w:p>
    <w:p>
      <w:pPr>
        <w:pStyle w:val="BodyText"/>
        <w:spacing w:line="240" w:lineRule="auto" w:before="63"/>
        <w:ind w:left="1430" w:right="1032"/>
        <w:jc w:val="left"/>
      </w:pPr>
      <w:r>
        <w:rPr>
          <w:rFonts w:ascii="Times New Roman" w:hAnsi="Times New Roman" w:cs="Times New Roman" w:eastAsia="Times New Roman" w:hint="default"/>
        </w:rPr>
        <w:t>5</w:t>
      </w:r>
      <w:r>
        <w:rPr/>
        <w:t>）假设国家有关赋税基准及税率、政策性征收费用等不发生重大变化。</w:t>
      </w:r>
    </w:p>
    <w:p>
      <w:pPr>
        <w:pStyle w:val="BodyText"/>
        <w:spacing w:line="240" w:lineRule="auto" w:before="63"/>
        <w:ind w:left="1430" w:right="1032"/>
        <w:jc w:val="left"/>
      </w:pPr>
      <w:r>
        <w:rPr>
          <w:rFonts w:ascii="Times New Roman" w:hAnsi="Times New Roman" w:cs="Times New Roman" w:eastAsia="Times New Roman" w:hint="default"/>
        </w:rPr>
        <w:t>6</w:t>
      </w:r>
      <w:r>
        <w:rPr/>
        <w:t>）假设无其他人力不可抗拒因素及不可预见因素，造成对企业重大不利影响。</w:t>
      </w:r>
    </w:p>
    <w:p>
      <w:pPr>
        <w:pStyle w:val="BodyText"/>
        <w:spacing w:line="240" w:lineRule="auto" w:before="63"/>
        <w:ind w:left="1430" w:right="1032"/>
        <w:jc w:val="left"/>
      </w:pPr>
      <w:r>
        <w:rPr>
          <w:rFonts w:ascii="Times New Roman" w:hAnsi="Times New Roman" w:cs="Times New Roman" w:eastAsia="Times New Roman" w:hint="default"/>
        </w:rPr>
        <w:t>7</w:t>
      </w:r>
      <w:r>
        <w:rPr/>
        <w:t>）假设无其他人力不可抗拒因素及不可预见因素，造成对企业重大不利影响。</w:t>
      </w:r>
    </w:p>
    <w:p>
      <w:pPr>
        <w:pStyle w:val="BodyText"/>
        <w:spacing w:line="240" w:lineRule="auto" w:before="63"/>
        <w:ind w:left="1430" w:right="1032"/>
        <w:jc w:val="left"/>
      </w:pPr>
      <w:r>
        <w:rPr>
          <w:rFonts w:ascii="Times New Roman" w:hAnsi="Times New Roman" w:cs="Times New Roman" w:eastAsia="Times New Roman" w:hint="default"/>
        </w:rPr>
        <w:t>8</w:t>
      </w:r>
      <w:r>
        <w:rPr/>
        <w:t>）假设本次评估测算的各项参数取值是按照现时价格体系确定的，未考虑基准日后通货膨胀因素的影响。</w:t>
      </w:r>
    </w:p>
    <w:p>
      <w:pPr>
        <w:pStyle w:val="BodyText"/>
        <w:spacing w:line="300" w:lineRule="auto" w:before="63"/>
        <w:ind w:left="1430" w:right="1032"/>
        <w:jc w:val="left"/>
      </w:pPr>
      <w:r>
        <w:rPr>
          <w:rFonts w:ascii="Times New Roman" w:hAnsi="Times New Roman" w:cs="Times New Roman" w:eastAsia="Times New Roman" w:hint="default"/>
          <w:spacing w:val="-1"/>
        </w:rPr>
        <w:t>9</w:t>
      </w:r>
      <w:r>
        <w:rPr>
          <w:spacing w:val="-1"/>
        </w:rPr>
        <w:t>）假设被评估单位提供的历年财务资料所采用的会计政策和进行收益预测时所采用的会计政策不存在重大</w:t>
      </w:r>
      <w:r>
        <w:rPr>
          <w:spacing w:val="-52"/>
        </w:rPr>
        <w:t> </w:t>
      </w:r>
      <w:r>
        <w:rPr>
          <w:spacing w:val="-52"/>
        </w:rPr>
      </w:r>
      <w:r>
        <w:rPr/>
        <w:t>差异。</w:t>
      </w:r>
    </w:p>
    <w:p>
      <w:pPr>
        <w:pStyle w:val="BodyText"/>
        <w:spacing w:line="240" w:lineRule="auto" w:before="31"/>
        <w:ind w:left="1430" w:right="1032"/>
        <w:jc w:val="left"/>
      </w:pPr>
      <w:r>
        <w:rPr>
          <w:rFonts w:ascii="Times New Roman" w:hAnsi="Times New Roman" w:cs="Times New Roman" w:eastAsia="Times New Roman" w:hint="default"/>
        </w:rPr>
        <w:t>10</w:t>
      </w:r>
      <w:r>
        <w:rPr/>
        <w:t>）假设企业未来的经营策略以及成本控制与</w:t>
      </w:r>
      <w:r>
        <w:rPr>
          <w:rFonts w:ascii="Times New Roman" w:hAnsi="Times New Roman" w:cs="Times New Roman" w:eastAsia="Times New Roman" w:hint="default"/>
        </w:rPr>
        <w:t>2018</w:t>
      </w:r>
      <w:r>
        <w:rPr/>
        <w:t>年经营情况不发生较大变化。</w:t>
      </w:r>
    </w:p>
    <w:p>
      <w:pPr>
        <w:pStyle w:val="BodyText"/>
        <w:spacing w:line="240" w:lineRule="auto" w:before="63"/>
        <w:ind w:left="1430" w:right="1032"/>
        <w:jc w:val="left"/>
      </w:pPr>
      <w:r>
        <w:rPr>
          <w:rFonts w:ascii="Times New Roman" w:hAnsi="Times New Roman" w:cs="Times New Roman" w:eastAsia="Times New Roman" w:hint="default"/>
        </w:rPr>
        <w:t>11</w:t>
      </w:r>
      <w:r>
        <w:rPr/>
        <w:t>）假设评估基准日后被评估单位的现金流入为均匀流入，现金流出为均匀流出。</w:t>
      </w:r>
    </w:p>
    <w:p>
      <w:pPr>
        <w:pStyle w:val="BodyText"/>
        <w:spacing w:line="240" w:lineRule="auto" w:before="63"/>
        <w:ind w:left="1430" w:right="1032"/>
        <w:jc w:val="left"/>
      </w:pPr>
      <w:r>
        <w:rPr>
          <w:rFonts w:ascii="Times New Roman" w:hAnsi="Times New Roman" w:cs="Times New Roman" w:eastAsia="Times New Roman" w:hint="default"/>
        </w:rPr>
        <w:t>12</w:t>
      </w:r>
      <w:r>
        <w:rPr/>
        <w:t>）假设被评估单位未来能够持续获得软件企业的认证，所得税率为</w:t>
      </w:r>
      <w:r>
        <w:rPr>
          <w:rFonts w:ascii="Times New Roman" w:hAnsi="Times New Roman" w:cs="Times New Roman" w:eastAsia="Times New Roman" w:hint="default"/>
        </w:rPr>
        <w:t>10%</w:t>
      </w:r>
      <w:r>
        <w:rPr/>
        <w:t>。</w:t>
      </w:r>
    </w:p>
    <w:p>
      <w:pPr>
        <w:pStyle w:val="BodyText"/>
        <w:spacing w:line="300" w:lineRule="auto" w:before="63"/>
        <w:ind w:left="1430" w:right="1032"/>
        <w:jc w:val="left"/>
      </w:pPr>
      <w:r>
        <w:rPr/>
        <w:t>（</w:t>
      </w:r>
      <w:r>
        <w:rPr>
          <w:rFonts w:ascii="Times New Roman" w:hAnsi="Times New Roman" w:cs="Times New Roman" w:eastAsia="Times New Roman" w:hint="default"/>
        </w:rPr>
        <w:t>4</w:t>
      </w:r>
      <w:r>
        <w:rPr/>
        <w:t>）关键参数 </w:t>
      </w:r>
      <w:r>
        <w:rPr>
          <w:spacing w:val="-3"/>
        </w:rPr>
        <w:t>预测期为</w:t>
      </w:r>
      <w:r>
        <w:rPr>
          <w:rFonts w:ascii="Times New Roman" w:hAnsi="Times New Roman" w:cs="Times New Roman" w:eastAsia="Times New Roman" w:hint="default"/>
          <w:spacing w:val="-3"/>
        </w:rPr>
        <w:t>2019</w:t>
      </w:r>
      <w:r>
        <w:rPr>
          <w:spacing w:val="-3"/>
        </w:rPr>
        <w:t>年至</w:t>
      </w:r>
      <w:r>
        <w:rPr>
          <w:rFonts w:ascii="Times New Roman" w:hAnsi="Times New Roman" w:cs="Times New Roman" w:eastAsia="Times New Roman" w:hint="default"/>
          <w:spacing w:val="-3"/>
        </w:rPr>
        <w:t>2023</w:t>
      </w:r>
      <w:r>
        <w:rPr>
          <w:spacing w:val="-3"/>
        </w:rPr>
        <w:t>年，后续为稳定期；预测期增长率分别为：</w:t>
      </w:r>
      <w:r>
        <w:rPr>
          <w:rFonts w:ascii="Times New Roman" w:hAnsi="Times New Roman" w:cs="Times New Roman" w:eastAsia="Times New Roman" w:hint="default"/>
          <w:spacing w:val="-3"/>
        </w:rPr>
        <w:t>18.12%</w:t>
      </w:r>
      <w:r>
        <w:rPr>
          <w:spacing w:val="-3"/>
        </w:rPr>
        <w:t>、</w:t>
      </w:r>
      <w:r>
        <w:rPr>
          <w:rFonts w:ascii="Times New Roman" w:hAnsi="Times New Roman" w:cs="Times New Roman" w:eastAsia="Times New Roman" w:hint="default"/>
          <w:spacing w:val="-3"/>
        </w:rPr>
        <w:t>39.49%</w:t>
      </w:r>
      <w:r>
        <w:rPr>
          <w:spacing w:val="-3"/>
        </w:rPr>
        <w:t>、</w:t>
      </w:r>
      <w:r>
        <w:rPr>
          <w:rFonts w:ascii="Times New Roman" w:hAnsi="Times New Roman" w:cs="Times New Roman" w:eastAsia="Times New Roman" w:hint="default"/>
          <w:spacing w:val="-3"/>
        </w:rPr>
        <w:t>4.68%</w:t>
      </w:r>
      <w:r>
        <w:rPr>
          <w:spacing w:val="-3"/>
        </w:rPr>
        <w:t>、</w:t>
      </w:r>
      <w:r>
        <w:rPr>
          <w:rFonts w:ascii="Times New Roman" w:hAnsi="Times New Roman" w:cs="Times New Roman" w:eastAsia="Times New Roman" w:hint="default"/>
          <w:spacing w:val="-3"/>
        </w:rPr>
        <w:t>4.67%</w:t>
      </w:r>
      <w:r>
        <w:rPr>
          <w:spacing w:val="-3"/>
        </w:rPr>
        <w:t>、</w:t>
      </w:r>
      <w:r>
        <w:rPr>
          <w:rFonts w:ascii="Times New Roman" w:hAnsi="Times New Roman" w:cs="Times New Roman" w:eastAsia="Times New Roman" w:hint="default"/>
          <w:spacing w:val="-3"/>
        </w:rPr>
        <w:t>2.97%</w:t>
      </w:r>
      <w:r>
        <w:rPr>
          <w:spacing w:val="-3"/>
        </w:rPr>
        <w:t>；</w:t>
      </w:r>
      <w:r>
        <w:rPr>
          <w:spacing w:val="-74"/>
        </w:rPr>
        <w:t> </w:t>
      </w:r>
      <w:r>
        <w:rPr/>
        <w:t>稳定期保持不变；</w:t>
      </w:r>
    </w:p>
    <w:p>
      <w:pPr>
        <w:pStyle w:val="BodyText"/>
        <w:spacing w:line="240" w:lineRule="auto" w:before="32"/>
        <w:ind w:left="1430" w:right="1032"/>
        <w:jc w:val="left"/>
      </w:pPr>
      <w:r>
        <w:rPr/>
        <w:t>利润率：根据预测的收入、成本、费用等计算；折现率为：</w:t>
      </w:r>
      <w:r>
        <w:rPr>
          <w:rFonts w:ascii="Times New Roman" w:hAnsi="Times New Roman" w:cs="Times New Roman" w:eastAsia="Times New Roman" w:hint="default"/>
        </w:rPr>
        <w:t>14.18%</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ind w:left="1430" w:right="3581" w:hanging="196"/>
        <w:jc w:val="left"/>
      </w:pPr>
      <w:r>
        <w:rPr/>
        <w:t>商誉减值测试的影响 经测试，公司因收购威富通形成的商誉本期发生减值损失</w:t>
      </w:r>
      <w:r>
        <w:rPr>
          <w:rFonts w:ascii="Times New Roman" w:hAnsi="Times New Roman" w:cs="Times New Roman" w:eastAsia="Times New Roman" w:hint="default"/>
        </w:rPr>
        <w:t>84,261,300.00</w:t>
      </w:r>
      <w:r>
        <w:rPr/>
        <w:t>元。</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15、长期待摊费用" w:id="244"/>
      <w:bookmarkEnd w:id="244"/>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1,236,635.07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7,959,901.47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2,498,165.19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6,698,371.35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2,915,740.17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1,109,592.29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468,023.46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3,557,309.00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4,152,375.24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9,069,493.76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2,966,188.65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10,255,680.35</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16、递延所得税资产/递延所得税负债" w:id="245"/>
      <w:bookmarkEnd w:id="245"/>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未经抵销的递延所得税资产" w:id="246"/>
      <w:bookmarkEnd w:id="24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44,385,980.64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6,699,854.52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29,971,338.14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5,886,666.09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14,066,667.12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2,831,194.54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12,183,141.91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3,045,785.48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广告费等以后期间的抵 扣</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158,912.67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39,728.17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185,935,611.93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28,214,896.79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190,687,158.60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47,671,789.65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527,780.24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244,388,259.69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37,745,945.85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236,519,086.22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57,171,749.63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未确认递延所得税资产明细" w:id="247"/>
      <w:bookmarkEnd w:id="247"/>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198,838.82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3,224,807.44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198,838.82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3,224,807.44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未确认递延所得税资产的可抵扣亏损将于以下年度到期" w:id="248"/>
      <w:bookmarkEnd w:id="248"/>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2" w:right="0"/>
              <w:jc w:val="left"/>
              <w:rPr>
                <w:rFonts w:ascii="Times New Roman" w:hAnsi="Times New Roman" w:cs="Times New Roman" w:eastAsia="Times New Roman" w:hint="default"/>
                <w:sz w:val="18"/>
                <w:szCs w:val="18"/>
              </w:rPr>
            </w:pPr>
            <w:r>
              <w:rPr>
                <w:rFonts w:ascii="Times New Roman"/>
                <w:sz w:val="18"/>
              </w:rPr>
              <w:t>198,838.82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84,414.15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722,312.00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1,604,807.07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813,274.22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198,838.82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3,224,807.44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17、其他非流动资产" w:id="249"/>
      <w:bookmarkEnd w:id="249"/>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330"/>
        <w:gridCol w:w="1195"/>
        <w:gridCol w:w="1196"/>
        <w:gridCol w:w="1330"/>
        <w:gridCol w:w="1190"/>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157,701,835.16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157,701,835.16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171,717,771.24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171,717,771.24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157,701,835.16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157,701,835.16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171,717,771.24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171,717,771.24</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18、短期借款" w:id="250"/>
      <w:bookmarkEnd w:id="250"/>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短期借款分类" w:id="251"/>
      <w:bookmarkEnd w:id="25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62,086,000.00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327,511,960.78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597,511,960.78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602,086,000.00</w:t>
            </w:r>
          </w:p>
        </w:tc>
      </w:tr>
    </w:tbl>
    <w:p>
      <w:pPr>
        <w:pStyle w:val="BodyText"/>
        <w:spacing w:line="240" w:lineRule="auto" w:before="51"/>
        <w:ind w:right="1032"/>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19、交易性金融负债" w:id="252"/>
      <w:bookmarkEnd w:id="252"/>
      <w:r>
        <w:rPr>
          <w:b w:val="0"/>
          <w:bCs w:val="0"/>
        </w:rPr>
      </w:r>
      <w:r>
        <w:rPr>
          <w:rFonts w:ascii="Times New Roman" w:hAnsi="Times New Roman" w:cs="Times New Roman" w:eastAsia="Times New Roman" w:hint="default"/>
        </w:rPr>
        <w:t>19</w:t>
      </w:r>
      <w:r>
        <w:rPr/>
        <w:t>、交易性金融负债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3"/>
              <w:jc w:val="both"/>
              <w:rPr>
                <w:rFonts w:ascii="宋体" w:hAnsi="宋体" w:cs="宋体" w:eastAsia="宋体" w:hint="default"/>
                <w:sz w:val="18"/>
                <w:szCs w:val="18"/>
              </w:rPr>
            </w:pPr>
            <w:r>
              <w:rPr>
                <w:rFonts w:ascii="宋体" w:hAnsi="宋体" w:cs="宋体" w:eastAsia="宋体" w:hint="default"/>
                <w:sz w:val="18"/>
                <w:szCs w:val="18"/>
              </w:rPr>
              <w:t>指定为以公允价值计量且其 变动计入当期损益的金融负 债</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3,518,534.90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-3,518,534.90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3,518,534.90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-3,518,534.90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0、应付票据及应付账款" w:id="253"/>
      <w:bookmarkEnd w:id="253"/>
      <w:r>
        <w:rPr>
          <w:b w:val="0"/>
          <w:bCs w:val="0"/>
        </w:rPr>
      </w:r>
      <w:r>
        <w:rPr>
          <w:rFonts w:ascii="Times New Roman" w:hAnsi="Times New Roman" w:cs="Times New Roman" w:eastAsia="Times New Roman" w:hint="default"/>
        </w:rPr>
        <w:t>20</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8,661,299.97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51,820,157.28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386,737,503.89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397,933,673.83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395,398,803.86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449,753,831.11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付票据分类列示" w:id="254"/>
      <w:bookmarkEnd w:id="254"/>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8,661,299.97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51,820,157.28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8,661,299.97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51,820,157.28</w:t>
            </w:r>
          </w:p>
        </w:tc>
      </w:tr>
    </w:tbl>
    <w:p>
      <w:pPr>
        <w:pStyle w:val="BodyText"/>
        <w:spacing w:line="240" w:lineRule="auto" w:before="51"/>
        <w:ind w:right="1032"/>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应付账款列示" w:id="255"/>
      <w:bookmarkEnd w:id="255"/>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365,028,481.71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381,072,693.47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14,598,879.85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15,039,522.50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5,511,813.10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844,904.61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1,598,329.23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976,553.25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386,737,503.89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397,933,673.83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1、预收款项" w:id="256"/>
      <w:bookmarkEnd w:id="256"/>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预收款项列示" w:id="257"/>
      <w:bookmarkEnd w:id="25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50,384,933.47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42,673,578.32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975,399.50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1,536,631.63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662,435.41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452,703.72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506,093.28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61,275.58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52,528,861.66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44,724,189.25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2、应付职工薪酬" w:id="258"/>
      <w:bookmarkEnd w:id="258"/>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应付职工薪酬列示" w:id="259"/>
      <w:bookmarkEnd w:id="25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62,015,447.40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338,396,294.52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359,005,866.45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41,405,875.47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24,802.14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22,251,671.20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22,144,134.54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132,338.80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62,040,249.54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360,647,965.72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381,150,000.99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41,538,214.27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短期薪酬列示" w:id="260"/>
      <w:bookmarkEnd w:id="26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61,964,557.44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291,352,281.42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312,118,366.74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41,198,472.12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23,323,606.88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23,209,156.88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143,050.00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12,034,314.42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12,011,824.03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33,352.35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10,360,369.40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10,342,145.56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28,059.20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688,672.21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685,110.56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3,732.85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985,272.81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984,567.91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9,932,872.27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9,913,299.27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31,001.00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1,753,219.53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1,753,219.53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62,015,447.40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338,396,294.52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359,005,866.45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41,405,875.47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设定提存计划列示" w:id="261"/>
      <w:bookmarkEnd w:id="26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21,365,974.37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21,261,478.92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128,442.25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885,696.83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882,655.62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3,896.55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24,802.14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22,251,671.20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22,144,134.54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132,338.80</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3、应交税费" w:id="262"/>
      <w:bookmarkEnd w:id="262"/>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4,774,368.95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2,965,130.04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3,688,104.85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5,465,225.53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7,286,096.89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1,139,089.72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226,073.95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134,395.94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257,973.69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1,100,222.99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264,079.10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348,723.49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201,623.23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1,457,376.73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1,027,958.42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959,389.59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959,844.99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30,248.61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20,098,331.13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12,187,595.58</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4、其他应付款" w:id="263"/>
      <w:bookmarkEnd w:id="263"/>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1,041,797.79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3,027,900.74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409,311,475.11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97,278,772.73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410,353,272.90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100,306,673.47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付利息" w:id="264"/>
      <w:bookmarkEnd w:id="26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345,583.33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1,579,109.07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696,214.46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1,448,791.67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1,041,797.79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3,027,900.74</w:t>
            </w:r>
          </w:p>
        </w:tc>
      </w:tr>
    </w:tbl>
    <w:p>
      <w:pPr>
        <w:pStyle w:val="BodyText"/>
        <w:spacing w:line="240" w:lineRule="auto" w:before="51"/>
        <w:ind w:right="1032"/>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其他应付款" w:id="265"/>
      <w:bookmarkEnd w:id="265"/>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197,515.50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93,344.17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15,637,889.10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15,762,386.34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364,033,651.50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待退分润款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17,056,630.12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8,198,286.81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7,110,193.07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5,275,595.82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3,224,755.41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409,311,475.11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97,278,772.73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5、一年内到期的非流动负债" w:id="266"/>
      <w:bookmarkEnd w:id="266"/>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43,865,000.00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43,865,000.00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6、长期借款" w:id="267"/>
      <w:bookmarkEnd w:id="267"/>
      <w:r>
        <w:rPr>
          <w:b w:val="0"/>
          <w:bCs w:val="0"/>
        </w:rPr>
      </w: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长期借款分类" w:id="268"/>
      <w:bookmarkEnd w:id="26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268,325,000.00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268,325,000.00</w:t>
            </w:r>
          </w:p>
        </w:tc>
      </w:tr>
    </w:tbl>
    <w:p>
      <w:pPr>
        <w:pStyle w:val="BodyText"/>
        <w:spacing w:line="360" w:lineRule="auto" w:before="51"/>
        <w:ind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27、长期应付款" w:id="269"/>
      <w:bookmarkEnd w:id="269"/>
      <w:r>
        <w:rPr>
          <w:b w:val="0"/>
          <w:bCs w:val="0"/>
        </w:rPr>
      </w:r>
      <w:r>
        <w:rPr>
          <w:rFonts w:ascii="Times New Roman" w:hAnsi="Times New Roman" w:cs="Times New Roman" w:eastAsia="Times New Roman" w:hint="default"/>
        </w:rPr>
        <w:t>27</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按款项性质列示长期应付款" w:id="270"/>
      <w:bookmarkEnd w:id="27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专项应付款" w:id="271"/>
      <w:bookmarkEnd w:id="271"/>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员工住房补贴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8、股本" w:id="272"/>
      <w:bookmarkEnd w:id="272"/>
      <w:r>
        <w:rPr>
          <w:b w:val="0"/>
          <w:bCs w:val="0"/>
        </w:rPr>
      </w:r>
      <w:r>
        <w:rPr>
          <w:rFonts w:ascii="Times New Roman" w:hAnsi="Times New Roman" w:cs="Times New Roman" w:eastAsia="Times New Roman" w:hint="default"/>
        </w:rPr>
        <w:t>28</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631,019,839.00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504,815,871.00</w:t>
            </w: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504,815,871.00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1,135,835,710.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pStyle w:val="BodyText"/>
        <w:spacing w:line="240" w:lineRule="auto" w:before="116"/>
        <w:ind w:right="1032"/>
        <w:jc w:val="left"/>
      </w:pPr>
      <w:r>
        <w:rPr/>
        <w:t>根据公司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年股东大会，公司以现有总股本</w:t>
      </w:r>
      <w:r>
        <w:rPr>
          <w:spacing w:val="-51"/>
        </w:rPr>
        <w:t> </w:t>
      </w:r>
      <w:r>
        <w:rPr>
          <w:rFonts w:ascii="Times New Roman" w:hAnsi="Times New Roman" w:cs="Times New Roman" w:eastAsia="Times New Roman" w:hint="default"/>
        </w:rPr>
        <w:t>631,019,839</w:t>
      </w:r>
      <w:r>
        <w:rPr>
          <w:rFonts w:ascii="Times New Roman" w:hAnsi="Times New Roman" w:cs="Times New Roman" w:eastAsia="Times New Roman" w:hint="default"/>
          <w:spacing w:val="-6"/>
        </w:rPr>
        <w:t> </w:t>
      </w:r>
      <w:r>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w:t>
      </w:r>
      <w:r>
        <w:rPr>
          <w:spacing w:val="-51"/>
        </w:rPr>
        <w:t> </w:t>
      </w:r>
      <w:r>
        <w:rPr>
          <w:rFonts w:ascii="Times New Roman" w:hAnsi="Times New Roman" w:cs="Times New Roman" w:eastAsia="Times New Roman" w:hint="default"/>
        </w:rPr>
        <w:t>0.50</w:t>
      </w:r>
      <w:r>
        <w:rPr>
          <w:rFonts w:ascii="Times New Roman" w:hAnsi="Times New Roman" w:cs="Times New Roman" w:eastAsia="Times New Roman" w:hint="default"/>
          <w:spacing w:val="-6"/>
        </w:rPr>
        <w:t> </w:t>
      </w:r>
      <w:r>
        <w:rPr/>
        <w:t>元人民币现金，同时，以</w:t>
      </w:r>
    </w:p>
    <w:p>
      <w:pPr>
        <w:pStyle w:val="BodyText"/>
        <w:spacing w:line="240" w:lineRule="auto" w:before="64"/>
        <w:ind w:right="1032"/>
        <w:jc w:val="left"/>
      </w:pPr>
      <w:r>
        <w:rPr/>
        <w:t>资本公积金向全体股东每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8.00</w:t>
      </w:r>
      <w:r>
        <w:rPr>
          <w:rFonts w:ascii="Times New Roman" w:hAnsi="Times New Roman" w:cs="Times New Roman" w:eastAsia="Times New Roman" w:hint="default"/>
          <w:spacing w:val="-2"/>
        </w:rPr>
        <w:t> </w:t>
      </w:r>
      <w:r>
        <w:rPr/>
        <w:t>股，增加本期股本</w:t>
      </w:r>
      <w:r>
        <w:rPr>
          <w:spacing w:val="-47"/>
        </w:rPr>
        <w:t> </w:t>
      </w:r>
      <w:r>
        <w:rPr>
          <w:rFonts w:ascii="Times New Roman" w:hAnsi="Times New Roman" w:cs="Times New Roman" w:eastAsia="Times New Roman" w:hint="default"/>
        </w:rPr>
        <w:t>504,815,871.00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9、资本公积" w:id="273"/>
      <w:bookmarkEnd w:id="273"/>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3,324,472,319.92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504,815,871.00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2,819,656,448.92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3,324,472,319.92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504,815,871.00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2,819,656,448.92</w:t>
            </w:r>
          </w:p>
        </w:tc>
      </w:tr>
    </w:tbl>
    <w:p>
      <w:pPr>
        <w:pStyle w:val="BodyText"/>
        <w:spacing w:line="240" w:lineRule="auto" w:before="51"/>
        <w:ind w:right="1032"/>
        <w:jc w:val="left"/>
      </w:pPr>
      <w:r>
        <w:rPr/>
        <w:t>其他说明，包括本期增减变动情况、变动原因说明：</w:t>
      </w:r>
    </w:p>
    <w:p>
      <w:pPr>
        <w:pStyle w:val="BodyText"/>
        <w:spacing w:line="240" w:lineRule="auto" w:before="115"/>
        <w:ind w:right="0"/>
        <w:jc w:val="left"/>
      </w:pPr>
      <w:r>
        <w:rPr/>
        <w:t>根据公司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3"/>
        </w:rPr>
        <w:t>年股东大会，公司以现有总股本</w:t>
      </w:r>
      <w:r>
        <w:rPr>
          <w:spacing w:val="-45"/>
        </w:rPr>
        <w:t> </w:t>
      </w:r>
      <w:r>
        <w:rPr>
          <w:rFonts w:ascii="Times New Roman" w:hAnsi="Times New Roman" w:cs="Times New Roman" w:eastAsia="Times New Roman" w:hint="default"/>
        </w:rPr>
        <w:t>631,019,839</w:t>
      </w:r>
      <w:r>
        <w:rPr>
          <w:rFonts w:ascii="Times New Roman" w:hAnsi="Times New Roman" w:cs="Times New Roman" w:eastAsia="Times New Roman" w:hint="default"/>
          <w:spacing w:val="1"/>
        </w:rPr>
        <w:t> </w:t>
      </w:r>
      <w:r>
        <w:rPr>
          <w:spacing w:val="-4"/>
        </w:rPr>
        <w:t>股为基数，向全体股东每</w:t>
      </w:r>
      <w:r>
        <w:rPr>
          <w:spacing w:val="-45"/>
        </w:rPr>
        <w:t> </w:t>
      </w:r>
      <w:r>
        <w:rPr>
          <w:rFonts w:ascii="Times New Roman" w:hAnsi="Times New Roman" w:cs="Times New Roman" w:eastAsia="Times New Roman" w:hint="default"/>
        </w:rPr>
        <w:t>10 </w:t>
      </w:r>
      <w:r>
        <w:rPr/>
        <w:t>股派</w:t>
      </w:r>
      <w:r>
        <w:rPr>
          <w:spacing w:val="-45"/>
        </w:rPr>
        <w:t> </w:t>
      </w:r>
      <w:r>
        <w:rPr>
          <w:rFonts w:ascii="Times New Roman" w:hAnsi="Times New Roman" w:cs="Times New Roman" w:eastAsia="Times New Roman" w:hint="default"/>
        </w:rPr>
        <w:t>0.500000 </w:t>
      </w:r>
      <w:r>
        <w:rPr>
          <w:spacing w:val="-5"/>
        </w:rPr>
        <w:t>元人民币现金，同时，</w:t>
      </w:r>
    </w:p>
    <w:p>
      <w:pPr>
        <w:pStyle w:val="BodyText"/>
        <w:spacing w:line="240" w:lineRule="auto" w:before="64"/>
        <w:ind w:right="1032"/>
        <w:jc w:val="left"/>
      </w:pPr>
      <w:r>
        <w:rPr/>
        <w:t>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8.00 </w:t>
      </w:r>
      <w:r>
        <w:rPr/>
        <w:t>股，减少本期资本公积</w:t>
      </w:r>
      <w:r>
        <w:rPr>
          <w:spacing w:val="-46"/>
        </w:rPr>
        <w:t> </w:t>
      </w:r>
      <w:r>
        <w:rPr>
          <w:rFonts w:ascii="Times New Roman" w:hAnsi="Times New Roman" w:cs="Times New Roman" w:eastAsia="Times New Roman" w:hint="default"/>
        </w:rPr>
        <w:t>504,815,871.00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0、其他综合收益" w:id="274"/>
      <w:bookmarkEnd w:id="274"/>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46"/>
        <w:gridCol w:w="974"/>
        <w:gridCol w:w="852"/>
        <w:gridCol w:w="1050"/>
        <w:gridCol w:w="852"/>
        <w:gridCol w:w="852"/>
        <w:gridCol w:w="852"/>
        <w:gridCol w:w="852"/>
        <w:gridCol w:w="726"/>
      </w:tblGrid>
      <w:tr>
        <w:trPr>
          <w:trHeight w:val="398" w:hRule="exact"/>
        </w:trPr>
        <w:tc>
          <w:tcPr>
            <w:tcW w:w="2546" w:type="dxa"/>
            <w:vMerge w:val="restart"/>
            <w:tcBorders>
              <w:top w:val="single" w:sz="4" w:space="0" w:color="000000"/>
              <w:left w:val="single" w:sz="4" w:space="0" w:color="000000"/>
              <w:right w:val="single" w:sz="4" w:space="0" w:color="000000"/>
            </w:tcBorders>
            <w:shd w:val="clear" w:color="auto" w:fill="D2D2D2"/>
          </w:tcPr>
          <w:p>
            <w:pPr/>
          </w:p>
        </w:tc>
        <w:tc>
          <w:tcPr>
            <w:tcW w:w="974" w:type="dxa"/>
            <w:vMerge w:val="restart"/>
            <w:tcBorders>
              <w:top w:val="single" w:sz="4" w:space="0" w:color="000000"/>
              <w:left w:val="single" w:sz="4" w:space="0" w:color="000000"/>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vMerge w:val="restart"/>
            <w:tcBorders>
              <w:top w:val="single" w:sz="4" w:space="0" w:color="000000"/>
              <w:left w:val="single" w:sz="4" w:space="0" w:color="000000"/>
              <w:right w:val="single" w:sz="4" w:space="0" w:color="000000"/>
            </w:tcBorders>
            <w:shd w:val="clear" w:color="auto" w:fill="D2D2D2"/>
          </w:tcPr>
          <w:p>
            <w:pPr/>
          </w:p>
        </w:tc>
      </w:tr>
      <w:tr>
        <w:trPr>
          <w:trHeight w:val="167" w:hRule="exact"/>
        </w:trPr>
        <w:tc>
          <w:tcPr>
            <w:tcW w:w="2546"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9" w:right="60"/>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6" w:type="dxa"/>
            <w:vMerge/>
            <w:tcBorders>
              <w:left w:val="single" w:sz="4" w:space="0" w:color="000000"/>
              <w:right w:val="single" w:sz="4" w:space="0" w:color="000000"/>
            </w:tcBorders>
            <w:shd w:val="clear" w:color="auto" w:fill="D2D2D2"/>
          </w:tcPr>
          <w:p>
            <w:pPr/>
          </w:p>
        </w:tc>
      </w:tr>
      <w:tr>
        <w:trPr>
          <w:trHeight w:val="145" w:hRule="exact"/>
        </w:trPr>
        <w:tc>
          <w:tcPr>
            <w:tcW w:w="2546"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6"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6" w:type="dxa"/>
            <w:vMerge/>
            <w:tcBorders>
              <w:left w:val="single" w:sz="4" w:space="0" w:color="000000"/>
              <w:bottom w:val="nil" w:sz="6" w:space="0" w:color="auto"/>
              <w:right w:val="single" w:sz="4" w:space="0" w:color="000000"/>
            </w:tcBorders>
            <w:shd w:val="clear" w:color="auto" w:fill="D2D2D2"/>
          </w:tcPr>
          <w:p>
            <w:pPr/>
          </w:p>
        </w:tc>
        <w:tc>
          <w:tcPr>
            <w:tcW w:w="974"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59"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40"/>
              <w:ind w:left="61"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6"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ind w:left="268" w:right="85"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0" w:hRule="exact"/>
        </w:trPr>
        <w:tc>
          <w:tcPr>
            <w:tcW w:w="25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50" w:right="60"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61"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6" w:type="dxa"/>
            <w:vMerge/>
            <w:tcBorders>
              <w:left w:val="single" w:sz="4" w:space="0" w:color="000000"/>
              <w:right w:val="single" w:sz="4" w:space="0" w:color="000000"/>
            </w:tcBorders>
            <w:shd w:val="clear" w:color="auto" w:fill="D2D2D2"/>
          </w:tcPr>
          <w:p>
            <w:pPr/>
          </w:p>
        </w:tc>
      </w:tr>
      <w:tr>
        <w:trPr>
          <w:trHeight w:val="156" w:hRule="exact"/>
        </w:trPr>
        <w:tc>
          <w:tcPr>
            <w:tcW w:w="2546" w:type="dxa"/>
            <w:vMerge w:val="restart"/>
            <w:tcBorders>
              <w:top w:val="nil" w:sz="6" w:space="0" w:color="auto"/>
              <w:left w:val="single" w:sz="4" w:space="0" w:color="000000"/>
              <w:right w:val="single" w:sz="4" w:space="0" w:color="000000"/>
            </w:tcBorders>
            <w:shd w:val="clear" w:color="auto" w:fill="D2D2D2"/>
          </w:tcPr>
          <w:p>
            <w:pPr/>
          </w:p>
        </w:tc>
        <w:tc>
          <w:tcPr>
            <w:tcW w:w="974"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546"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6"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6"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6" w:type="dxa"/>
            <w:vMerge/>
            <w:tcBorders>
              <w:left w:val="single" w:sz="4" w:space="0" w:color="000000"/>
              <w:right w:val="single" w:sz="4" w:space="0" w:color="000000"/>
            </w:tcBorders>
            <w:shd w:val="clear" w:color="auto" w:fill="D2D2D2"/>
          </w:tcPr>
          <w:p>
            <w:pPr/>
          </w:p>
        </w:tc>
      </w:tr>
      <w:tr>
        <w:trPr>
          <w:trHeight w:val="156" w:hRule="exact"/>
        </w:trPr>
        <w:tc>
          <w:tcPr>
            <w:tcW w:w="2546"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6" w:type="dxa"/>
            <w:vMerge/>
            <w:tcBorders>
              <w:left w:val="single" w:sz="4" w:space="0" w:color="000000"/>
              <w:right w:val="single" w:sz="4" w:space="0" w:color="000000"/>
            </w:tcBorders>
            <w:shd w:val="clear" w:color="auto" w:fill="D2D2D2"/>
          </w:tcPr>
          <w:p>
            <w:pPr/>
          </w:p>
        </w:tc>
      </w:tr>
      <w:tr>
        <w:trPr>
          <w:trHeight w:val="161" w:hRule="exact"/>
        </w:trPr>
        <w:tc>
          <w:tcPr>
            <w:tcW w:w="2546"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-434,468.53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776,587.3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776,587.3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342,118.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162" w:hRule="exact"/>
        </w:trPr>
        <w:tc>
          <w:tcPr>
            <w:tcW w:w="25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-434,468.53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776,587.3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776,587.3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342,118.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391" w:hRule="exact"/>
        </w:trPr>
        <w:tc>
          <w:tcPr>
            <w:tcW w:w="25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r>
      <w:tr>
        <w:trPr>
          <w:trHeight w:val="161" w:hRule="exact"/>
        </w:trPr>
        <w:tc>
          <w:tcPr>
            <w:tcW w:w="25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r>
      <w:tr>
        <w:trPr>
          <w:trHeight w:val="162" w:hRule="exact"/>
        </w:trPr>
        <w:tc>
          <w:tcPr>
            <w:tcW w:w="25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-434,468.53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776,587.3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776,587.3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342,118.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391" w:hRule="exact"/>
        </w:trPr>
        <w:tc>
          <w:tcPr>
            <w:tcW w:w="25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r>
      <w:tr>
        <w:trPr>
          <w:trHeight w:val="162" w:hRule="exact"/>
        </w:trPr>
        <w:tc>
          <w:tcPr>
            <w:tcW w:w="25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1、盈余公积" w:id="275"/>
      <w:bookmarkEnd w:id="275"/>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89,221,946.68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19,574,843.10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108,796,789.78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89,221,946.68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19,574,843.10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108,796,789.78</w:t>
            </w:r>
          </w:p>
        </w:tc>
      </w:tr>
    </w:tbl>
    <w:p>
      <w:pPr>
        <w:pStyle w:val="BodyText"/>
        <w:spacing w:line="240" w:lineRule="auto" w:before="51"/>
        <w:ind w:right="1032"/>
        <w:jc w:val="left"/>
      </w:pPr>
      <w:r>
        <w:rPr/>
        <w:t>盈余公积说明，包括本期增减变动情况、变动原因说明：</w:t>
      </w:r>
    </w:p>
    <w:p>
      <w:pPr>
        <w:pStyle w:val="Heading4"/>
        <w:spacing w:line="240" w:lineRule="auto"/>
        <w:ind w:right="1032"/>
        <w:jc w:val="left"/>
      </w:pPr>
      <w:r>
        <w:rPr/>
        <w:t>根据母公司年度净利润的</w:t>
      </w:r>
      <w:r>
        <w:rPr>
          <w:rFonts w:ascii="Times New Roman" w:hAnsi="Times New Roman" w:cs="Times New Roman" w:eastAsia="Times New Roman" w:hint="default"/>
        </w:rPr>
        <w:t>10%</w:t>
      </w:r>
      <w:r>
        <w:rPr/>
        <w:t>计提法定盈余公积。</w:t>
      </w:r>
    </w:p>
    <w:p>
      <w:pPr>
        <w:spacing w:line="240" w:lineRule="auto" w:before="8"/>
        <w:rPr>
          <w:rFonts w:ascii="宋体" w:hAnsi="宋体" w:cs="宋体" w:eastAsia="宋体" w:hint="default"/>
          <w:sz w:val="24"/>
          <w:szCs w:val="24"/>
        </w:rPr>
      </w:pPr>
    </w:p>
    <w:p>
      <w:pPr>
        <w:pStyle w:val="Heading3"/>
        <w:spacing w:line="240" w:lineRule="auto"/>
        <w:ind w:right="1032"/>
        <w:jc w:val="left"/>
        <w:rPr>
          <w:b w:val="0"/>
          <w:bCs w:val="0"/>
        </w:rPr>
      </w:pPr>
      <w:bookmarkStart w:name="32、未分配利润" w:id="276"/>
      <w:bookmarkEnd w:id="276"/>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820,462,519.05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595,239,048.32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820,462,519.05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595,239,048.32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295,421,303.89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249,291,729.69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19,574,843.10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9,818,258.96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31,550,991.95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1,064,757,987.89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820,462,519.05</w:t>
            </w:r>
          </w:p>
        </w:tc>
      </w:tr>
    </w:tbl>
    <w:p>
      <w:pPr>
        <w:pStyle w:val="BodyText"/>
        <w:spacing w:line="240" w:lineRule="auto" w:before="51"/>
        <w:ind w:right="1032"/>
        <w:jc w:val="left"/>
      </w:pPr>
      <w:r>
        <w:rPr/>
        <w:t>调整期初未分配利润明细：</w:t>
      </w:r>
    </w:p>
    <w:p>
      <w:pPr>
        <w:pStyle w:val="BodyText"/>
        <w:spacing w:line="240" w:lineRule="auto" w:before="117"/>
        <w:ind w:right="1032"/>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03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32"/>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03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3、营业收入和营业成本" w:id="277"/>
      <w:bookmarkEnd w:id="277"/>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2,861,853,981.96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2,102,384,527.69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2,349,737,541.95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1,722,609,372.69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203,273,076.54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147,850,915.43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155,856,370.54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116,712,763.57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3,065,127,058.50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2,250,235,443.12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2,505,593,912.49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1,839,322,136.26</w:t>
            </w:r>
          </w:p>
        </w:tc>
      </w:tr>
    </w:tbl>
    <w:p>
      <w:pPr>
        <w:pStyle w:val="BodyText"/>
        <w:spacing w:line="357" w:lineRule="auto" w:before="51"/>
        <w:ind w:right="8772"/>
        <w:jc w:val="left"/>
      </w:pPr>
      <w:r>
        <w:rPr/>
        <w:t>收入相关信息： 与履约义务相关的信息： 无</w:t>
      </w:r>
    </w:p>
    <w:p>
      <w:pPr>
        <w:pStyle w:val="BodyText"/>
        <w:spacing w:line="240" w:lineRule="auto" w:before="29"/>
        <w:ind w:right="1032"/>
        <w:jc w:val="left"/>
      </w:pPr>
      <w:r>
        <w:rPr/>
        <w:t>与分摊至剩余履约义务的交易价格相关的信息：</w:t>
      </w:r>
    </w:p>
    <w:p>
      <w:pPr>
        <w:pStyle w:val="BodyText"/>
        <w:spacing w:line="302" w:lineRule="auto" w:before="116"/>
        <w:ind w:right="1167"/>
        <w:jc w:val="left"/>
      </w:pPr>
      <w:r>
        <w:rPr/>
        <w:t>本报告期末已签订合同、但尚未履行或尚未履行完毕的履约义务所对应的收入金额为</w:t>
      </w:r>
      <w:r>
        <w:rPr>
          <w:spacing w:val="-45"/>
        </w:rPr>
        <w:t> </w:t>
      </w:r>
      <w:r>
        <w:rPr>
          <w:rFonts w:ascii="Times New Roman" w:hAnsi="Times New Roman" w:cs="Times New Roman" w:eastAsia="Times New Roman" w:hint="default"/>
        </w:rPr>
        <w:t>0.00 </w:t>
      </w:r>
      <w:r>
        <w:rPr/>
        <w:t>元，其中，元预计将于年度确认 收入，元预计将于年度确认收入，元预计将于年度确认收入。</w:t>
      </w:r>
    </w:p>
    <w:p>
      <w:pPr>
        <w:pStyle w:val="BodyText"/>
        <w:spacing w:line="240" w:lineRule="auto" w:before="69"/>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4、税金及附加" w:id="278"/>
      <w:bookmarkEnd w:id="278"/>
      <w:r>
        <w:rPr>
          <w:b w:val="0"/>
          <w:bCs w:val="0"/>
        </w:rPr>
      </w:r>
      <w:r>
        <w:rPr>
          <w:rFonts w:ascii="Times New Roman" w:hAnsi="Times New Roman" w:cs="Times New Roman" w:eastAsia="Times New Roman" w:hint="default"/>
        </w:rPr>
        <w:t>34</w:t>
      </w:r>
      <w:r>
        <w:rPr/>
        <w:t>、税金及附加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1,219,657.81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856,636.48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1,325,931.45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1,510,444.37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4,860,550.83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3,484,897.08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4,401,070.00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3,682,049.84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1,732,265.75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1,952,475.37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819,907.56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336,525.23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55,350.28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14,695,908.63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11,541,853.42</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5、销售费用" w:id="279"/>
      <w:bookmarkEnd w:id="279"/>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24,858,575.93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21,452,781.27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11,613,380.57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9,320,303.89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4,832,283.55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4,821,306.75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2,365,273.56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1,837,319.16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2,188,462.65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2,274,133.09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3,089,997.39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1,486,514.75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1,909,728.73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1,916,400.15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3,360,445.15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2,246,304.08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7,855,588.54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4,178,553.55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62,073,736.07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49,533,616.69</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6、管理费用" w:id="280"/>
      <w:bookmarkEnd w:id="280"/>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89,504,747.15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78,691,341.99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17,609,976.99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14,060,395.05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17,469,197.52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13,072,060.05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9,699,993.12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7,404,203.75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17,084,077.41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16,741,028.02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8,889,173.01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5,443,630.13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4,194,233.95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6,848,109.57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37,969,275.47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23,166,479.89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202,420,674.62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165,427,248.45</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7、研发费用" w:id="281"/>
      <w:bookmarkEnd w:id="281"/>
      <w:r>
        <w:rPr>
          <w:b w:val="0"/>
          <w:bCs w:val="0"/>
        </w:rPr>
      </w:r>
      <w:r>
        <w:rPr>
          <w:rFonts w:ascii="Times New Roman" w:hAnsi="Times New Roman" w:cs="Times New Roman" w:eastAsia="Times New Roman" w:hint="default"/>
        </w:rPr>
        <w:t>37</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64,630,555.73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59,681,289.04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55,597,800.76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48,638,402.17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19,565,758.55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9,913,424.19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委托外部研发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310,092.53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140,104,207.57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118,333,115.40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8、财务费用" w:id="282"/>
      <w:bookmarkEnd w:id="282"/>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44,843,347.70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20,392,970.69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1,496,043.00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1,030,641.47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-6,156,804.09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9,853,900.02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票据贴现支出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873,946.35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322,718.56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1,900,265.93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944,936.94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39,964,712.89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30,483,884.74</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9、资产减值损失" w:id="283"/>
      <w:bookmarkEnd w:id="283"/>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8,647,451.38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9,747,293.61</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1"/>
              <w:jc w:val="left"/>
              <w:rPr>
                <w:rFonts w:ascii="宋体" w:hAnsi="宋体" w:cs="宋体" w:eastAsia="宋体" w:hint="default"/>
                <w:sz w:val="18"/>
                <w:szCs w:val="18"/>
              </w:rPr>
            </w:pPr>
            <w:r>
              <w:rPr>
                <w:rFonts w:ascii="宋体" w:hAnsi="宋体" w:cs="宋体" w:eastAsia="宋体" w:hint="default"/>
                <w:sz w:val="18"/>
                <w:szCs w:val="18"/>
              </w:rPr>
              <w:t>二、存货跌价损失及合同履约成本减值 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10,653,699.65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5,226,149.08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84,261,300.00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103,562,451.03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14,973,442.69</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0、其他收益" w:id="284"/>
      <w:bookmarkEnd w:id="284"/>
      <w:r>
        <w:rPr>
          <w:b w:val="0"/>
          <w:bCs w:val="0"/>
        </w:rPr>
      </w:r>
      <w:r>
        <w:rPr>
          <w:rFonts w:ascii="Times New Roman" w:hAnsi="Times New Roman" w:cs="Times New Roman" w:eastAsia="Times New Roman" w:hint="default"/>
        </w:rPr>
        <w:t>40</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市级重点技改补助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128,216.00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山阳镇人民政府财政扶持资金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收标准化推进专项资金项目经费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年节能技术改造财政奖励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15,217,020.00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10,120,695.60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物流及过路费补贴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新上重大项目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416,666.67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土地使用税专项补助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2,839,200.00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工业经济奖励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外贸奖励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江苏超纤转型升级专项资金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年企业研究开发资助金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年高新技术企业资补奖金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自主创新产业发展专项扶持基金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208,740.00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208,740.00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1、投资收益" w:id="285"/>
      <w:bookmarkEnd w:id="285"/>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-1,874,884.56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-2,570,655.56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10,089,719.46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4,087,032.04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-2,147,500.00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-5,038,810.35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319,624.05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6,386,958.95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-3,522,433.87</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2、公允价值变动收益" w:id="286"/>
      <w:bookmarkEnd w:id="286"/>
      <w:r>
        <w:rPr>
          <w:b w:val="0"/>
          <w:bCs w:val="0"/>
        </w:rPr>
      </w:r>
      <w:r>
        <w:rPr>
          <w:rFonts w:ascii="Times New Roman" w:hAnsi="Times New Roman" w:cs="Times New Roman" w:eastAsia="Times New Roman" w:hint="default"/>
        </w:rPr>
        <w:t>42</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82,714,270.60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-3,518,534.90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82,714,270.60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-3,518,534.90</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3、资产处置收益" w:id="287"/>
      <w:bookmarkEnd w:id="287"/>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-67,879.92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44、营业外收入" w:id="288"/>
      <w:bookmarkEnd w:id="288"/>
      <w:r>
        <w:rPr>
          <w:b w:val="0"/>
          <w:bCs w:val="0"/>
        </w:rPr>
      </w:r>
      <w:r>
        <w:rPr>
          <w:rFonts w:ascii="Times New Roman" w:hAnsi="Times New Roman" w:cs="Times New Roman" w:eastAsia="Times New Roman" w:hint="default"/>
        </w:rPr>
        <w:t>44</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55,181.19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157,404.20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55,181.19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253,261.94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673,818.98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389,525.28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673,818.98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729,000.17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800,191.42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新技术企业 倍增一次性 补贴款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威富通稳岗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55,181.19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57,404.20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pStyle w:val="BodyText"/>
        <w:spacing w:line="240" w:lineRule="auto" w:before="116"/>
        <w:ind w:right="103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号，根据深圳市社会保险基金管理局《关于深圳市</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年度稳岗补贴你发放的企业信息公示》的相</w:t>
      </w:r>
    </w:p>
    <w:p>
      <w:pPr>
        <w:pStyle w:val="BodyText"/>
        <w:spacing w:line="240" w:lineRule="auto" w:before="64"/>
        <w:ind w:right="1032"/>
        <w:jc w:val="left"/>
      </w:pPr>
      <w:r>
        <w:rPr/>
        <w:t>关规定，本公司收到</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年度稳岗补贴款</w:t>
      </w:r>
      <w:r>
        <w:rPr>
          <w:spacing w:val="-46"/>
        </w:rPr>
        <w:t> </w:t>
      </w:r>
      <w:r>
        <w:rPr>
          <w:rFonts w:ascii="Times New Roman" w:hAnsi="Times New Roman" w:cs="Times New Roman" w:eastAsia="Times New Roman" w:hint="default"/>
        </w:rPr>
        <w:t>47,464.40 </w:t>
      </w:r>
      <w:r>
        <w:rPr/>
        <w:t>元。</w:t>
      </w:r>
    </w:p>
    <w:p>
      <w:pPr>
        <w:pStyle w:val="BodyText"/>
        <w:spacing w:line="240" w:lineRule="auto" w:before="101"/>
        <w:ind w:right="103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日，根据《深圳市人力资源和社会保障局深圳市财政委员会关于做好失业保险支持企业稳定工作岗位</w:t>
      </w:r>
    </w:p>
    <w:p>
      <w:pPr>
        <w:pStyle w:val="BodyText"/>
        <w:spacing w:line="240" w:lineRule="auto" w:before="64"/>
        <w:ind w:right="1032"/>
        <w:jc w:val="left"/>
      </w:pPr>
      <w:r>
        <w:rPr/>
        <w:t>的通知</w:t>
      </w:r>
      <w:r>
        <w:rPr>
          <w:spacing w:val="-90"/>
        </w:rPr>
        <w:t>》</w:t>
      </w:r>
      <w:r>
        <w:rPr/>
        <w:t>，智富通收到</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1"/>
        </w:rPr>
        <w:t>年</w:t>
      </w:r>
      <w:r>
        <w:rPr/>
        <w:t>度稳岗补贴</w:t>
      </w:r>
      <w:r>
        <w:rPr>
          <w:spacing w:val="-46"/>
        </w:rPr>
        <w:t> </w:t>
      </w:r>
      <w:r>
        <w:rPr>
          <w:rFonts w:ascii="Times New Roman" w:hAnsi="Times New Roman" w:cs="Times New Roman" w:eastAsia="Times New Roman" w:hint="default"/>
        </w:rPr>
        <w:t>5,203,79 </w:t>
      </w:r>
      <w:r>
        <w:rPr/>
        <w:t>元。</w:t>
      </w:r>
    </w:p>
    <w:p>
      <w:pPr>
        <w:pStyle w:val="BodyText"/>
        <w:spacing w:line="240" w:lineRule="auto" w:before="101"/>
        <w:ind w:right="103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日，根据《深圳市人力资源和社会保障局深圳市财政委员会关于做好失业保险支持企业稳定工作岗位</w:t>
      </w:r>
    </w:p>
    <w:p>
      <w:pPr>
        <w:pStyle w:val="BodyText"/>
        <w:spacing w:line="240" w:lineRule="auto" w:before="64"/>
        <w:ind w:right="1032"/>
        <w:jc w:val="left"/>
      </w:pPr>
      <w:r>
        <w:rPr/>
        <w:t>的通知</w:t>
      </w:r>
      <w:r>
        <w:rPr>
          <w:spacing w:val="-90"/>
        </w:rPr>
        <w:t>》</w:t>
      </w:r>
      <w:r>
        <w:rPr/>
        <w:t>，白龙移动收到</w:t>
      </w:r>
      <w:r>
        <w:rPr>
          <w:spacing w:val="-46"/>
        </w:rPr>
        <w:t> </w:t>
      </w:r>
      <w:r>
        <w:rPr>
          <w:rFonts w:ascii="Times New Roman" w:hAnsi="Times New Roman" w:cs="Times New Roman" w:eastAsia="Times New Roman" w:hint="default"/>
        </w:rPr>
        <w:t>2018 </w:t>
      </w:r>
      <w:r>
        <w:rPr/>
        <w:t>年度稳岗补贴</w:t>
      </w:r>
      <w:r>
        <w:rPr>
          <w:spacing w:val="-46"/>
        </w:rPr>
        <w:t> </w:t>
      </w:r>
      <w:r>
        <w:rPr>
          <w:rFonts w:ascii="Times New Roman" w:hAnsi="Times New Roman" w:cs="Times New Roman" w:eastAsia="Times New Roman" w:hint="default"/>
        </w:rPr>
        <w:t>2,512.82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1032"/>
        <w:jc w:val="left"/>
        <w:rPr>
          <w:b w:val="0"/>
          <w:bCs w:val="0"/>
        </w:rPr>
      </w:pPr>
      <w:bookmarkStart w:name="45、营业外支出" w:id="289"/>
      <w:bookmarkEnd w:id="289"/>
      <w:r>
        <w:rPr>
          <w:b w:val="0"/>
          <w:bCs w:val="0"/>
        </w:rPr>
      </w:r>
      <w:r>
        <w:rPr>
          <w:rFonts w:ascii="Times New Roman" w:hAnsi="Times New Roman" w:cs="Times New Roman" w:eastAsia="Times New Roman" w:hint="default"/>
        </w:rPr>
        <w:t>45</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657,274.83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657,274.83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200,913.93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77,881.33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200,913.93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1,108,188.76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816,383.29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46、所得税费用" w:id="290"/>
      <w:bookmarkEnd w:id="290"/>
      <w:r>
        <w:rPr>
          <w:b w:val="0"/>
          <w:bCs w:val="0"/>
        </w:rPr>
      </w:r>
      <w:r>
        <w:rPr>
          <w:rFonts w:ascii="Times New Roman" w:hAnsi="Times New Roman" w:cs="Times New Roman" w:eastAsia="Times New Roman" w:hint="default"/>
        </w:rPr>
        <w:t>46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所得税费用表" w:id="291"/>
      <w:bookmarkEnd w:id="29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37,778,005.79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28,033,870.30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31,329,816.67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7,769,343.03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69,107,822.46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35,803,213.33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会计利润与所得税费用调整过程" w:id="292"/>
      <w:bookmarkEnd w:id="29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370,622,512.28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58,354,864.99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-7,211,009.03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-328,388.94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-490,500.00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6,735,074.82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-322,480.74</w:t>
            </w:r>
            <w:r>
              <w:rPr>
                <w:rFonts w:ascii="Times New Roman"/>
                <w:sz w:val="18"/>
              </w:rPr>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856,451.11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-13,699,174.06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20,221,934.04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权益法投资收益的影响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197,194.16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69,107,822.46</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7、现金流量表项目" w:id="293"/>
      <w:bookmarkEnd w:id="293"/>
      <w:r>
        <w:rPr>
          <w:b w:val="0"/>
          <w:bCs w:val="0"/>
        </w:rPr>
      </w:r>
      <w:r>
        <w:rPr>
          <w:rFonts w:ascii="Times New Roman" w:hAnsi="Times New Roman" w:cs="Times New Roman" w:eastAsia="Times New Roman" w:hint="default"/>
        </w:rPr>
        <w:t>47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收到的其他与经营活动有关的现金" w:id="294"/>
      <w:bookmarkEnd w:id="29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28,429,548.37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9,244,820.20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1,496,043.00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1,030,641.47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收回的备用金及保证金等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26,237,532.20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3,350,600.78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671,966.80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789,132.97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56,835,090.37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14,415,195.42</w:t>
            </w:r>
          </w:p>
        </w:tc>
      </w:tr>
    </w:tbl>
    <w:p>
      <w:pPr>
        <w:pStyle w:val="BodyText"/>
        <w:spacing w:line="240" w:lineRule="auto" w:before="51"/>
        <w:ind w:right="1032"/>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支付的其他与经营活动有关的现金" w:id="295"/>
      <w:bookmarkEnd w:id="29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77,791,395.20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64,675,090.86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20,615,803.60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15,283,825.41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运输装卸保险等费用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9,781,466.30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7,604,233.88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11,254,446.57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7,280,949.29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14,661,167.59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2,787,687.45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7,996,651.51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4,978,388.06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15,051,418.80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16,681,825.93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4,194,233.95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6,848,109.57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2,179,103.37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2,131,876.52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1,836,490.09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944,936.94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支付的备用金及保证金等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13,520,025.73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4,122,968.23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31,886,544.41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15,180,859.02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210,768,747.12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148,520,751.16</w:t>
            </w:r>
          </w:p>
        </w:tc>
      </w:tr>
    </w:tbl>
    <w:p>
      <w:pPr>
        <w:pStyle w:val="BodyText"/>
        <w:spacing w:line="240" w:lineRule="auto" w:before="51"/>
        <w:ind w:right="1032"/>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3）收到的其他与投资活动有关的现金" w:id="296"/>
      <w:bookmarkEnd w:id="29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w:t>
            </w:r>
          </w:p>
        </w:tc>
      </w:tr>
    </w:tbl>
    <w:p>
      <w:pPr>
        <w:pStyle w:val="BodyText"/>
        <w:spacing w:line="240" w:lineRule="auto" w:before="51"/>
        <w:ind w:right="1032"/>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支付的其他与投资活动有关的现金" w:id="297"/>
      <w:bookmarkEnd w:id="29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11,900,931.32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69,845,353.56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11,900,931.32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69,845,353.56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收到的其他与筹资活动有关的现金" w:id="298"/>
      <w:bookmarkEnd w:id="29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利率掉期交易到期收回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120,716,885.00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115,020,500.00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1,153,716,885.00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325,020,500.00</w:t>
            </w:r>
          </w:p>
        </w:tc>
      </w:tr>
    </w:tbl>
    <w:p>
      <w:pPr>
        <w:pStyle w:val="BodyText"/>
        <w:spacing w:line="240" w:lineRule="auto" w:before="51"/>
        <w:ind w:right="1032"/>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6）支付的其他与筹资活动有关的现金" w:id="299"/>
      <w:bookmarkEnd w:id="29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利率掉期交易支付的美元存款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63,091,885.00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票据贴现支出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873,946.35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322,718.56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非公开发行保荐费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397,998,946.35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203,414,603.56</w:t>
            </w:r>
          </w:p>
        </w:tc>
      </w:tr>
    </w:tbl>
    <w:p>
      <w:pPr>
        <w:pStyle w:val="BodyText"/>
        <w:spacing w:line="240" w:lineRule="auto" w:before="51"/>
        <w:ind w:right="1032"/>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8、现金流量表补充资料" w:id="300"/>
      <w:bookmarkEnd w:id="300"/>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现金流量表补充资料" w:id="301"/>
      <w:bookmarkEnd w:id="30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301,514,689.82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255,805,092.47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103,562,451.03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14,973,442.69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263,979,443.08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201,104,938.51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8,339,567.86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7,404,203.75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2,966,188.65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621,757.73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67,879.92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-214,759.98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657,274.83</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32.209976pt;width:151.25pt;height:40.9pt;mso-position-horizontal-relative:page;mso-position-vertical-relative:page;z-index:-946480" coordorigin="4467,2644" coordsize="3025,818">
            <v:group style="position:absolute;left:4478;top:2656;width:2;height:393" coordorigin="4478,2656" coordsize="2,393">
              <v:shape style="position:absolute;left:4478;top:2656;width:2;height:393" coordorigin="4478,2656" coordsize="0,393" path="m4478,2656l4478,3048e" filled="false" stroked="true" strokeweight="1.140pt" strokecolor="#ffffff">
                <v:path arrowok="t"/>
              </v:shape>
            </v:group>
            <v:group style="position:absolute;left:4490;top:2656;width:3002;height:393" coordorigin="4490,2656" coordsize="3002,393">
              <v:shape style="position:absolute;left:4490;top:2656;width:3002;height:393" coordorigin="4490,2656" coordsize="3002,393" path="m4490,3048l7491,3048,7491,2656,4490,2656,4490,3048xe" filled="true" fillcolor="#ffffff" stroked="false">
                <v:path arrowok="t"/>
                <v:fill type="solid"/>
              </v:shape>
            </v:group>
            <v:group style="position:absolute;left:4478;top:3058;width:2;height:393" coordorigin="4478,3058" coordsize="2,393">
              <v:shape style="position:absolute;left:4478;top:3058;width:2;height:393" coordorigin="4478,3058" coordsize="0,393" path="m4478,3058l4478,3450e" filled="false" stroked="true" strokeweight="1.140pt" strokecolor="#ffffff">
                <v:path arrowok="t"/>
              </v:shape>
            </v:group>
            <v:group style="position:absolute;left:4490;top:3058;width:3002;height:393" coordorigin="4490,3058" coordsize="3002,393">
              <v:shape style="position:absolute;left:4490;top:3058;width:3002;height:393" coordorigin="4490,3058" coordsize="3002,393" path="m4490,3450l7491,3450,7491,3058,4490,3058,4490,345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40"/>
        <w:gridCol w:w="202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-82,714,270.60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3,518,534.90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41,856,789.47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28,906,406.18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-6,386,958.95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3,522,433.87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19,450,456.31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8,051,947.68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11,879,360.36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-282,604.65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-33,249,179.80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-148,087,359.65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-545,772,327.27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-154,025,402.90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24,040,993.10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-29,439,917.83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-1,521,546.67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-13,599,435.60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108,670,811.14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178,259,277.17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310,759,152.68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222,991,193.57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222,991,193.57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101,918,748.81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87,767,959.11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121,072,444.76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现金和现金等价物的构成" w:id="302"/>
      <w:bookmarkEnd w:id="30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310,759,152.68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222,991,193.57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108,835.87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132,593.54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310,650,316.81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222,858,600.03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310,759,152.68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222,991,193.57</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9、所有权或使用权受到限制的资产" w:id="303"/>
      <w:bookmarkEnd w:id="303"/>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6,029,766.12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112,876,252.24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168,764,623.65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287,670,642.01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50、外币货币性项目" w:id="304"/>
      <w:bookmarkEnd w:id="304"/>
      <w:r>
        <w:rPr>
          <w:b w:val="0"/>
          <w:bCs w:val="0"/>
        </w:rPr>
      </w:r>
      <w:r>
        <w:rPr>
          <w:rFonts w:ascii="Times New Roman" w:hAnsi="Times New Roman" w:cs="Times New Roman" w:eastAsia="Times New Roman" w:hint="default"/>
        </w:rPr>
        <w:t>50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外币货币性项目" w:id="305"/>
      <w:bookmarkEnd w:id="30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8,938,930.27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61,349,666.23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42,169.04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330,913.11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46,187,695.51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40,469,658.81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243,335.00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15,059.27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54,145.71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261,253.05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50,332.43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52,939,498.76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6,274,185.37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43,060,989.03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24,265.89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10,757,228.24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9,425,483.38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22,036.68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106,326.98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671,956.46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0.1308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87,891.90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42,080.38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212,005.16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1,597.29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8,791.78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阿联酋迪拉姆</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1.8679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12,147.35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right="1032"/>
        <w:jc w:val="left"/>
        <w:rPr>
          <w:b w:val="0"/>
          <w:bCs w:val="0"/>
        </w:rPr>
      </w:pPr>
      <w:bookmarkStart w:name="（2）境外经营实体说明，包括对于重要的境外经营实体，应披露其境外主要经营地、记账" w:id="306"/>
      <w:bookmarkEnd w:id="30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32"/>
        <w:jc w:val="left"/>
        <w:rPr>
          <w:b w:val="0"/>
          <w:bCs w:val="0"/>
        </w:rPr>
      </w:pPr>
      <w:bookmarkStart w:name="八、合并范围的变更" w:id="307"/>
      <w:bookmarkEnd w:id="307"/>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处置子公司" w:id="308"/>
      <w:bookmarkEnd w:id="308"/>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是否存在单次处置对子公司投资即丧失控制权的情形</w:t>
      </w:r>
    </w:p>
    <w:p>
      <w:pPr>
        <w:pStyle w:val="BodyText"/>
        <w:spacing w:line="340"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其他原因的合并范围变动" w:id="309"/>
      <w:bookmarkEnd w:id="309"/>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说明其他原因导致的合并范围变动（如，新设子公司、清算子公司等）及其相关情况：</w:t>
      </w:r>
    </w:p>
    <w:p>
      <w:pPr>
        <w:pStyle w:val="BodyText"/>
        <w:spacing w:line="307" w:lineRule="auto" w:before="116"/>
        <w:ind w:left="868" w:right="1038"/>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月，威富通成立威富通（香港）科技有限公司，投资总额为港币</w:t>
      </w:r>
      <w:r>
        <w:rPr>
          <w:rFonts w:ascii="Times New Roman" w:hAnsi="Times New Roman" w:cs="Times New Roman" w:eastAsia="Times New Roman" w:hint="default"/>
          <w:spacing w:val="-3"/>
        </w:rPr>
        <w:t>5000</w:t>
      </w:r>
      <w:r>
        <w:rPr>
          <w:spacing w:val="-3"/>
        </w:rPr>
        <w:t>万元。本公司持有威富通香港</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12"/>
        </w:rPr>
        <w:t> </w:t>
      </w:r>
      <w:r>
        <w:rPr/>
        <w:t>的股权。公司从威富通香港设立之日起将其纳入合并会计报表范围。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月，威富通与深圳市微智投资咨询中心合伙企业共同投资成立联银通富，投资总额为人民币</w:t>
      </w:r>
      <w:r>
        <w:rPr>
          <w:rFonts w:ascii="Times New Roman" w:hAnsi="Times New Roman" w:cs="Times New Roman" w:eastAsia="Times New Roman" w:hint="default"/>
        </w:rPr>
        <w:t>3250</w:t>
      </w:r>
      <w:r>
        <w:rPr/>
        <w:t>万元。 本公司认购并持有联银通富</w:t>
      </w:r>
      <w:r>
        <w:rPr>
          <w:rFonts w:ascii="Times New Roman" w:hAnsi="Times New Roman" w:cs="Times New Roman" w:eastAsia="Times New Roman" w:hint="default"/>
        </w:rPr>
        <w:t>53.85%</w:t>
      </w:r>
      <w:r>
        <w:rPr/>
        <w:t>的股权。公司从联银通富设立之日起将其纳入合并会计报表范围。</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1032"/>
        <w:jc w:val="left"/>
        <w:rPr>
          <w:b w:val="0"/>
          <w:bCs w:val="0"/>
        </w:rPr>
      </w:pPr>
      <w:bookmarkStart w:name="九、在其他主体中的权益" w:id="310"/>
      <w:bookmarkEnd w:id="31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在子公司中的权益" w:id="311"/>
      <w:bookmarkEnd w:id="31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企业集团的构成" w:id="312"/>
      <w:bookmarkEnd w:id="31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跨境通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购购通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智付通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白龙移动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智易信息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威富通香港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联银通富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40" w:lineRule="auto" w:before="26"/>
        <w:ind w:right="1032"/>
        <w:jc w:val="left"/>
      </w:pPr>
      <w:r>
        <w:rPr/>
        <w:t>确定公司是代理人还是委托人的依据：</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重要的非全资子公司" w:id="313"/>
      <w:bookmarkEnd w:id="31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智付通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204,706.73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3,497,837.50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1,455,061.59</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智易信息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6,403,177.02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5,037,733.76</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3）重要非全资子公司的主要财务信息" w:id="314"/>
      <w:bookmarkEnd w:id="31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智付通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6,576,35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11,080.6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6,323,69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1,737,23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5.04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1,690,49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18,841,2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3,477.32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18,844,6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3,017,39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3,017,39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0.61</w:t>
            </w:r>
          </w:p>
        </w:tc>
      </w:tr>
      <w:tr>
        <w:trPr>
          <w:trHeight w:val="71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智易信 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21,784,2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56.95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1,955.63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21,796,4</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34.11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4,993,76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6.73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4,993,76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1,001,44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1,001,50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智付通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10,747,068.2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682,355.77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-5,667,083.05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39,716,151.9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26,871,468.7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22,432,122.0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智易信息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30,097,449.7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21,343,923.4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25,454,870.3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994,158.87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448,522.45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997,238.05</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使用企业集团资产和清偿企业集团债务的重大限制" w:id="315"/>
      <w:bookmarkEnd w:id="31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2"/>
        <w:jc w:val="left"/>
        <w:rPr>
          <w:b w:val="0"/>
          <w:bCs w:val="0"/>
        </w:rPr>
      </w:pPr>
      <w:bookmarkStart w:name="（5）向纳入合并财务报表范围的结构化主体提供的财务支持或其他支持" w:id="316"/>
      <w:bookmarkEnd w:id="31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2"/>
        <w:jc w:val="left"/>
      </w:pPr>
      <w:r>
        <w:rPr/>
        <w:t>无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在子公司的所有者权益份额发生变化且仍控制子公司的交易" w:id="317"/>
      <w:bookmarkEnd w:id="31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在子公司所有者权益份额发生变化的情况说明" w:id="318"/>
      <w:bookmarkEnd w:id="31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32"/>
        <w:jc w:val="left"/>
        <w:rPr>
          <w:b w:val="0"/>
          <w:bCs w:val="0"/>
        </w:rPr>
      </w:pPr>
      <w:bookmarkStart w:name="3、在合营安排或联营企业中的权益" w:id="319"/>
      <w:bookmarkEnd w:id="3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重要的合营企业或联营企业" w:id="320"/>
      <w:bookmarkEnd w:id="3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1032"/>
        <w:jc w:val="left"/>
      </w:pPr>
      <w:r>
        <w:rPr/>
        <w:t>在合营企业或联营企业的持股比例不同于表决权比例的说明：</w:t>
      </w:r>
    </w:p>
    <w:p>
      <w:pPr>
        <w:pStyle w:val="BodyText"/>
        <w:spacing w:line="240" w:lineRule="auto" w:before="116"/>
        <w:ind w:right="1032"/>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2）重要合营企业的主要财务信息" w:id="321"/>
      <w:bookmarkEnd w:id="3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192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世明科技</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4,780,535.35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4,632,444.16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1,366,331.05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2,713,977.21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2,136,870.39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2,156,678.86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7,907,521.50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2,142,419.12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4,634,196.19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3,523,009.91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2,551,524.31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20,709.45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828,142.76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1,041,966.85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1,655,375.67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20,709.45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828,142.76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1,041,966.85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4,942,988.25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2,121,709.67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3,806,053.43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2,481,043.06</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988,597.65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530,427.42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761,210.69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620,260.77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-1,449,275.86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-369,999.80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-1,449,275.86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-369,999.80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-1,499,999.99</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965,908.77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1,979,703.28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1,131,210.49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2,120,260.76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11,035,136.69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977,664.70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8,353,786.12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10,460.66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1,136,934.82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-517,993.34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2,997,841.70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-3,518,956.94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1,136,934.82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-517,993.34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2,997,841.70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-3,518,956.94</w:t>
            </w:r>
          </w:p>
        </w:tc>
      </w:tr>
    </w:tbl>
    <w:p>
      <w:pPr>
        <w:pStyle w:val="BodyText"/>
        <w:spacing w:line="240" w:lineRule="auto" w:before="51"/>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不重要的合营企业和联营企业的汇总财务信息" w:id="322"/>
      <w:bookmarkEnd w:id="322"/>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5,829,978.52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3,919,797.56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-1,465,749.43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-9,714,567.77</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-1,465,749.43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-9,714,567.77</w:t>
            </w:r>
          </w:p>
        </w:tc>
      </w:tr>
    </w:tbl>
    <w:p>
      <w:pPr>
        <w:pStyle w:val="BodyText"/>
        <w:spacing w:line="240" w:lineRule="auto" w:before="51"/>
        <w:ind w:right="10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4、在未纳入合并财务报表范围的结构化主体中的权益" w:id="323"/>
      <w:bookmarkEnd w:id="323"/>
      <w:r>
        <w:rPr>
          <w:b w:val="0"/>
          <w:bCs w:val="0"/>
        </w:rPr>
      </w: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未纳入合并财务报表范围的结构化主体的相关说明： 无</w:t>
      </w:r>
    </w:p>
    <w:p>
      <w:pPr>
        <w:spacing w:line="240" w:lineRule="auto" w:before="5"/>
        <w:rPr>
          <w:rFonts w:ascii="宋体" w:hAnsi="宋体" w:cs="宋体" w:eastAsia="宋体" w:hint="default"/>
          <w:sz w:val="18"/>
          <w:szCs w:val="18"/>
        </w:rPr>
      </w:pPr>
    </w:p>
    <w:p>
      <w:pPr>
        <w:pStyle w:val="Heading2"/>
        <w:spacing w:line="240" w:lineRule="auto"/>
        <w:ind w:right="1032"/>
        <w:jc w:val="left"/>
        <w:rPr>
          <w:b w:val="0"/>
          <w:bCs w:val="0"/>
        </w:rPr>
      </w:pPr>
      <w:bookmarkStart w:name="十、关联方及关联交易" w:id="324"/>
      <w:bookmarkEnd w:id="324"/>
      <w:r>
        <w:rPr>
          <w:b w:val="0"/>
          <w:bCs w:val="0"/>
        </w:rPr>
      </w:r>
      <w:r>
        <w:rPr/>
        <w:t>十、关联方及关联交易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本企业的母公司情况" w:id="325"/>
      <w:bookmarkEnd w:id="32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浙江省瑞安市莘塍 工业园区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138,680.00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r>
    </w:tbl>
    <w:p>
      <w:pPr>
        <w:pStyle w:val="BodyText"/>
        <w:spacing w:line="360" w:lineRule="auto" w:before="51"/>
        <w:ind w:right="8412"/>
        <w:jc w:val="left"/>
      </w:pPr>
      <w:r>
        <w:rPr/>
        <w:t>本企业的母公司情况的说明 本企业最终控制方是。 其他说明：</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2、本企业的子公司情况" w:id="326"/>
      <w:bookmarkEnd w:id="32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本企业子公司的情况详见附注在其他主体中的权益。</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本企业合营和联营企业情况" w:id="327"/>
      <w:bookmarkEnd w:id="32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2"/>
        <w:jc w:val="left"/>
      </w:pPr>
      <w:r>
        <w:rPr/>
        <w:t>本企业重要的合营或联营企业详见附注在其他主体中的权益。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4、其他关联方情况" w:id="328"/>
      <w:bookmarkEnd w:id="32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重庆华峰化工有限公司（以下简称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重庆华峰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华峰创享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深圳市希玛特识别系统有限公司（以下简称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希玛特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公司关键管理人员控制的其他企业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公司关键管理人员控制的其他企业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公司关键管理人员</w:t>
            </w:r>
          </w:p>
        </w:tc>
      </w:tr>
    </w:tbl>
    <w:p>
      <w:pPr>
        <w:pStyle w:val="BodyText"/>
        <w:spacing w:line="240" w:lineRule="auto" w:before="51"/>
        <w:ind w:right="10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5、关联交易情况" w:id="329"/>
      <w:bookmarkEnd w:id="32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购销商品、提供和接受劳务的关联交易" w:id="330"/>
      <w:bookmarkEnd w:id="33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重庆华峰</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34,759,977.86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100,000,000.00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31,893,502.91</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华峰创享</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1,448,793.87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142,702.00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希玛特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1,045,499.96</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王彤</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1,343,000.00</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73,957.89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145,656.71</w:t>
            </w:r>
          </w:p>
        </w:tc>
      </w:tr>
    </w:tbl>
    <w:p>
      <w:pPr>
        <w:pStyle w:val="BodyText"/>
        <w:spacing w:line="240" w:lineRule="auto" w:before="51"/>
        <w:ind w:right="103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深圳飞猪</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移动支付服务收入</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116,173.45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咨询服务收入</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2,710,960.37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1,886.79</w:t>
            </w:r>
          </w:p>
        </w:tc>
      </w:tr>
    </w:tbl>
    <w:p>
      <w:pPr>
        <w:pStyle w:val="BodyText"/>
        <w:spacing w:line="240" w:lineRule="auto" w:before="51"/>
        <w:ind w:right="1032"/>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2）关联租赁情况" w:id="331"/>
      <w:bookmarkEnd w:id="331"/>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深圳飞猪</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108,108.12</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38,067.16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62,612.61</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385,000.00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317,164.81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231,376.58</w:t>
            </w:r>
          </w:p>
        </w:tc>
      </w:tr>
    </w:tbl>
    <w:p>
      <w:pPr>
        <w:pStyle w:val="BodyText"/>
        <w:spacing w:line="240" w:lineRule="auto" w:before="51"/>
        <w:ind w:right="1032"/>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right="1032"/>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3）关联担保情况" w:id="332"/>
      <w:bookmarkEnd w:id="332"/>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1032"/>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144,000,000.00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32"/>
        <w:jc w:val="left"/>
      </w:pPr>
      <w:r>
        <w:rPr/>
        <w:t>关联担保情况说明</w:t>
      </w:r>
    </w:p>
    <w:p>
      <w:pPr>
        <w:pStyle w:val="BodyText"/>
        <w:spacing w:line="240" w:lineRule="auto" w:before="116"/>
        <w:ind w:right="1032"/>
        <w:jc w:val="left"/>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日，华峰集团有限公司与中国工商银行上海市金山支行签订编号为</w:t>
      </w:r>
      <w:r>
        <w:rPr>
          <w:spacing w:val="-46"/>
        </w:rPr>
        <w:t> </w:t>
      </w:r>
      <w:r>
        <w:rPr>
          <w:rFonts w:ascii="Times New Roman" w:hAnsi="Times New Roman" w:cs="Times New Roman" w:eastAsia="Times New Roman" w:hint="default"/>
        </w:rPr>
        <w:t>12167000216-0249101</w:t>
      </w:r>
      <w:r>
        <w:rPr>
          <w:rFonts w:ascii="Times New Roman" w:hAnsi="Times New Roman" w:cs="Times New Roman" w:eastAsia="Times New Roman" w:hint="default"/>
          <w:spacing w:val="-1"/>
        </w:rPr>
        <w:t> </w:t>
      </w:r>
      <w:r>
        <w:rPr/>
        <w:t>的最高额保</w:t>
      </w:r>
    </w:p>
    <w:p>
      <w:pPr>
        <w:pStyle w:val="BodyText"/>
        <w:spacing w:line="240" w:lineRule="auto" w:before="64"/>
        <w:ind w:right="0"/>
        <w:jc w:val="left"/>
      </w:pPr>
      <w:r>
        <w:rPr/>
        <w:t>证合同</w:t>
      </w:r>
      <w:r>
        <w:rPr>
          <w:spacing w:val="-90"/>
        </w:rPr>
        <w:t>，</w:t>
      </w:r>
      <w:r>
        <w:rPr/>
        <w:t>担保的主债权为本公司在该行自</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01</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1"/>
        </w:rPr>
        <w:t>日</w:t>
      </w:r>
      <w:r>
        <w:rPr/>
        <w:t>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日最高</w:t>
      </w:r>
      <w:r>
        <w:rPr>
          <w:spacing w:val="1"/>
        </w:rPr>
        <w:t>额</w:t>
      </w:r>
      <w:r>
        <w:rPr/>
        <w:t>为人民</w:t>
      </w:r>
      <w:r>
        <w:rPr>
          <w:spacing w:val="-48"/>
        </w:rPr>
        <w:t> </w:t>
      </w:r>
      <w:r>
        <w:rPr>
          <w:rFonts w:ascii="Times New Roman" w:hAnsi="Times New Roman" w:cs="Times New Roman" w:eastAsia="Times New Roman" w:hint="default"/>
        </w:rPr>
        <w:t>144,000</w:t>
      </w:r>
      <w:r>
        <w:rPr>
          <w:rFonts w:ascii="Times New Roman" w:hAnsi="Times New Roman" w:cs="Times New Roman" w:eastAsia="Times New Roman" w:hint="default"/>
          <w:spacing w:val="-1"/>
        </w:rPr>
        <w:t>,</w:t>
      </w:r>
      <w:r>
        <w:rPr>
          <w:rFonts w:ascii="Times New Roman" w:hAnsi="Times New Roman" w:cs="Times New Roman" w:eastAsia="Times New Roman" w:hint="default"/>
        </w:rPr>
        <w:t>000.00</w:t>
      </w:r>
      <w:r>
        <w:rPr>
          <w:rFonts w:ascii="Times New Roman" w:hAnsi="Times New Roman" w:cs="Times New Roman" w:eastAsia="Times New Roman" w:hint="default"/>
          <w:spacing w:val="-3"/>
        </w:rPr>
        <w:t> </w:t>
      </w:r>
      <w:r>
        <w:rPr/>
        <w:t>的所有债务。</w:t>
      </w:r>
    </w:p>
    <w:p>
      <w:pPr>
        <w:pStyle w:val="BodyText"/>
        <w:spacing w:line="240" w:lineRule="auto" w:before="102"/>
        <w:ind w:right="1032"/>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日，公司在上述保证合同项下无相关债务余额。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1032"/>
        <w:jc w:val="left"/>
        <w:rPr>
          <w:b w:val="0"/>
          <w:bCs w:val="0"/>
        </w:rPr>
      </w:pPr>
      <w:bookmarkStart w:name="（4）关联方资金拆借" w:id="333"/>
      <w:bookmarkEnd w:id="333"/>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关键管理人员报酬" w:id="334"/>
      <w:bookmarkEnd w:id="334"/>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8,470,132.28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9,296,488.32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6、关联方应收应付款项" w:id="335"/>
      <w:bookmarkEnd w:id="33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收项目" w:id="336"/>
      <w:bookmarkEnd w:id="33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2,226,056.13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111,302.81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23,098.52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16,658.24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应付项目" w:id="337"/>
      <w:bookmarkEnd w:id="33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重庆华峰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2,099,020.00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21,045,320.00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297,048.68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9,311.90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63,845.96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150,026.41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汇商通盈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50,264.12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世明科技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福州十方</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45,224.05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696,214.46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1,448,791.67</w:t>
            </w:r>
          </w:p>
        </w:tc>
      </w:tr>
    </w:tbl>
    <w:p>
      <w:pPr>
        <w:spacing w:line="240" w:lineRule="auto" w:before="2"/>
        <w:rPr>
          <w:rFonts w:ascii="宋体" w:hAnsi="宋体" w:cs="宋体" w:eastAsia="宋体" w:hint="default"/>
          <w:sz w:val="18"/>
          <w:szCs w:val="18"/>
        </w:rPr>
      </w:pPr>
    </w:p>
    <w:p>
      <w:pPr>
        <w:spacing w:line="506" w:lineRule="auto" w:before="26"/>
        <w:ind w:left="154" w:right="7692" w:firstLine="0"/>
        <w:jc w:val="left"/>
        <w:rPr>
          <w:rFonts w:ascii="宋体" w:hAnsi="宋体" w:cs="宋体" w:eastAsia="宋体" w:hint="default"/>
          <w:sz w:val="18"/>
          <w:szCs w:val="18"/>
        </w:rPr>
      </w:pPr>
      <w:bookmarkStart w:name="十一、承诺及或有事项" w:id="338"/>
      <w:bookmarkEnd w:id="338"/>
      <w:r>
        <w:rPr/>
      </w:r>
      <w:r>
        <w:rPr>
          <w:rFonts w:ascii="宋体" w:hAnsi="宋体" w:cs="宋体" w:eastAsia="宋体" w:hint="default"/>
          <w:b/>
          <w:bCs/>
          <w:w w:val="95"/>
          <w:sz w:val="24"/>
          <w:szCs w:val="24"/>
        </w:rPr>
        <w:t>十一、承诺及或有事项</w:t>
      </w:r>
      <w:r>
        <w:rPr>
          <w:rFonts w:ascii="宋体" w:hAnsi="宋体" w:cs="宋体" w:eastAsia="宋体" w:hint="default"/>
          <w:b/>
          <w:bCs/>
          <w:spacing w:val="-4"/>
          <w:w w:val="95"/>
          <w:sz w:val="24"/>
          <w:szCs w:val="24"/>
        </w:rPr>
        <w:t> </w:t>
      </w:r>
      <w:bookmarkStart w:name="1、重要承诺事项" w:id="339"/>
      <w:bookmarkEnd w:id="339"/>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BodyText"/>
        <w:spacing w:line="240" w:lineRule="auto"/>
        <w:ind w:right="1032"/>
        <w:jc w:val="left"/>
        <w:rPr>
          <w:rFonts w:ascii="Times New Roman" w:hAnsi="Times New Roman" w:cs="Times New Roman" w:eastAsia="Times New Roman" w:hint="default"/>
        </w:rPr>
      </w:pPr>
      <w:r>
        <w:rPr>
          <w:spacing w:val="-13"/>
        </w:rPr>
        <w:t>（</w:t>
      </w:r>
      <w:r>
        <w:rPr>
          <w:rFonts w:ascii="Times New Roman" w:hAnsi="Times New Roman" w:cs="Times New Roman" w:eastAsia="Times New Roman" w:hint="default"/>
          <w:spacing w:val="-13"/>
        </w:rPr>
        <w:t>1</w:t>
      </w:r>
      <w:r>
        <w:rPr>
          <w:spacing w:val="-13"/>
        </w:rPr>
        <w:t>）截至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8"/>
        </w:rPr>
        <w:t>日，公司以原值为</w:t>
      </w:r>
      <w:r>
        <w:rPr>
          <w:spacing w:val="-46"/>
        </w:rPr>
        <w:t> </w:t>
      </w:r>
      <w:r>
        <w:rPr>
          <w:rFonts w:ascii="Times New Roman" w:hAnsi="Times New Roman" w:cs="Times New Roman" w:eastAsia="Times New Roman" w:hint="default"/>
        </w:rPr>
        <w:t>86,494,119.90 </w:t>
      </w:r>
      <w:r>
        <w:rPr>
          <w:spacing w:val="-14"/>
        </w:rPr>
        <w:t>元、净值为</w:t>
      </w:r>
      <w:r>
        <w:rPr>
          <w:spacing w:val="-46"/>
        </w:rPr>
        <w:t> </w:t>
      </w:r>
      <w:r>
        <w:rPr>
          <w:rFonts w:ascii="Times New Roman" w:hAnsi="Times New Roman" w:cs="Times New Roman" w:eastAsia="Times New Roman" w:hint="default"/>
        </w:rPr>
        <w:t>30,880,862.21 </w:t>
      </w:r>
      <w:r>
        <w:rPr>
          <w:spacing w:val="-6"/>
        </w:rPr>
        <w:t>元的房屋、建筑物及原值为</w:t>
      </w:r>
      <w:r>
        <w:rPr>
          <w:spacing w:val="-46"/>
        </w:rPr>
        <w:t> </w:t>
      </w:r>
      <w:r>
        <w:rPr>
          <w:rFonts w:ascii="Times New Roman" w:hAnsi="Times New Roman" w:cs="Times New Roman" w:eastAsia="Times New Roman" w:hint="default"/>
        </w:rPr>
        <w:t>9,165,650.01</w:t>
      </w:r>
    </w:p>
    <w:p>
      <w:pPr>
        <w:pStyle w:val="BodyText"/>
        <w:spacing w:line="240" w:lineRule="auto" w:before="62"/>
        <w:ind w:right="1032"/>
        <w:jc w:val="left"/>
      </w:pPr>
      <w:r>
        <w:rPr>
          <w:spacing w:val="-8"/>
        </w:rPr>
        <w:t>元、净值为</w:t>
      </w:r>
      <w:r>
        <w:rPr>
          <w:spacing w:val="-46"/>
        </w:rPr>
        <w:t> </w:t>
      </w:r>
      <w:r>
        <w:rPr>
          <w:rFonts w:ascii="Times New Roman" w:hAnsi="Times New Roman" w:cs="Times New Roman" w:eastAsia="Times New Roman" w:hint="default"/>
        </w:rPr>
        <w:t>6,441,698.43 </w:t>
      </w:r>
      <w:r>
        <w:rPr/>
        <w:t>元的土地使用权为公司在中国银行上海市金山支行自</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日发生</w:t>
      </w:r>
    </w:p>
    <w:p>
      <w:pPr>
        <w:pStyle w:val="BodyText"/>
        <w:spacing w:line="240" w:lineRule="auto" w:before="64"/>
        <w:ind w:right="1032"/>
        <w:jc w:val="left"/>
      </w:pPr>
      <w:r>
        <w:rPr/>
        <w:t>的不高于人民币</w:t>
      </w:r>
      <w:r>
        <w:rPr>
          <w:spacing w:val="-47"/>
        </w:rPr>
        <w:t> </w:t>
      </w:r>
      <w:r>
        <w:rPr>
          <w:rFonts w:ascii="Times New Roman" w:hAnsi="Times New Roman" w:cs="Times New Roman" w:eastAsia="Times New Roman" w:hint="default"/>
        </w:rPr>
        <w:t>380,000,000.00</w:t>
      </w:r>
      <w:r>
        <w:rPr>
          <w:rFonts w:ascii="Times New Roman" w:hAnsi="Times New Roman" w:cs="Times New Roman" w:eastAsia="Times New Roman" w:hint="default"/>
          <w:spacing w:val="-2"/>
        </w:rPr>
        <w:t> </w:t>
      </w:r>
      <w:r>
        <w:rPr/>
        <w:t>元的全部债务提供抵押担保。</w:t>
      </w:r>
    </w:p>
    <w:p>
      <w:pPr>
        <w:pStyle w:val="BodyText"/>
        <w:spacing w:line="240" w:lineRule="auto" w:before="102"/>
        <w:ind w:right="1032"/>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日，公司在上述抵押合同下已开立未到期的信用证金额为</w:t>
      </w:r>
      <w:r>
        <w:rPr>
          <w:spacing w:val="-46"/>
        </w:rPr>
        <w:t> </w:t>
      </w:r>
      <w:r>
        <w:rPr>
          <w:rFonts w:ascii="Times New Roman" w:hAnsi="Times New Roman" w:cs="Times New Roman" w:eastAsia="Times New Roman" w:hint="default"/>
        </w:rPr>
        <w:t>2,086,660.00 </w:t>
      </w:r>
      <w:r>
        <w:rPr/>
        <w:t>美元；已开具未到期的银行承</w:t>
      </w:r>
    </w:p>
    <w:p>
      <w:pPr>
        <w:pStyle w:val="BodyText"/>
        <w:spacing w:line="240" w:lineRule="auto" w:before="64"/>
        <w:ind w:right="1032"/>
        <w:jc w:val="left"/>
      </w:pPr>
      <w:r>
        <w:rPr/>
        <w:t>兑汇票金额为</w:t>
      </w:r>
      <w:r>
        <w:rPr>
          <w:spacing w:val="-47"/>
        </w:rPr>
        <w:t> </w:t>
      </w:r>
      <w:r>
        <w:rPr>
          <w:rFonts w:ascii="Times New Roman" w:hAnsi="Times New Roman" w:cs="Times New Roman" w:eastAsia="Times New Roman" w:hint="default"/>
        </w:rPr>
        <w:t>8,661,299.97</w:t>
      </w:r>
      <w:r>
        <w:rPr>
          <w:rFonts w:ascii="Times New Roman" w:hAnsi="Times New Roman" w:cs="Times New Roman" w:eastAsia="Times New Roman" w:hint="default"/>
          <w:spacing w:val="-1"/>
        </w:rPr>
        <w:t> </w:t>
      </w:r>
      <w:r>
        <w:rPr/>
        <w:t>元，期限为</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32"/>
        <w:jc w:val="left"/>
        <w:rPr>
          <w:rFonts w:ascii="Times New Roman" w:hAnsi="Times New Roman" w:cs="Times New Roman" w:eastAsia="Times New Roman" w:hint="default"/>
        </w:rPr>
      </w:pPr>
      <w:r>
        <w:rPr/>
        <w:t>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90"/>
        </w:rPr>
        <w:t>，</w:t>
      </w:r>
      <w:r>
        <w:rPr/>
        <w:t>公</w:t>
      </w:r>
      <w:r>
        <w:rPr>
          <w:spacing w:val="-2"/>
        </w:rPr>
        <w:t>司</w:t>
      </w:r>
      <w:r>
        <w:rPr/>
        <w:t>在上述抵押合同项下借款总金额为</w:t>
      </w:r>
      <w:r>
        <w:rPr>
          <w:spacing w:val="-48"/>
        </w:rPr>
        <w:t> </w:t>
      </w:r>
      <w:r>
        <w:rPr>
          <w:rFonts w:ascii="Times New Roman" w:hAnsi="Times New Roman" w:cs="Times New Roman" w:eastAsia="Times New Roman" w:hint="default"/>
        </w:rPr>
        <w:t>170,000</w:t>
      </w:r>
      <w:r>
        <w:rPr>
          <w:rFonts w:ascii="Times New Roman" w:hAnsi="Times New Roman" w:cs="Times New Roman" w:eastAsia="Times New Roman" w:hint="default"/>
          <w:spacing w:val="-1"/>
        </w:rPr>
        <w:t>,</w:t>
      </w:r>
      <w:r>
        <w:rPr>
          <w:rFonts w:ascii="Times New Roman" w:hAnsi="Times New Roman" w:cs="Times New Roman" w:eastAsia="Times New Roman" w:hint="default"/>
        </w:rPr>
        <w:t>000.00</w:t>
      </w:r>
      <w:r>
        <w:rPr>
          <w:rFonts w:ascii="Times New Roman" w:hAnsi="Times New Roman" w:cs="Times New Roman" w:eastAsia="Times New Roman" w:hint="default"/>
          <w:spacing w:val="-3"/>
        </w:rPr>
        <w:t> </w:t>
      </w:r>
      <w:r>
        <w:rPr/>
        <w:t>元</w:t>
      </w:r>
      <w:r>
        <w:rPr>
          <w:spacing w:val="-90"/>
        </w:rPr>
        <w:t>，</w:t>
      </w:r>
      <w:r>
        <w:rPr/>
        <w:t>其中</w:t>
      </w:r>
      <w:r>
        <w:rPr>
          <w:spacing w:val="-50"/>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rFonts w:ascii="Times New Roman" w:hAnsi="Times New Roman" w:cs="Times New Roman" w:eastAsia="Times New Roman" w:hint="default"/>
          <w:spacing w:val="-4"/>
        </w:rPr>
        <w:t> </w:t>
      </w:r>
      <w:r>
        <w:rPr/>
        <w:t>元的借款期限为</w:t>
      </w:r>
      <w:r>
        <w:rPr>
          <w:spacing w:val="-48"/>
        </w:rPr>
        <w:t> </w:t>
      </w:r>
      <w:r>
        <w:rPr>
          <w:rFonts w:ascii="Times New Roman" w:hAnsi="Times New Roman" w:cs="Times New Roman" w:eastAsia="Times New Roman" w:hint="default"/>
        </w:rPr>
        <w:t>2018</w:t>
      </w:r>
    </w:p>
    <w:p>
      <w:pPr>
        <w:pStyle w:val="BodyText"/>
        <w:spacing w:line="240" w:lineRule="auto" w:before="63"/>
        <w:ind w:right="1032"/>
        <w:jc w:val="left"/>
      </w:pP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spacing w:val="-41"/>
        </w:rPr>
        <w:t> </w:t>
      </w:r>
      <w:r>
        <w:rPr>
          <w:rFonts w:ascii="Times New Roman" w:hAnsi="Times New Roman" w:cs="Times New Roman" w:eastAsia="Times New Roman" w:hint="default"/>
        </w:rPr>
        <w:t>40,000,000.00 </w:t>
      </w:r>
      <w:r>
        <w:rPr/>
        <w:t>元的借款期限为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30,000,000.00</w:t>
      </w:r>
      <w:r>
        <w:rPr>
          <w:rFonts w:ascii="Times New Roman" w:hAnsi="Times New Roman" w:cs="Times New Roman" w:eastAsia="Times New Roman" w:hint="default"/>
        </w:rPr>
        <w:t> </w:t>
      </w:r>
      <w:r>
        <w:rPr/>
        <w:t>元的借</w:t>
      </w:r>
    </w:p>
    <w:p>
      <w:pPr>
        <w:pStyle w:val="BodyText"/>
        <w:spacing w:line="240" w:lineRule="auto" w:before="63"/>
        <w:ind w:right="1032"/>
        <w:jc w:val="left"/>
      </w:pPr>
      <w:r>
        <w:rPr/>
        <w:t>款期限为</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13 </w:t>
      </w:r>
      <w:r>
        <w:rPr/>
        <w:t>日；</w:t>
      </w:r>
      <w:r>
        <w:rPr>
          <w:rFonts w:ascii="Times New Roman" w:hAnsi="Times New Roman" w:cs="Times New Roman" w:eastAsia="Times New Roman" w:hint="default"/>
        </w:rPr>
        <w:t>15,000,000.00</w:t>
      </w:r>
      <w:r>
        <w:rPr>
          <w:rFonts w:ascii="Times New Roman" w:hAnsi="Times New Roman" w:cs="Times New Roman" w:eastAsia="Times New Roman" w:hint="default"/>
          <w:spacing w:val="-1"/>
        </w:rPr>
        <w:t> </w:t>
      </w:r>
      <w:r>
        <w:rPr/>
        <w:t>元的借款期限为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p>
    <w:p>
      <w:pPr>
        <w:pStyle w:val="BodyText"/>
        <w:spacing w:line="240" w:lineRule="auto" w:before="64"/>
        <w:ind w:right="1032"/>
        <w:jc w:val="left"/>
      </w:pPr>
      <w:r>
        <w:rPr>
          <w:rFonts w:ascii="Times New Roman" w:hAnsi="Times New Roman" w:cs="Times New Roman" w:eastAsia="Times New Roman" w:hint="default"/>
        </w:rPr>
        <w:t>25,000,000.00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w:t>
      </w:r>
    </w:p>
    <w:p>
      <w:pPr>
        <w:pStyle w:val="BodyText"/>
        <w:spacing w:line="240" w:lineRule="auto" w:before="101"/>
        <w:ind w:right="1032"/>
        <w:jc w:val="left"/>
        <w:rPr>
          <w:rFonts w:ascii="Times New Roman" w:hAnsi="Times New Roman" w:cs="Times New Roman" w:eastAsia="Times New Roman" w:hint="default"/>
        </w:rPr>
      </w:pPr>
      <w:r>
        <w:rPr>
          <w:spacing w:val="-13"/>
        </w:rPr>
        <w:t>（</w:t>
      </w:r>
      <w:r>
        <w:rPr>
          <w:rFonts w:ascii="Times New Roman" w:hAnsi="Times New Roman" w:cs="Times New Roman" w:eastAsia="Times New Roman" w:hint="default"/>
          <w:spacing w:val="-13"/>
        </w:rPr>
        <w:t>2</w:t>
      </w:r>
      <w:r>
        <w:rPr>
          <w:spacing w:val="-13"/>
        </w:rPr>
        <w:t>）截至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8"/>
        </w:rPr>
        <w:t>日，公司以原值为</w:t>
      </w:r>
      <w:r>
        <w:rPr>
          <w:spacing w:val="-46"/>
        </w:rPr>
        <w:t> </w:t>
      </w:r>
      <w:r>
        <w:rPr>
          <w:rFonts w:ascii="Times New Roman" w:hAnsi="Times New Roman" w:cs="Times New Roman" w:eastAsia="Times New Roman" w:hint="default"/>
        </w:rPr>
        <w:t>86,494,119.90 </w:t>
      </w:r>
      <w:r>
        <w:rPr>
          <w:spacing w:val="-14"/>
        </w:rPr>
        <w:t>元、净值为</w:t>
      </w:r>
      <w:r>
        <w:rPr>
          <w:spacing w:val="-46"/>
        </w:rPr>
        <w:t> </w:t>
      </w:r>
      <w:r>
        <w:rPr>
          <w:rFonts w:ascii="Times New Roman" w:hAnsi="Times New Roman" w:cs="Times New Roman" w:eastAsia="Times New Roman" w:hint="default"/>
        </w:rPr>
        <w:t>35,032,579.88 </w:t>
      </w:r>
      <w:r>
        <w:rPr>
          <w:spacing w:val="-6"/>
        </w:rPr>
        <w:t>元的房屋、建筑物及原值为</w:t>
      </w:r>
      <w:r>
        <w:rPr>
          <w:spacing w:val="-46"/>
        </w:rPr>
        <w:t> </w:t>
      </w:r>
      <w:r>
        <w:rPr>
          <w:rFonts w:ascii="Times New Roman" w:hAnsi="Times New Roman" w:cs="Times New Roman" w:eastAsia="Times New Roman" w:hint="default"/>
        </w:rPr>
        <w:t>9,165,650.01</w:t>
      </w:r>
    </w:p>
    <w:p>
      <w:pPr>
        <w:pStyle w:val="BodyText"/>
        <w:spacing w:line="240" w:lineRule="auto" w:before="63"/>
        <w:ind w:right="1032"/>
        <w:jc w:val="left"/>
      </w:pPr>
      <w:r>
        <w:rPr>
          <w:spacing w:val="-8"/>
        </w:rPr>
        <w:t>元、净值为</w:t>
      </w:r>
      <w:r>
        <w:rPr>
          <w:spacing w:val="-46"/>
        </w:rPr>
        <w:t> </w:t>
      </w:r>
      <w:r>
        <w:rPr>
          <w:rFonts w:ascii="Times New Roman" w:hAnsi="Times New Roman" w:cs="Times New Roman" w:eastAsia="Times New Roman" w:hint="default"/>
        </w:rPr>
        <w:t>6,618,387.49 </w:t>
      </w:r>
      <w:r>
        <w:rPr/>
        <w:t>元的土地使用权为公司在中国银行上海市金山支行自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2028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日发生的</w:t>
      </w:r>
    </w:p>
    <w:p>
      <w:pPr>
        <w:pStyle w:val="BodyText"/>
        <w:spacing w:line="240" w:lineRule="auto" w:before="64"/>
        <w:ind w:right="1032"/>
        <w:jc w:val="left"/>
      </w:pPr>
      <w:r>
        <w:rPr/>
        <w:t>不高于人民币</w:t>
      </w:r>
      <w:r>
        <w:rPr>
          <w:spacing w:val="-47"/>
        </w:rPr>
        <w:t> </w:t>
      </w:r>
      <w:r>
        <w:rPr>
          <w:rFonts w:ascii="Times New Roman" w:hAnsi="Times New Roman" w:cs="Times New Roman" w:eastAsia="Times New Roman" w:hint="default"/>
        </w:rPr>
        <w:t>400,000,000.00</w:t>
      </w:r>
      <w:r>
        <w:rPr>
          <w:rFonts w:ascii="Times New Roman" w:hAnsi="Times New Roman" w:cs="Times New Roman" w:eastAsia="Times New Roman" w:hint="default"/>
          <w:spacing w:val="-1"/>
        </w:rPr>
        <w:t> </w:t>
      </w:r>
      <w:r>
        <w:rPr/>
        <w:t>元的全部债务提供抵押担保。</w:t>
      </w:r>
    </w:p>
    <w:p>
      <w:pPr>
        <w:pStyle w:val="BodyText"/>
        <w:spacing w:line="240" w:lineRule="auto" w:before="102"/>
        <w:ind w:right="1032"/>
        <w:jc w:val="left"/>
        <w:rPr>
          <w:rFonts w:ascii="Times New Roman" w:hAnsi="Times New Roman" w:cs="Times New Roman" w:eastAsia="Times New Roman" w:hint="default"/>
        </w:rPr>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w:t>
      </w:r>
      <w:r>
        <w:rPr>
          <w:spacing w:val="-87"/>
        </w:rPr>
        <w:t>，</w:t>
      </w:r>
      <w:r>
        <w:rPr/>
        <w:t>公</w:t>
      </w:r>
      <w:r>
        <w:rPr>
          <w:spacing w:val="1"/>
        </w:rPr>
        <w:t>司</w:t>
      </w:r>
      <w:r>
        <w:rPr/>
        <w:t>在上述抵押合同项下借款总金额为</w:t>
      </w:r>
      <w:r>
        <w:rPr>
          <w:spacing w:val="-4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00.00 </w:t>
      </w:r>
      <w:r>
        <w:rPr/>
        <w:t>元</w:t>
      </w:r>
      <w:r>
        <w:rPr>
          <w:spacing w:val="-87"/>
        </w:rPr>
        <w:t>，</w:t>
      </w:r>
      <w:r>
        <w:rPr/>
        <w:t>其中 </w:t>
      </w:r>
      <w:r>
        <w:rPr>
          <w:rFonts w:ascii="Times New Roman" w:hAnsi="Times New Roman" w:cs="Times New Roman" w:eastAsia="Times New Roman" w:hint="default"/>
        </w:rPr>
        <w:t>10,000,00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t>元的借款期限为</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p>
    <w:p>
      <w:pPr>
        <w:pStyle w:val="BodyText"/>
        <w:spacing w:line="240" w:lineRule="auto" w:before="64"/>
        <w:ind w:right="1032"/>
        <w:jc w:val="left"/>
      </w:pP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pStyle w:val="BodyText"/>
        <w:spacing w:line="240" w:lineRule="auto" w:before="101"/>
        <w:ind w:right="1032"/>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spacing w:val="-90"/>
        </w:rPr>
        <w:t>）</w:t>
      </w:r>
      <w:r>
        <w:rPr/>
        <w:t>截至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w:t>
      </w:r>
      <w:r>
        <w:rPr>
          <w:spacing w:val="-92"/>
        </w:rPr>
        <w:t>，</w:t>
      </w:r>
      <w:r>
        <w:rPr/>
        <w:t>公司以原值为</w:t>
      </w:r>
      <w:r>
        <w:rPr>
          <w:spacing w:val="-52"/>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14,784,10</w:t>
      </w:r>
      <w:r>
        <w:rPr>
          <w:rFonts w:ascii="Times New Roman" w:hAnsi="Times New Roman" w:cs="Times New Roman" w:eastAsia="Times New Roman" w:hint="default"/>
          <w:spacing w:val="-2"/>
        </w:rPr>
        <w:t>9</w:t>
      </w:r>
      <w:r>
        <w:rPr>
          <w:rFonts w:ascii="Times New Roman" w:hAnsi="Times New Roman" w:cs="Times New Roman" w:eastAsia="Times New Roman" w:hint="default"/>
        </w:rPr>
        <w:t>.46</w:t>
      </w:r>
      <w:r>
        <w:rPr>
          <w:rFonts w:ascii="Times New Roman" w:hAnsi="Times New Roman" w:cs="Times New Roman" w:eastAsia="Times New Roman" w:hint="default"/>
          <w:spacing w:val="-7"/>
        </w:rPr>
        <w:t> </w:t>
      </w:r>
      <w:r>
        <w:rPr/>
        <w:t>元</w:t>
      </w:r>
      <w:r>
        <w:rPr>
          <w:spacing w:val="-90"/>
        </w:rPr>
        <w:t>、</w:t>
      </w:r>
      <w:r>
        <w:rPr/>
        <w:t>净值为</w:t>
      </w:r>
      <w:r>
        <w:rPr>
          <w:spacing w:val="-52"/>
        </w:rPr>
        <w:t> </w:t>
      </w:r>
      <w:r>
        <w:rPr>
          <w:rFonts w:ascii="Times New Roman" w:hAnsi="Times New Roman" w:cs="Times New Roman" w:eastAsia="Times New Roman" w:hint="default"/>
        </w:rPr>
        <w:t>81,</w:t>
      </w:r>
      <w:r>
        <w:rPr>
          <w:rFonts w:ascii="Times New Roman" w:hAnsi="Times New Roman" w:cs="Times New Roman" w:eastAsia="Times New Roman" w:hint="default"/>
          <w:spacing w:val="-2"/>
        </w:rPr>
        <w:t>9</w:t>
      </w:r>
      <w:r>
        <w:rPr>
          <w:rFonts w:ascii="Times New Roman" w:hAnsi="Times New Roman" w:cs="Times New Roman" w:eastAsia="Times New Roman" w:hint="default"/>
        </w:rPr>
        <w:t>95,390.03</w:t>
      </w:r>
      <w:r>
        <w:rPr>
          <w:rFonts w:ascii="Times New Roman" w:hAnsi="Times New Roman" w:cs="Times New Roman" w:eastAsia="Times New Roman" w:hint="default"/>
          <w:spacing w:val="-6"/>
        </w:rPr>
        <w:t> </w:t>
      </w:r>
      <w:r>
        <w:rPr/>
        <w:t>元</w:t>
      </w:r>
      <w:r>
        <w:rPr>
          <w:spacing w:val="-2"/>
        </w:rPr>
        <w:t>的</w:t>
      </w:r>
      <w:r>
        <w:rPr/>
        <w:t>房屋</w:t>
      </w:r>
      <w:r>
        <w:rPr>
          <w:spacing w:val="-90"/>
        </w:rPr>
        <w:t>、</w:t>
      </w:r>
      <w:r>
        <w:rPr/>
        <w:t>建筑物及原值为</w:t>
      </w:r>
      <w:r>
        <w:rPr>
          <w:spacing w:val="-52"/>
        </w:rPr>
        <w:t> </w:t>
      </w:r>
      <w:r>
        <w:rPr>
          <w:rFonts w:ascii="Times New Roman" w:hAnsi="Times New Roman" w:cs="Times New Roman" w:eastAsia="Times New Roman" w:hint="default"/>
        </w:rPr>
        <w:t>51,324,</w:t>
      </w:r>
      <w:r>
        <w:rPr>
          <w:rFonts w:ascii="Times New Roman" w:hAnsi="Times New Roman" w:cs="Times New Roman" w:eastAsia="Times New Roman" w:hint="default"/>
          <w:spacing w:val="-2"/>
        </w:rPr>
        <w:t>7</w:t>
      </w:r>
      <w:r>
        <w:rPr>
          <w:rFonts w:ascii="Times New Roman" w:hAnsi="Times New Roman" w:cs="Times New Roman" w:eastAsia="Times New Roman" w:hint="default"/>
        </w:rPr>
        <w:t>74.00</w:t>
      </w:r>
    </w:p>
    <w:p>
      <w:pPr>
        <w:pStyle w:val="BodyText"/>
        <w:spacing w:line="240" w:lineRule="auto" w:before="63"/>
        <w:ind w:right="1032"/>
        <w:jc w:val="left"/>
      </w:pPr>
      <w:r>
        <w:rPr/>
        <w:t>元、净值为</w:t>
      </w:r>
      <w:r>
        <w:rPr>
          <w:spacing w:val="-47"/>
        </w:rPr>
        <w:t> </w:t>
      </w:r>
      <w:r>
        <w:rPr>
          <w:rFonts w:ascii="Times New Roman" w:hAnsi="Times New Roman" w:cs="Times New Roman" w:eastAsia="Times New Roman" w:hint="default"/>
        </w:rPr>
        <w:t>42,770,645.00</w:t>
      </w:r>
      <w:r>
        <w:rPr>
          <w:rFonts w:ascii="Times New Roman" w:hAnsi="Times New Roman" w:cs="Times New Roman" w:eastAsia="Times New Roman" w:hint="default"/>
          <w:spacing w:val="-1"/>
        </w:rPr>
        <w:t> </w:t>
      </w:r>
      <w:r>
        <w:rPr/>
        <w:t>元的土地使用权为公司在中国工商银行上海市金山支行自</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w:t>
      </w:r>
    </w:p>
    <w:p>
      <w:pPr>
        <w:pStyle w:val="BodyText"/>
        <w:spacing w:line="240" w:lineRule="auto" w:before="64"/>
        <w:ind w:right="1032"/>
        <w:jc w:val="left"/>
      </w:pPr>
      <w:r>
        <w:rPr/>
        <w:t>发生的不高于人民币</w:t>
      </w:r>
      <w:r>
        <w:rPr>
          <w:spacing w:val="-47"/>
        </w:rPr>
        <w:t> </w:t>
      </w:r>
      <w:r>
        <w:rPr>
          <w:rFonts w:ascii="Times New Roman" w:hAnsi="Times New Roman" w:cs="Times New Roman" w:eastAsia="Times New Roman" w:hint="default"/>
        </w:rPr>
        <w:t>168,490,000.00</w:t>
      </w:r>
      <w:r>
        <w:rPr>
          <w:rFonts w:ascii="Times New Roman" w:hAnsi="Times New Roman" w:cs="Times New Roman" w:eastAsia="Times New Roman" w:hint="default"/>
          <w:spacing w:val="-2"/>
        </w:rPr>
        <w:t> </w:t>
      </w:r>
      <w:r>
        <w:rPr/>
        <w:t>元的全部债务提供抵押担保。</w:t>
      </w:r>
    </w:p>
    <w:p>
      <w:pPr>
        <w:pStyle w:val="BodyText"/>
        <w:spacing w:line="240" w:lineRule="auto" w:before="101"/>
        <w:ind w:right="1032"/>
        <w:jc w:val="left"/>
        <w:rPr>
          <w:rFonts w:ascii="Times New Roman" w:hAnsi="Times New Roman" w:cs="Times New Roman" w:eastAsia="Times New Roman" w:hint="default"/>
        </w:rPr>
      </w:pPr>
      <w:r>
        <w:rPr/>
        <w:t>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90"/>
        </w:rPr>
        <w:t>，</w:t>
      </w:r>
      <w:r>
        <w:rPr/>
        <w:t>公</w:t>
      </w:r>
      <w:r>
        <w:rPr>
          <w:spacing w:val="-2"/>
        </w:rPr>
        <w:t>司</w:t>
      </w:r>
      <w:r>
        <w:rPr/>
        <w:t>在上述抵押合同项下借款总金额为</w:t>
      </w:r>
      <w:r>
        <w:rPr>
          <w:spacing w:val="-48"/>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
        </w:rPr>
        <w:t>,</w:t>
      </w:r>
      <w:r>
        <w:rPr>
          <w:rFonts w:ascii="Times New Roman" w:hAnsi="Times New Roman" w:cs="Times New Roman" w:eastAsia="Times New Roman" w:hint="default"/>
        </w:rPr>
        <w:t>000.00</w:t>
      </w:r>
      <w:r>
        <w:rPr>
          <w:rFonts w:ascii="Times New Roman" w:hAnsi="Times New Roman" w:cs="Times New Roman" w:eastAsia="Times New Roman" w:hint="default"/>
          <w:spacing w:val="-3"/>
        </w:rPr>
        <w:t> </w:t>
      </w:r>
      <w:r>
        <w:rPr/>
        <w:t>元</w:t>
      </w:r>
      <w:r>
        <w:rPr>
          <w:spacing w:val="-90"/>
        </w:rPr>
        <w:t>，</w:t>
      </w:r>
      <w:r>
        <w:rPr/>
        <w:t>其中</w:t>
      </w:r>
      <w:r>
        <w:rPr>
          <w:spacing w:val="-50"/>
        </w:rPr>
        <w:t> </w:t>
      </w:r>
      <w:r>
        <w:rPr>
          <w:rFonts w:ascii="Times New Roman" w:hAnsi="Times New Roman" w:cs="Times New Roman" w:eastAsia="Times New Roman" w:hint="default"/>
        </w:rPr>
        <w:t>25,000,00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rFonts w:ascii="Times New Roman" w:hAnsi="Times New Roman" w:cs="Times New Roman" w:eastAsia="Times New Roman" w:hint="default"/>
          <w:spacing w:val="-4"/>
        </w:rPr>
        <w:t> </w:t>
      </w:r>
      <w:r>
        <w:rPr/>
        <w:t>元的借款期限为</w:t>
      </w:r>
      <w:r>
        <w:rPr>
          <w:spacing w:val="-48"/>
        </w:rPr>
        <w:t> </w:t>
      </w:r>
      <w:r>
        <w:rPr>
          <w:rFonts w:ascii="Times New Roman" w:hAnsi="Times New Roman" w:cs="Times New Roman" w:eastAsia="Times New Roman" w:hint="default"/>
        </w:rPr>
        <w:t>2018</w:t>
      </w:r>
    </w:p>
    <w:p>
      <w:pPr>
        <w:pStyle w:val="BodyText"/>
        <w:spacing w:line="240" w:lineRule="auto" w:before="63"/>
        <w:ind w:right="1032"/>
        <w:jc w:val="left"/>
      </w:pP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20,000,000.00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2019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25,000,000.00</w:t>
      </w:r>
      <w:r>
        <w:rPr>
          <w:rFonts w:ascii="Times New Roman" w:hAnsi="Times New Roman" w:cs="Times New Roman" w:eastAsia="Times New Roman" w:hint="default"/>
          <w:spacing w:val="-1"/>
        </w:rPr>
        <w:t> </w:t>
      </w:r>
      <w:r>
        <w:rPr/>
        <w:t>元的</w:t>
      </w:r>
    </w:p>
    <w:p>
      <w:pPr>
        <w:pStyle w:val="BodyText"/>
        <w:spacing w:line="240" w:lineRule="auto" w:before="64"/>
        <w:ind w:right="1032"/>
        <w:jc w:val="left"/>
      </w:pPr>
      <w:r>
        <w:rPr/>
        <w:t>借款期限为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30,000,000.00 </w:t>
      </w:r>
      <w:r>
        <w:rPr/>
        <w:t>元的借款期限为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p>
    <w:p>
      <w:pPr>
        <w:pStyle w:val="BodyText"/>
        <w:spacing w:line="240" w:lineRule="auto" w:before="102"/>
        <w:ind w:right="1032"/>
        <w:jc w:val="left"/>
        <w:rPr>
          <w:rFonts w:ascii="Times New Roman" w:hAnsi="Times New Roman" w:cs="Times New Roman" w:eastAsia="Times New Roman" w:hint="default"/>
        </w:rPr>
      </w:pPr>
      <w:r>
        <w:rPr>
          <w:spacing w:val="-7"/>
        </w:rPr>
        <w:t>（</w:t>
      </w:r>
      <w:r>
        <w:rPr>
          <w:rFonts w:ascii="Times New Roman" w:hAnsi="Times New Roman" w:cs="Times New Roman" w:eastAsia="Times New Roman" w:hint="default"/>
          <w:spacing w:val="-7"/>
        </w:rPr>
        <w:t>4</w:t>
      </w:r>
      <w:r>
        <w:rPr>
          <w:spacing w:val="-7"/>
        </w:rPr>
        <w:t>）截止</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日，江苏超纤货币资金中使用受限制的金额有</w:t>
      </w:r>
      <w:r>
        <w:rPr>
          <w:spacing w:val="-50"/>
        </w:rPr>
        <w:t> </w:t>
      </w:r>
      <w:r>
        <w:rPr>
          <w:rFonts w:ascii="Times New Roman" w:hAnsi="Times New Roman" w:cs="Times New Roman" w:eastAsia="Times New Roman" w:hint="default"/>
        </w:rPr>
        <w:t>6,029,766.12</w:t>
      </w:r>
      <w:r>
        <w:rPr>
          <w:rFonts w:ascii="Times New Roman" w:hAnsi="Times New Roman" w:cs="Times New Roman" w:eastAsia="Times New Roman" w:hint="default"/>
          <w:spacing w:val="-4"/>
        </w:rPr>
        <w:t> </w:t>
      </w:r>
      <w:r>
        <w:rPr>
          <w:spacing w:val="-6"/>
        </w:rPr>
        <w:t>元；其中：信用证保证金</w:t>
      </w:r>
      <w:r>
        <w:rPr>
          <w:spacing w:val="-50"/>
        </w:rPr>
        <w:t> </w:t>
      </w:r>
      <w:r>
        <w:rPr>
          <w:rFonts w:ascii="Times New Roman" w:hAnsi="Times New Roman" w:cs="Times New Roman" w:eastAsia="Times New Roman" w:hint="default"/>
        </w:rPr>
        <w:t>6,029,766.12</w:t>
      </w:r>
    </w:p>
    <w:p>
      <w:pPr>
        <w:pStyle w:val="BodyText"/>
        <w:spacing w:line="240" w:lineRule="auto" w:before="64"/>
        <w:ind w:right="1032"/>
        <w:jc w:val="left"/>
      </w:pPr>
      <w:r>
        <w:rPr/>
        <w:t>元。</w:t>
      </w:r>
    </w:p>
    <w:p>
      <w:pPr>
        <w:pStyle w:val="BodyText"/>
        <w:spacing w:line="240" w:lineRule="auto" w:before="115"/>
        <w:ind w:right="1032"/>
        <w:jc w:val="left"/>
      </w:pPr>
      <w:r>
        <w:rPr/>
        <w:t>（</w:t>
      </w:r>
      <w:r>
        <w:rPr>
          <w:rFonts w:ascii="Times New Roman" w:hAnsi="Times New Roman" w:cs="Times New Roman" w:eastAsia="Times New Roman" w:hint="default"/>
        </w:rPr>
        <w:t>5</w:t>
      </w:r>
      <w:r>
        <w:rPr/>
        <w:t>）截止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日，江苏超纤以原值为</w:t>
      </w:r>
      <w:r>
        <w:rPr>
          <w:spacing w:val="-47"/>
        </w:rPr>
        <w:t> </w:t>
      </w:r>
      <w:r>
        <w:rPr>
          <w:rFonts w:ascii="Times New Roman" w:hAnsi="Times New Roman" w:cs="Times New Roman" w:eastAsia="Times New Roman" w:hint="default"/>
        </w:rPr>
        <w:t>130,692,296.91</w:t>
      </w:r>
      <w:r>
        <w:rPr>
          <w:rFonts w:ascii="Times New Roman" w:hAnsi="Times New Roman" w:cs="Times New Roman" w:eastAsia="Times New Roman" w:hint="default"/>
          <w:spacing w:val="-2"/>
        </w:rPr>
        <w:t> </w:t>
      </w:r>
      <w:r>
        <w:rPr/>
        <w:t>元，净值为</w:t>
      </w:r>
      <w:r>
        <w:rPr>
          <w:spacing w:val="-47"/>
        </w:rPr>
        <w:t> </w:t>
      </w:r>
      <w:r>
        <w:rPr>
          <w:rFonts w:ascii="Times New Roman" w:hAnsi="Times New Roman" w:cs="Times New Roman" w:eastAsia="Times New Roman" w:hint="default"/>
        </w:rPr>
        <w:t>119,552,280.22</w:t>
      </w:r>
      <w:r>
        <w:rPr>
          <w:rFonts w:ascii="Times New Roman" w:hAnsi="Times New Roman" w:cs="Times New Roman" w:eastAsia="Times New Roman" w:hint="default"/>
          <w:spacing w:val="-1"/>
        </w:rPr>
        <w:t> </w:t>
      </w:r>
      <w:r>
        <w:rPr/>
        <w:t>元的土地使用权为本公司与中</w:t>
      </w:r>
    </w:p>
    <w:p>
      <w:pPr>
        <w:pStyle w:val="BodyText"/>
        <w:spacing w:line="240" w:lineRule="auto" w:before="63"/>
        <w:ind w:right="1032"/>
        <w:jc w:val="left"/>
      </w:pPr>
      <w:r>
        <w:rPr/>
        <w:t>国工商银行股份有限公司启东支行签订的自</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至</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日不高于</w:t>
      </w:r>
      <w:r>
        <w:rPr>
          <w:spacing w:val="-49"/>
        </w:rPr>
        <w:t> </w:t>
      </w:r>
      <w:r>
        <w:rPr>
          <w:rFonts w:ascii="Times New Roman" w:hAnsi="Times New Roman" w:cs="Times New Roman" w:eastAsia="Times New Roman" w:hint="default"/>
        </w:rPr>
        <w:t>126,800,000.00</w:t>
      </w:r>
      <w:r>
        <w:rPr>
          <w:rFonts w:ascii="Times New Roman" w:hAnsi="Times New Roman" w:cs="Times New Roman" w:eastAsia="Times New Roman" w:hint="default"/>
          <w:spacing w:val="-4"/>
        </w:rPr>
        <w:t> </w:t>
      </w:r>
      <w:r>
        <w:rPr/>
        <w:t>元的全部债务提供</w:t>
      </w:r>
    </w:p>
    <w:p>
      <w:pPr>
        <w:pStyle w:val="BodyText"/>
        <w:spacing w:line="240" w:lineRule="auto" w:before="63"/>
        <w:ind w:right="1032"/>
        <w:jc w:val="left"/>
      </w:pPr>
      <w:r>
        <w:rPr>
          <w:spacing w:val="-3"/>
        </w:rPr>
        <w:t>抵押担保。同时经上海华峰超纤</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日召开的第二届董事会第二十三次会议审议通过，上海华峰超纤为本公司向</w:t>
      </w:r>
    </w:p>
    <w:p>
      <w:pPr>
        <w:pStyle w:val="BodyText"/>
        <w:spacing w:line="240" w:lineRule="auto" w:before="63"/>
        <w:ind w:right="1032"/>
        <w:jc w:val="left"/>
      </w:pPr>
      <w:r>
        <w:rPr/>
        <w:t>中国工商银行启东市支行申请的</w:t>
      </w:r>
      <w:r>
        <w:rPr>
          <w:spacing w:val="-56"/>
        </w:rPr>
        <w:t> </w:t>
      </w:r>
      <w:r>
        <w:rPr>
          <w:rFonts w:ascii="Times New Roman" w:hAnsi="Times New Roman" w:cs="Times New Roman" w:eastAsia="Times New Roman" w:hint="default"/>
        </w:rPr>
        <w:t>500,000,000.00</w:t>
      </w:r>
      <w:r>
        <w:rPr>
          <w:rFonts w:ascii="Times New Roman" w:hAnsi="Times New Roman" w:cs="Times New Roman" w:eastAsia="Times New Roman" w:hint="default"/>
          <w:spacing w:val="-11"/>
        </w:rPr>
        <w:t> </w:t>
      </w:r>
      <w:r>
        <w:rPr/>
        <w:t>元银行授信提供连带责任担保，期限为</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年。在上述担保合同项下，本公司</w:t>
      </w:r>
    </w:p>
    <w:p>
      <w:pPr>
        <w:pStyle w:val="BodyText"/>
        <w:spacing w:line="240" w:lineRule="auto" w:before="64"/>
        <w:ind w:right="1032"/>
        <w:jc w:val="left"/>
      </w:pPr>
      <w:r>
        <w:rPr/>
        <w:t>与中国工商银行启东支行签订了提款额度为</w:t>
      </w:r>
      <w:r>
        <w:rPr>
          <w:spacing w:val="-47"/>
        </w:rPr>
        <w:t> </w:t>
      </w:r>
      <w:r>
        <w:rPr>
          <w:rFonts w:ascii="Times New Roman" w:hAnsi="Times New Roman" w:cs="Times New Roman" w:eastAsia="Times New Roman" w:hint="default"/>
        </w:rPr>
        <w:t>272,500,000.00</w:t>
      </w:r>
      <w:r>
        <w:rPr>
          <w:rFonts w:ascii="Times New Roman" w:hAnsi="Times New Roman" w:cs="Times New Roman" w:eastAsia="Times New Roman" w:hint="default"/>
          <w:spacing w:val="-1"/>
        </w:rPr>
        <w:t> </w:t>
      </w:r>
      <w:r>
        <w:rPr/>
        <w:t>元固定资产借款合同。</w:t>
      </w:r>
    </w:p>
    <w:p>
      <w:pPr>
        <w:pStyle w:val="BodyText"/>
        <w:spacing w:line="240" w:lineRule="auto" w:before="101"/>
        <w:ind w:right="1032"/>
        <w:jc w:val="left"/>
        <w:rPr>
          <w:rFonts w:ascii="Times New Roman" w:hAnsi="Times New Roman" w:cs="Times New Roman" w:eastAsia="Times New Roman" w:hint="default"/>
        </w:rPr>
      </w:pPr>
      <w:r>
        <w:rPr>
          <w:spacing w:val="-6"/>
        </w:rPr>
        <w:t>在上述担保协议项下，截至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8"/>
        </w:rPr>
        <w:t>日，公司借款总额为</w:t>
      </w:r>
      <w:r>
        <w:rPr>
          <w:spacing w:val="-47"/>
        </w:rPr>
        <w:t> </w:t>
      </w:r>
      <w:r>
        <w:rPr>
          <w:rFonts w:ascii="Times New Roman" w:hAnsi="Times New Roman" w:cs="Times New Roman" w:eastAsia="Times New Roman" w:hint="default"/>
        </w:rPr>
        <w:t>268,325,000.00</w:t>
      </w:r>
      <w:r>
        <w:rPr>
          <w:rFonts w:ascii="Times New Roman" w:hAnsi="Times New Roman" w:cs="Times New Roman" w:eastAsia="Times New Roman" w:hint="default"/>
          <w:spacing w:val="-1"/>
        </w:rPr>
        <w:t> </w:t>
      </w:r>
      <w:r>
        <w:rPr>
          <w:spacing w:val="-18"/>
        </w:rPr>
        <w:t>元；其中</w:t>
      </w:r>
      <w:r>
        <w:rPr>
          <w:spacing w:val="-47"/>
        </w:rPr>
        <w:t> </w:t>
      </w:r>
      <w:r>
        <w:rPr>
          <w:rFonts w:ascii="Times New Roman" w:hAnsi="Times New Roman" w:cs="Times New Roman" w:eastAsia="Times New Roman" w:hint="default"/>
        </w:rPr>
        <w:t>19,700,000.00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2016</w:t>
      </w:r>
    </w:p>
    <w:p>
      <w:pPr>
        <w:pStyle w:val="BodyText"/>
        <w:spacing w:line="240" w:lineRule="auto" w:before="63"/>
        <w:ind w:right="1032"/>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5,900,000.00 </w:t>
      </w:r>
      <w:r>
        <w:rPr/>
        <w:t>元的借款期限为</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14,100,000.00</w:t>
      </w:r>
    </w:p>
    <w:p>
      <w:pPr>
        <w:pStyle w:val="BodyText"/>
        <w:spacing w:line="240" w:lineRule="auto" w:before="63"/>
        <w:ind w:right="1032"/>
        <w:jc w:val="left"/>
      </w:pPr>
      <w:r>
        <w:rPr/>
        <w:t>元的借款期限为</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11,840,000.00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p>
    <w:p>
      <w:pPr>
        <w:pStyle w:val="BodyText"/>
        <w:spacing w:line="240" w:lineRule="auto" w:before="63"/>
        <w:ind w:right="1032"/>
        <w:jc w:val="left"/>
        <w:rPr>
          <w:rFonts w:ascii="Times New Roman" w:hAnsi="Times New Roman" w:cs="Times New Roman" w:eastAsia="Times New Roman" w:hint="default"/>
        </w:rPr>
      </w:pPr>
      <w:r>
        <w:rPr>
          <w:rFonts w:ascii="Times New Roman" w:hAnsi="Times New Roman" w:cs="Times New Roman" w:eastAsia="Times New Roman" w:hint="default"/>
        </w:rPr>
        <w:t>18 </w:t>
      </w:r>
      <w:r>
        <w:rPr>
          <w:spacing w:val="-4"/>
        </w:rPr>
        <w:t>日；</w:t>
      </w:r>
      <w:r>
        <w:rPr>
          <w:rFonts w:ascii="Times New Roman" w:hAnsi="Times New Roman" w:cs="Times New Roman" w:eastAsia="Times New Roman" w:hint="default"/>
          <w:spacing w:val="-4"/>
        </w:rPr>
        <w:t>8,160,000.00</w:t>
      </w:r>
      <w:r>
        <w:rPr>
          <w:rFonts w:ascii="Times New Roman" w:hAnsi="Times New Roman" w:cs="Times New Roman" w:eastAsia="Times New Roman" w:hint="default"/>
          <w:spacing w:val="1"/>
        </w:rPr>
        <w:t> </w:t>
      </w:r>
      <w:r>
        <w:rPr/>
        <w:t>元的借款期限为</w:t>
      </w:r>
      <w:r>
        <w:rPr>
          <w:spacing w:val="-45"/>
        </w:rPr>
        <w:t> </w:t>
      </w:r>
      <w:r>
        <w:rPr>
          <w:rFonts w:ascii="Times New Roman" w:hAnsi="Times New Roman" w:cs="Times New Roman" w:eastAsia="Times New Roman" w:hint="default"/>
        </w:rPr>
        <w:t>2016 </w:t>
      </w:r>
      <w:r>
        <w:rPr/>
        <w:t>年</w:t>
      </w:r>
      <w:r>
        <w:rPr>
          <w:spacing w:val="-44"/>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6 </w:t>
      </w:r>
      <w:r>
        <w:rPr/>
        <w:t>日至</w:t>
      </w:r>
      <w:r>
        <w:rPr>
          <w:spacing w:val="-45"/>
        </w:rPr>
        <w:t> </w:t>
      </w:r>
      <w:r>
        <w:rPr>
          <w:rFonts w:ascii="Times New Roman" w:hAnsi="Times New Roman" w:cs="Times New Roman" w:eastAsia="Times New Roman" w:hint="default"/>
        </w:rPr>
        <w:t>2021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 </w:t>
      </w:r>
      <w:r>
        <w:rPr>
          <w:spacing w:val="-3"/>
        </w:rPr>
        <w:t>日；</w:t>
      </w:r>
      <w:r>
        <w:rPr>
          <w:rFonts w:ascii="Times New Roman" w:hAnsi="Times New Roman" w:cs="Times New Roman" w:eastAsia="Times New Roman" w:hint="default"/>
          <w:spacing w:val="-3"/>
        </w:rPr>
        <w:t>10,105,000.00</w:t>
      </w:r>
      <w:r>
        <w:rPr>
          <w:rFonts w:ascii="Times New Roman" w:hAnsi="Times New Roman" w:cs="Times New Roman" w:eastAsia="Times New Roman" w:hint="default"/>
          <w:spacing w:val="1"/>
        </w:rPr>
        <w:t> </w:t>
      </w:r>
      <w:r>
        <w:rPr/>
        <w:t>元的借款期限为</w:t>
      </w:r>
      <w:r>
        <w:rPr>
          <w:spacing w:val="-45"/>
        </w:rPr>
        <w:t> </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p>
    <w:p>
      <w:pPr>
        <w:pStyle w:val="BodyText"/>
        <w:spacing w:line="240" w:lineRule="auto" w:before="63"/>
        <w:ind w:right="1032"/>
        <w:jc w:val="left"/>
      </w:pPr>
      <w:r>
        <w:rPr/>
        <w:t>日至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2,540,000.00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11,520,000.00</w:t>
      </w:r>
      <w:r>
        <w:rPr>
          <w:rFonts w:ascii="Times New Roman" w:hAnsi="Times New Roman" w:cs="Times New Roman" w:eastAsia="Times New Roman" w:hint="default"/>
          <w:spacing w:val="-1"/>
        </w:rPr>
        <w:t> </w:t>
      </w:r>
      <w:r>
        <w:rPr/>
        <w:t>元的借款期</w:t>
      </w:r>
    </w:p>
    <w:p>
      <w:pPr>
        <w:pStyle w:val="BodyText"/>
        <w:spacing w:line="240" w:lineRule="auto" w:before="63"/>
        <w:ind w:right="1032"/>
        <w:jc w:val="left"/>
      </w:pPr>
      <w:r>
        <w:rPr/>
        <w:t>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18 </w:t>
      </w:r>
      <w:r>
        <w:rPr/>
        <w:t>日；</w:t>
      </w:r>
      <w:r>
        <w:rPr>
          <w:rFonts w:ascii="Times New Roman" w:hAnsi="Times New Roman" w:cs="Times New Roman" w:eastAsia="Times New Roman" w:hint="default"/>
        </w:rPr>
        <w:t>14,060,000.00</w:t>
      </w:r>
      <w:r>
        <w:rPr>
          <w:rFonts w:ascii="Times New Roman" w:hAnsi="Times New Roman" w:cs="Times New Roman" w:eastAsia="Times New Roman" w:hint="default"/>
          <w:spacing w:val="-1"/>
        </w:rPr>
        <w:t> </w:t>
      </w:r>
      <w:r>
        <w:rPr/>
        <w:t>元的借款期限为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p>
    <w:p>
      <w:pPr>
        <w:pStyle w:val="BodyText"/>
        <w:spacing w:line="240" w:lineRule="auto" w:before="63"/>
        <w:ind w:right="1032"/>
        <w:jc w:val="left"/>
      </w:pPr>
      <w:r>
        <w:rPr>
          <w:rFonts w:ascii="Times New Roman" w:hAnsi="Times New Roman" w:cs="Times New Roman" w:eastAsia="Times New Roman" w:hint="default"/>
        </w:rPr>
        <w:t>14,060,00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t>元的借款期限为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r>
        <w:rPr>
          <w:spacing w:val="-81"/>
        </w:rPr>
        <w:t>；</w:t>
      </w:r>
      <w:r>
        <w:rPr>
          <w:rFonts w:ascii="Times New Roman" w:hAnsi="Times New Roman" w:cs="Times New Roman" w:eastAsia="Times New Roman" w:hint="default"/>
        </w:rPr>
        <w:t>14,060,00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t>元的借款期限为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p>
    <w:p>
      <w:pPr>
        <w:pStyle w:val="BodyText"/>
        <w:spacing w:line="240" w:lineRule="auto" w:before="63"/>
        <w:ind w:right="1032"/>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14,060,000.00</w:t>
      </w:r>
      <w:r>
        <w:rPr>
          <w:rFonts w:ascii="Times New Roman" w:hAnsi="Times New Roman" w:cs="Times New Roman" w:eastAsia="Times New Roman" w:hint="default"/>
          <w:spacing w:val="-1"/>
        </w:rPr>
        <w:t> </w:t>
      </w:r>
      <w:r>
        <w:rPr/>
        <w:t>元的借款期限为</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2,220,000.00</w:t>
      </w:r>
      <w:r>
        <w:rPr>
          <w:rFonts w:ascii="Times New Roman" w:hAnsi="Times New Roman" w:cs="Times New Roman" w:eastAsia="Times New Roman" w:hint="default"/>
          <w:spacing w:val="-1"/>
        </w:rPr>
        <w:t> </w:t>
      </w:r>
      <w:r>
        <w:rPr/>
        <w:t>元的借款期限为</w:t>
      </w:r>
    </w:p>
    <w:p>
      <w:pPr>
        <w:pStyle w:val="BodyText"/>
        <w:spacing w:line="240" w:lineRule="auto" w:before="63"/>
        <w:ind w:right="1032"/>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w:t>
      </w:r>
      <w:r>
        <w:rPr>
          <w:spacing w:val="-90"/>
        </w:rPr>
        <w:t>；</w:t>
      </w:r>
      <w:r>
        <w:rPr>
          <w:rFonts w:ascii="Times New Roman" w:hAnsi="Times New Roman" w:cs="Times New Roman" w:eastAsia="Times New Roman" w:hint="default"/>
        </w:rPr>
        <w:t>6</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00,000.00</w:t>
      </w:r>
      <w:r>
        <w:rPr>
          <w:rFonts w:ascii="Times New Roman" w:hAnsi="Times New Roman" w:cs="Times New Roman" w:eastAsia="Times New Roman" w:hint="default"/>
          <w:spacing w:val="-2"/>
        </w:rPr>
        <w:t> </w:t>
      </w:r>
      <w:r>
        <w:rPr/>
        <w:t>元</w:t>
      </w:r>
      <w:r>
        <w:rPr>
          <w:spacing w:val="-2"/>
        </w:rPr>
        <w:t>的</w:t>
      </w:r>
      <w:r>
        <w:rPr/>
        <w:t>借款期限为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2"/>
        </w:rPr>
        <w:t>日</w:t>
      </w:r>
      <w:r>
        <w:rPr/>
        <w:t>至</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w:t>
      </w:r>
      <w:r>
        <w:rPr>
          <w:spacing w:val="-90"/>
        </w:rPr>
        <w:t>；</w:t>
      </w:r>
      <w:r>
        <w:rPr>
          <w:rFonts w:ascii="Times New Roman" w:hAnsi="Times New Roman" w:cs="Times New Roman" w:eastAsia="Times New Roman" w:hint="default"/>
        </w:rPr>
        <w:t>66,000,0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w:t>
      </w:r>
    </w:p>
    <w:p>
      <w:pPr>
        <w:pStyle w:val="BodyText"/>
        <w:spacing w:line="240" w:lineRule="auto" w:before="64"/>
        <w:ind w:right="1032"/>
        <w:jc w:val="left"/>
      </w:pPr>
      <w:r>
        <w:rPr/>
        <w:t>元的借款期限为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2021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p>
    <w:p>
      <w:pPr>
        <w:pStyle w:val="BodyText"/>
        <w:spacing w:line="240" w:lineRule="auto" w:before="103"/>
        <w:ind w:right="1032"/>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日，江苏超纤在上述担保协议下已开出未到期信用证金额为</w:t>
      </w:r>
      <w:r>
        <w:rPr>
          <w:spacing w:val="-46"/>
        </w:rPr>
        <w:t> </w:t>
      </w:r>
      <w:r>
        <w:rPr>
          <w:rFonts w:ascii="Times New Roman" w:hAnsi="Times New Roman" w:cs="Times New Roman" w:eastAsia="Times New Roman" w:hint="default"/>
        </w:rPr>
        <w:t>7,150,310 </w:t>
      </w:r>
      <w:r>
        <w:rPr/>
        <w:t>美元。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1032"/>
        <w:jc w:val="left"/>
        <w:rPr>
          <w:b w:val="0"/>
          <w:bCs w:val="0"/>
        </w:rPr>
      </w:pPr>
      <w:bookmarkStart w:name="2、或有事项" w:id="340"/>
      <w:bookmarkEnd w:id="34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资产负债表日存在的重要或有事项" w:id="341"/>
      <w:bookmarkEnd w:id="34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2）公司没有需要披露的重要或有事项，也应予以说明" w:id="342"/>
      <w:bookmarkEnd w:id="34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t>公司不存在需要披露的重要或有事项。</w:t>
      </w:r>
    </w:p>
    <w:p>
      <w:pPr>
        <w:spacing w:line="240" w:lineRule="auto" w:before="0"/>
        <w:rPr>
          <w:rFonts w:ascii="宋体" w:hAnsi="宋体" w:cs="宋体" w:eastAsia="宋体" w:hint="default"/>
          <w:sz w:val="25"/>
          <w:szCs w:val="25"/>
        </w:rPr>
      </w:pPr>
    </w:p>
    <w:p>
      <w:pPr>
        <w:pStyle w:val="Heading2"/>
        <w:spacing w:line="240" w:lineRule="auto"/>
        <w:ind w:right="1032"/>
        <w:jc w:val="left"/>
        <w:rPr>
          <w:b w:val="0"/>
          <w:bCs w:val="0"/>
        </w:rPr>
      </w:pPr>
      <w:bookmarkStart w:name="十二、资产负债表日后事项" w:id="343"/>
      <w:bookmarkEnd w:id="343"/>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利润分配情况" w:id="344"/>
      <w:bookmarkEnd w:id="34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39,754,249.85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其他资产负债表日后事项说明" w:id="345"/>
      <w:bookmarkEnd w:id="345"/>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868" w:right="1176"/>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月，威富通与吴川签订股权转让协议，以</w:t>
      </w:r>
      <w:r>
        <w:rPr>
          <w:rFonts w:ascii="Times New Roman" w:hAnsi="Times New Roman" w:cs="Times New Roman" w:eastAsia="Times New Roman" w:hint="default"/>
        </w:rPr>
        <w:t>8,155.00</w:t>
      </w:r>
      <w:r>
        <w:rPr/>
        <w:t>元的价格，将威富通持有白龙移动</w:t>
      </w:r>
      <w:r>
        <w:rPr>
          <w:rFonts w:ascii="Times New Roman" w:hAnsi="Times New Roman" w:cs="Times New Roman" w:eastAsia="Times New Roman" w:hint="default"/>
        </w:rPr>
        <w:t>60%</w:t>
      </w:r>
      <w:r>
        <w:rPr/>
        <w:t>的股权转让 给吴川，并于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日收到股权转让款。白龙移动于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月份就上述事项完成工商变更。</w:t>
      </w:r>
    </w:p>
    <w:p>
      <w:pPr>
        <w:pStyle w:val="BodyText"/>
        <w:spacing w:line="300" w:lineRule="auto" w:before="13"/>
        <w:ind w:left="868" w:right="1125"/>
        <w:jc w:val="left"/>
      </w:pPr>
      <w:r>
        <w:rPr>
          <w:spacing w:val="-7"/>
          <w:w w:val="100"/>
        </w:rPr>
        <w:t>（</w:t>
      </w:r>
      <w:r>
        <w:rPr>
          <w:rFonts w:ascii="Times New Roman" w:hAnsi="Times New Roman" w:cs="Times New Roman" w:eastAsia="Times New Roman" w:hint="default"/>
          <w:spacing w:val="-7"/>
          <w:w w:val="100"/>
        </w:rPr>
        <w:t>2</w:t>
      </w:r>
      <w:r>
        <w:rPr>
          <w:spacing w:val="-7"/>
          <w:w w:val="100"/>
        </w:rPr>
        <w:t>）</w:t>
      </w:r>
      <w:r>
        <w:rPr>
          <w:rFonts w:ascii="Times New Roman" w:hAnsi="Times New Roman" w:cs="Times New Roman" w:eastAsia="Times New Roman" w:hint="default"/>
          <w:spacing w:val="-7"/>
          <w:w w:val="100"/>
        </w:rPr>
        <w:t>2018</w:t>
      </w:r>
      <w:r>
        <w:rPr>
          <w:spacing w:val="-7"/>
          <w:w w:val="100"/>
        </w:rPr>
        <w:t>年</w:t>
      </w:r>
      <w:r>
        <w:rPr>
          <w:rFonts w:ascii="Times New Roman" w:hAnsi="Times New Roman" w:cs="Times New Roman" w:eastAsia="Times New Roman" w:hint="default"/>
          <w:spacing w:val="-7"/>
          <w:w w:val="100"/>
        </w:rPr>
        <w:t>12</w:t>
      </w:r>
      <w:r>
        <w:rPr>
          <w:spacing w:val="-7"/>
          <w:w w:val="100"/>
        </w:rPr>
        <w:t>月，威富通与广州通莞科技股份有限公司（以下简称</w:t>
      </w:r>
      <w:r>
        <w:rPr>
          <w:rFonts w:ascii="Times New Roman" w:hAnsi="Times New Roman" w:cs="Times New Roman" w:eastAsia="Times New Roman" w:hint="default"/>
          <w:spacing w:val="-7"/>
          <w:w w:val="100"/>
        </w:rPr>
        <w:t>“</w:t>
      </w:r>
      <w:r>
        <w:rPr>
          <w:spacing w:val="-7"/>
          <w:w w:val="100"/>
        </w:rPr>
        <w:t>通莞科技</w:t>
      </w:r>
      <w:r>
        <w:rPr>
          <w:rFonts w:ascii="Times New Roman" w:hAnsi="Times New Roman" w:cs="Times New Roman" w:eastAsia="Times New Roman" w:hint="default"/>
          <w:spacing w:val="-7"/>
          <w:w w:val="100"/>
        </w:rPr>
        <w:t>”</w:t>
      </w:r>
      <w:r>
        <w:rPr>
          <w:spacing w:val="-7"/>
          <w:w w:val="100"/>
        </w:rPr>
        <w:t>）签署股份认购协议，以人民币</w:t>
      </w:r>
      <w:r>
        <w:rPr>
          <w:rFonts w:ascii="Times New Roman" w:hAnsi="Times New Roman" w:cs="Times New Roman" w:eastAsia="Times New Roman" w:hint="default"/>
          <w:spacing w:val="-7"/>
          <w:w w:val="100"/>
        </w:rPr>
        <w:t>1,000.50</w:t>
      </w:r>
      <w:r>
        <w:rPr>
          <w:rFonts w:ascii="Times New Roman" w:hAnsi="Times New Roman" w:cs="Times New Roman" w:eastAsia="Times New Roman" w:hint="default"/>
          <w:spacing w:val="-35"/>
          <w:w w:val="100"/>
        </w:rPr>
        <w:t> </w:t>
      </w:r>
      <w:r>
        <w:rPr/>
        <w:t>万元的价格认购通莞科技</w:t>
      </w:r>
      <w:r>
        <w:rPr>
          <w:rFonts w:ascii="Times New Roman" w:hAnsi="Times New Roman" w:cs="Times New Roman" w:eastAsia="Times New Roman" w:hint="default"/>
        </w:rPr>
        <w:t>138</w:t>
      </w:r>
      <w:r>
        <w:rPr/>
        <w:t>万股股份。根据该协议约定，威富通于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月向通莞科技支付股份认购款人民币 </w:t>
      </w:r>
      <w:r>
        <w:rPr>
          <w:rFonts w:ascii="Times New Roman" w:hAnsi="Times New Roman" w:cs="Times New Roman" w:eastAsia="Times New Roman" w:hint="default"/>
        </w:rPr>
        <w:t>1,000.50</w:t>
      </w:r>
      <w:r>
        <w:rPr/>
        <w:t>万元。</w:t>
      </w:r>
    </w:p>
    <w:p>
      <w:pPr>
        <w:pStyle w:val="BodyText"/>
        <w:spacing w:line="300" w:lineRule="auto" w:before="13"/>
        <w:ind w:left="868" w:right="113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月，威富通香港与</w:t>
      </w:r>
      <w:r>
        <w:rPr>
          <w:rFonts w:ascii="Times New Roman" w:hAnsi="Times New Roman" w:cs="Times New Roman" w:eastAsia="Times New Roman" w:hint="default"/>
        </w:rPr>
        <w:t>Huashan Capital One Inc</w:t>
      </w:r>
      <w:r>
        <w:rPr/>
        <w:t>、</w:t>
      </w:r>
      <w:r>
        <w:rPr>
          <w:rFonts w:ascii="Times New Roman" w:hAnsi="Times New Roman" w:cs="Times New Roman" w:eastAsia="Times New Roman" w:hint="default"/>
        </w:rPr>
        <w:t>PSI HOLDING</w:t>
      </w:r>
      <w:r>
        <w:rPr>
          <w:rFonts w:ascii="Times New Roman" w:hAnsi="Times New Roman" w:cs="Times New Roman" w:eastAsia="Times New Roman" w:hint="default"/>
          <w:spacing w:val="-26"/>
        </w:rPr>
        <w:t> </w:t>
      </w:r>
      <w:r>
        <w:rPr>
          <w:rFonts w:ascii="Times New Roman" w:hAnsi="Times New Roman" w:cs="Times New Roman" w:eastAsia="Times New Roman" w:hint="default"/>
        </w:rPr>
        <w:t>LIMITED</w:t>
      </w:r>
      <w:r>
        <w:rPr/>
        <w:t>、上海众合创业投资中心（有限 </w:t>
      </w:r>
      <w:r>
        <w:rPr>
          <w:spacing w:val="-6"/>
          <w:w w:val="99"/>
        </w:rPr>
        <w:t>合伙）、香港易欧科技有限公司、</w:t>
      </w:r>
      <w:r>
        <w:rPr>
          <w:rFonts w:ascii="Times New Roman" w:hAnsi="Times New Roman" w:cs="Times New Roman" w:eastAsia="Times New Roman" w:hint="default"/>
          <w:spacing w:val="-6"/>
          <w:w w:val="99"/>
        </w:rPr>
        <w:t>SAS</w:t>
      </w:r>
      <w:r>
        <w:rPr>
          <w:rFonts w:ascii="Times New Roman" w:hAnsi="Times New Roman" w:cs="Times New Roman" w:eastAsia="Times New Roman" w:hint="default"/>
          <w:spacing w:val="22"/>
          <w:w w:val="99"/>
        </w:rPr>
        <w:t> </w:t>
      </w:r>
      <w:r>
        <w:rPr>
          <w:rFonts w:ascii="Times New Roman" w:hAnsi="Times New Roman" w:cs="Times New Roman" w:eastAsia="Times New Roman" w:hint="default"/>
          <w:spacing w:val="-3"/>
          <w:w w:val="99"/>
        </w:rPr>
        <w:t>EASYEURO</w:t>
      </w:r>
      <w:r>
        <w:rPr>
          <w:spacing w:val="-3"/>
          <w:w w:val="99"/>
        </w:rPr>
        <w:t>（以下简称</w:t>
      </w:r>
      <w:r>
        <w:rPr>
          <w:rFonts w:ascii="Times New Roman" w:hAnsi="Times New Roman" w:cs="Times New Roman" w:eastAsia="Times New Roman" w:hint="default"/>
          <w:spacing w:val="-3"/>
          <w:w w:val="99"/>
        </w:rPr>
        <w:t>“EASYEURO”</w:t>
      </w:r>
      <w:r>
        <w:rPr>
          <w:spacing w:val="-3"/>
          <w:w w:val="99"/>
        </w:rPr>
        <w:t>）、李海洋、薛定胜、张锡及陈宇签署</w:t>
      </w:r>
      <w:r>
        <w:rPr>
          <w:spacing w:val="-83"/>
          <w:w w:val="99"/>
        </w:rPr>
        <w:t> </w:t>
      </w:r>
      <w:r>
        <w:rPr>
          <w:spacing w:val="-83"/>
          <w:w w:val="99"/>
        </w:rPr>
      </w:r>
      <w:r>
        <w:rPr/>
        <w:t>增资协议，以人民币</w:t>
      </w:r>
      <w:r>
        <w:rPr>
          <w:rFonts w:ascii="Times New Roman" w:hAnsi="Times New Roman" w:cs="Times New Roman" w:eastAsia="Times New Roman" w:hint="default"/>
        </w:rPr>
        <w:t>200</w:t>
      </w:r>
      <w:r>
        <w:rPr/>
        <w:t>万元的价格增资</w:t>
      </w:r>
      <w:r>
        <w:rPr>
          <w:rFonts w:ascii="Times New Roman" w:hAnsi="Times New Roman" w:cs="Times New Roman" w:eastAsia="Times New Roman" w:hint="default"/>
        </w:rPr>
        <w:t>EASYEURO</w:t>
      </w:r>
      <w:r>
        <w:rPr/>
        <w:t>，持有</w:t>
      </w:r>
      <w:r>
        <w:rPr>
          <w:rFonts w:ascii="Times New Roman" w:hAnsi="Times New Roman" w:cs="Times New Roman" w:eastAsia="Times New Roman" w:hint="default"/>
        </w:rPr>
        <w:t>EASYEURO</w:t>
      </w:r>
      <w:r>
        <w:rPr>
          <w:rFonts w:ascii="Times New Roman" w:hAnsi="Times New Roman" w:cs="Times New Roman" w:eastAsia="Times New Roman" w:hint="default"/>
          <w:spacing w:val="-4"/>
        </w:rPr>
        <w:t> </w:t>
      </w:r>
      <w:r>
        <w:rPr>
          <w:rFonts w:ascii="Times New Roman" w:hAnsi="Times New Roman" w:cs="Times New Roman" w:eastAsia="Times New Roman" w:hint="default"/>
        </w:rPr>
        <w:t>5.714%</w:t>
      </w:r>
      <w:r>
        <w:rPr/>
        <w:t>的股权。根据该协议约定，威富通 香港于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月向</w:t>
      </w:r>
      <w:r>
        <w:rPr>
          <w:rFonts w:ascii="Times New Roman" w:hAnsi="Times New Roman" w:cs="Times New Roman" w:eastAsia="Times New Roman" w:hint="default"/>
        </w:rPr>
        <w:t>EASYEURO</w:t>
      </w:r>
      <w:r>
        <w:rPr/>
        <w:t>支付增资款港币</w:t>
      </w:r>
      <w:r>
        <w:rPr>
          <w:rFonts w:ascii="Times New Roman" w:hAnsi="Times New Roman" w:cs="Times New Roman" w:eastAsia="Times New Roman" w:hint="default"/>
        </w:rPr>
        <w:t>2,286,370.00</w:t>
      </w:r>
      <w:r>
        <w:rPr/>
        <w:t>元，折合人民币</w:t>
      </w:r>
      <w:r>
        <w:rPr>
          <w:rFonts w:ascii="Times New Roman" w:hAnsi="Times New Roman" w:cs="Times New Roman" w:eastAsia="Times New Roman" w:hint="default"/>
        </w:rPr>
        <w:t>2,002,860.12</w:t>
      </w:r>
      <w:r>
        <w:rPr/>
        <w:t>元。</w:t>
      </w:r>
    </w:p>
    <w:p>
      <w:pPr>
        <w:pStyle w:val="BodyText"/>
        <w:spacing w:line="300" w:lineRule="auto" w:before="13"/>
        <w:ind w:left="868" w:right="113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月，威富通香港与</w:t>
      </w:r>
      <w:r>
        <w:rPr>
          <w:rFonts w:ascii="Times New Roman" w:hAnsi="Times New Roman" w:cs="Times New Roman" w:eastAsia="Times New Roman" w:hint="default"/>
          <w:spacing w:val="-2"/>
        </w:rPr>
        <w:t>Swiftplus</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International</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Limited</w:t>
      </w:r>
      <w:r>
        <w:rPr>
          <w:spacing w:val="-2"/>
        </w:rPr>
        <w:t>（以下简称</w:t>
      </w:r>
      <w:r>
        <w:rPr>
          <w:rFonts w:ascii="Times New Roman" w:hAnsi="Times New Roman" w:cs="Times New Roman" w:eastAsia="Times New Roman" w:hint="default"/>
          <w:spacing w:val="-2"/>
        </w:rPr>
        <w:t>“Swiftplus”</w:t>
      </w:r>
      <w:r>
        <w:rPr>
          <w:spacing w:val="-2"/>
        </w:rPr>
        <w:t>）签署增资协议，以港币</w:t>
      </w:r>
      <w:r>
        <w:rPr>
          <w:rFonts w:ascii="Times New Roman" w:hAnsi="Times New Roman" w:cs="Times New Roman" w:eastAsia="Times New Roman" w:hint="default"/>
          <w:spacing w:val="-2"/>
        </w:rPr>
        <w:t>5,000</w:t>
      </w:r>
      <w:r>
        <w:rPr>
          <w:rFonts w:ascii="Times New Roman" w:hAnsi="Times New Roman" w:cs="Times New Roman" w:eastAsia="Times New Roman" w:hint="default"/>
          <w:spacing w:val="-38"/>
        </w:rPr>
        <w:t> </w:t>
      </w:r>
      <w:r>
        <w:rPr>
          <w:spacing w:val="-1"/>
        </w:rPr>
        <w:t>万元的价格增资</w:t>
      </w:r>
      <w:r>
        <w:rPr>
          <w:rFonts w:ascii="Times New Roman" w:hAnsi="Times New Roman" w:cs="Times New Roman" w:eastAsia="Times New Roman" w:hint="default"/>
          <w:spacing w:val="-1"/>
        </w:rPr>
        <w:t>Swiftplus</w:t>
      </w:r>
      <w:r>
        <w:rPr>
          <w:spacing w:val="-1"/>
        </w:rPr>
        <w:t>，持有</w:t>
      </w:r>
      <w:r>
        <w:rPr>
          <w:rFonts w:ascii="Times New Roman" w:hAnsi="Times New Roman" w:cs="Times New Roman" w:eastAsia="Times New Roman" w:hint="default"/>
          <w:spacing w:val="-1"/>
        </w:rPr>
        <w:t>Swiftplus</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
        </w:rPr>
        <w:t>6.385%</w:t>
      </w:r>
      <w:r>
        <w:rPr>
          <w:spacing w:val="-2"/>
        </w:rPr>
        <w:t>的股权。根据该协议约定，威富通香港于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月分</w:t>
      </w:r>
      <w:r>
        <w:rPr>
          <w:spacing w:val="-84"/>
        </w:rPr>
        <w:t> </w:t>
      </w:r>
      <w:r>
        <w:rPr/>
        <w:t>两次共计向</w:t>
      </w:r>
      <w:r>
        <w:rPr>
          <w:rFonts w:ascii="Times New Roman" w:hAnsi="Times New Roman" w:cs="Times New Roman" w:eastAsia="Times New Roman" w:hint="default"/>
        </w:rPr>
        <w:t>Swiftplus</w:t>
      </w:r>
      <w:r>
        <w:rPr/>
        <w:t>支付增资款港币</w:t>
      </w:r>
      <w:r>
        <w:rPr>
          <w:rFonts w:ascii="Times New Roman" w:hAnsi="Times New Roman" w:cs="Times New Roman" w:eastAsia="Times New Roman" w:hint="default"/>
        </w:rPr>
        <w:t>2,500</w:t>
      </w:r>
      <w:r>
        <w:rPr/>
        <w:t>万元，折合人民币</w:t>
      </w:r>
      <w:r>
        <w:rPr>
          <w:rFonts w:ascii="Times New Roman" w:hAnsi="Times New Roman" w:cs="Times New Roman" w:eastAsia="Times New Roman" w:hint="default"/>
        </w:rPr>
        <w:t>2,158.50</w:t>
      </w:r>
      <w:r>
        <w:rPr/>
        <w:t>万元。</w:t>
      </w:r>
    </w:p>
    <w:p>
      <w:pPr>
        <w:pStyle w:val="BodyText"/>
        <w:spacing w:line="300" w:lineRule="auto" w:before="13"/>
        <w:ind w:left="868" w:right="1129"/>
        <w:jc w:val="both"/>
      </w:pPr>
      <w:r>
        <w:rPr>
          <w:spacing w:val="-1"/>
        </w:rPr>
        <w:t>（</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月，威富通香港与</w:t>
      </w:r>
      <w:r>
        <w:rPr>
          <w:rFonts w:ascii="Times New Roman" w:hAnsi="Times New Roman" w:cs="Times New Roman" w:eastAsia="Times New Roman" w:hint="default"/>
          <w:spacing w:val="-1"/>
        </w:rPr>
        <w:t>Top</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5"/>
          <w:w w:val="99"/>
        </w:rPr>
        <w:t>Value</w:t>
      </w:r>
      <w:r>
        <w:rPr>
          <w:rFonts w:ascii="Times New Roman" w:hAnsi="Times New Roman" w:cs="Times New Roman" w:eastAsia="Times New Roman" w:hint="default"/>
          <w:spacing w:val="12"/>
          <w:w w:val="99"/>
        </w:rPr>
        <w:t> </w:t>
      </w:r>
      <w:r>
        <w:rPr>
          <w:rFonts w:ascii="Times New Roman" w:hAnsi="Times New Roman" w:cs="Times New Roman" w:eastAsia="Times New Roman" w:hint="default"/>
          <w:spacing w:val="-5"/>
        </w:rPr>
        <w:t>limited</w:t>
      </w:r>
      <w:r>
        <w:rPr>
          <w:spacing w:val="-5"/>
        </w:rPr>
        <w:t>（以下简称</w:t>
      </w:r>
      <w:r>
        <w:rPr>
          <w:rFonts w:ascii="Times New Roman" w:hAnsi="Times New Roman" w:cs="Times New Roman" w:eastAsia="Times New Roman" w:hint="default"/>
          <w:spacing w:val="-5"/>
        </w:rPr>
        <w:t>“Top”</w:t>
      </w:r>
      <w:r>
        <w:rPr>
          <w:spacing w:val="-5"/>
        </w:rPr>
        <w:t>）、</w:t>
      </w:r>
      <w:r>
        <w:rPr>
          <w:rFonts w:ascii="Times New Roman" w:hAnsi="Times New Roman" w:cs="Times New Roman" w:eastAsia="Times New Roman" w:hint="default"/>
          <w:spacing w:val="-5"/>
        </w:rPr>
        <w:t>YINGFEI</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
          <w:w w:val="99"/>
        </w:rPr>
        <w:t>SHEN</w:t>
      </w:r>
      <w:r>
        <w:rPr>
          <w:spacing w:val="-1"/>
          <w:w w:val="99"/>
        </w:rPr>
        <w:t>及深圳市世纪银中实业有限</w:t>
      </w:r>
      <w:r>
        <w:rPr>
          <w:spacing w:val="-78"/>
          <w:w w:val="99"/>
        </w:rPr>
        <w:t> </w:t>
      </w:r>
      <w:r>
        <w:rPr>
          <w:spacing w:val="-2"/>
        </w:rPr>
        <w:t>公司签署增资协议，以人民币</w:t>
      </w:r>
      <w:r>
        <w:rPr>
          <w:rFonts w:ascii="Times New Roman" w:hAnsi="Times New Roman" w:cs="Times New Roman" w:eastAsia="Times New Roman" w:hint="default"/>
          <w:spacing w:val="-2"/>
        </w:rPr>
        <w:t>400</w:t>
      </w:r>
      <w:r>
        <w:rPr>
          <w:spacing w:val="-2"/>
        </w:rPr>
        <w:t>万元的价格增资</w:t>
      </w:r>
      <w:r>
        <w:rPr>
          <w:rFonts w:ascii="Times New Roman" w:hAnsi="Times New Roman" w:cs="Times New Roman" w:eastAsia="Times New Roman" w:hint="default"/>
          <w:spacing w:val="-2"/>
        </w:rPr>
        <w:t>Top</w:t>
      </w:r>
      <w:r>
        <w:rPr>
          <w:spacing w:val="-2"/>
        </w:rPr>
        <w:t>，持有</w:t>
      </w:r>
      <w:r>
        <w:rPr>
          <w:rFonts w:ascii="Times New Roman" w:hAnsi="Times New Roman" w:cs="Times New Roman" w:eastAsia="Times New Roman" w:hint="default"/>
          <w:spacing w:val="-2"/>
        </w:rPr>
        <w:t>Top</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1"/>
        </w:rPr>
        <w:t>40%</w:t>
      </w:r>
      <w:r>
        <w:rPr>
          <w:spacing w:val="-1"/>
        </w:rPr>
        <w:t>的股权。根据该协议约定，威富通香港于</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w:t>
      </w:r>
      <w:r>
        <w:rPr/>
        <w:t>月向</w:t>
      </w:r>
      <w:r>
        <w:rPr>
          <w:rFonts w:ascii="Times New Roman" w:hAnsi="Times New Roman" w:cs="Times New Roman" w:eastAsia="Times New Roman" w:hint="default"/>
        </w:rPr>
        <w:t>Top</w:t>
      </w:r>
      <w:r>
        <w:rPr/>
        <w:t>支付增资款港币</w:t>
      </w:r>
      <w:r>
        <w:rPr>
          <w:rFonts w:ascii="Times New Roman" w:hAnsi="Times New Roman" w:cs="Times New Roman" w:eastAsia="Times New Roman" w:hint="default"/>
        </w:rPr>
        <w:t>1,738,590.00</w:t>
      </w:r>
      <w:r>
        <w:rPr/>
        <w:t>元，折合人民币</w:t>
      </w:r>
      <w:r>
        <w:rPr>
          <w:rFonts w:ascii="Times New Roman" w:hAnsi="Times New Roman" w:cs="Times New Roman" w:eastAsia="Times New Roman" w:hint="default"/>
        </w:rPr>
        <w:t>1,523,004.84</w:t>
      </w:r>
      <w:r>
        <w:rPr/>
        <w:t>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1032"/>
        <w:jc w:val="left"/>
        <w:rPr>
          <w:b w:val="0"/>
          <w:bCs w:val="0"/>
        </w:rPr>
      </w:pPr>
      <w:bookmarkStart w:name="十三、母公司财务报表主要项目注释" w:id="346"/>
      <w:bookmarkEnd w:id="346"/>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收票据及应收账款" w:id="347"/>
      <w:bookmarkEnd w:id="347"/>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28,667,943.43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22,149,690.76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375,344,025.45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248,811,921.08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404,011,968.88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270,961,611.84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1）应收票据" w:id="348"/>
      <w:bookmarkEnd w:id="34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28,667,943.43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22,149,690.76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28,667,943.43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22,149,690.76</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6"/>
        <w:gridCol w:w="762"/>
        <w:gridCol w:w="762"/>
        <w:gridCol w:w="762"/>
        <w:gridCol w:w="763"/>
        <w:gridCol w:w="768"/>
        <w:gridCol w:w="798"/>
        <w:gridCol w:w="797"/>
        <w:gridCol w:w="798"/>
        <w:gridCol w:w="791"/>
        <w:gridCol w:w="931"/>
      </w:tblGrid>
      <w:tr>
        <w:trPr>
          <w:trHeight w:val="402" w:hRule="exact"/>
        </w:trPr>
        <w:tc>
          <w:tcPr>
            <w:tcW w:w="1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6" w:type="dxa"/>
            <w:vMerge/>
            <w:tcBorders>
              <w:left w:val="single" w:sz="4" w:space="0" w:color="000000"/>
              <w:right w:val="single" w:sz="4" w:space="0" w:color="000000"/>
            </w:tcBorders>
            <w:shd w:val="clear" w:color="auto" w:fill="D2D2D2"/>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87" w:right="10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6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032"/>
        <w:jc w:val="left"/>
      </w:pPr>
      <w:r>
        <w:rPr/>
        <w:t>按单项计提坏账准备：</w:t>
      </w:r>
    </w:p>
    <w:p>
      <w:pPr>
        <w:pStyle w:val="BodyText"/>
        <w:spacing w:line="240" w:lineRule="auto" w:before="117"/>
        <w:ind w:left="0" w:right="1130"/>
        <w:jc w:val="right"/>
      </w:pPr>
      <w:r>
        <w:rPr/>
        <w:t>单位：</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1032"/>
        <w:jc w:val="left"/>
      </w:pPr>
      <w:r>
        <w:rPr/>
        <w:t>按组合计提坏账准备：</w:t>
      </w:r>
    </w:p>
    <w:p>
      <w:pPr>
        <w:pStyle w:val="BodyText"/>
        <w:spacing w:line="240" w:lineRule="auto" w:before="117"/>
        <w:ind w:left="0" w:right="1130"/>
        <w:jc w:val="right"/>
      </w:pPr>
      <w:r>
        <w:rPr/>
        <w:t>单位：</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2"/>
        <w:ind w:right="1752"/>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32"/>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132,319,745.03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132,319,745.03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应收账款" w:id="349"/>
      <w:bookmarkEnd w:id="34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6"/>
        <w:gridCol w:w="1524"/>
        <w:gridCol w:w="1526"/>
        <w:gridCol w:w="790"/>
        <w:gridCol w:w="1574"/>
        <w:gridCol w:w="1588"/>
        <w:gridCol w:w="932"/>
      </w:tblGrid>
      <w:tr>
        <w:trPr>
          <w:trHeight w:val="402" w:hRule="exact"/>
        </w:trPr>
        <w:tc>
          <w:tcPr>
            <w:tcW w:w="1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6"/>
        <w:gridCol w:w="762"/>
        <w:gridCol w:w="762"/>
        <w:gridCol w:w="762"/>
        <w:gridCol w:w="763"/>
        <w:gridCol w:w="790"/>
        <w:gridCol w:w="775"/>
        <w:gridCol w:w="798"/>
        <w:gridCol w:w="798"/>
        <w:gridCol w:w="790"/>
        <w:gridCol w:w="932"/>
      </w:tblGrid>
      <w:tr>
        <w:trPr>
          <w:trHeight w:val="161" w:hRule="exact"/>
        </w:trPr>
        <w:tc>
          <w:tcPr>
            <w:tcW w:w="1636" w:type="dxa"/>
            <w:vMerge w:val="restart"/>
            <w:tcBorders>
              <w:top w:val="single" w:sz="4" w:space="0" w:color="000000"/>
              <w:left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36" w:type="dxa"/>
            <w:vMerge/>
            <w:tcBorders>
              <w:left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385,128,</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008.91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9,783,98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3.46</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375,344,0</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25.45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258,212,4</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36.27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9,400,515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.19</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248,811,92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139,004,</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507.41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36.09%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9,783,98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129,220,5</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23.95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159,305,0</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63.50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61.70%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9,400,515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149,904,54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8.31</w:t>
            </w:r>
          </w:p>
        </w:tc>
      </w:tr>
      <w:tr>
        <w:trPr>
          <w:trHeight w:val="714"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246,123,</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501.50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63.91%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246,123,5</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01.50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98,907,37</w:t>
            </w:r>
          </w:p>
          <w:p>
            <w:pPr>
              <w:pStyle w:val="TableParagraph"/>
              <w:spacing w:line="240" w:lineRule="auto" w:before="106"/>
              <w:ind w:left="428" w:right="0"/>
              <w:jc w:val="left"/>
              <w:rPr>
                <w:rFonts w:ascii="Times New Roman" w:hAnsi="Times New Roman" w:cs="Times New Roman" w:eastAsia="Times New Roman" w:hint="default"/>
                <w:sz w:val="18"/>
                <w:szCs w:val="18"/>
              </w:rPr>
            </w:pPr>
            <w:r>
              <w:rPr>
                <w:rFonts w:ascii="Times New Roman"/>
                <w:sz w:val="18"/>
              </w:rPr>
              <w:t>2.77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38.30%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98,907,372.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385,128,</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008.91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9,783,98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3.46</w:t>
            </w:r>
          </w:p>
        </w:tc>
        <w:tc>
          <w:tcPr>
            <w:tcW w:w="763"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375,344,0</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25.45</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258,212,4</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36.27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100.00%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9,400,515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.19</w:t>
            </w:r>
          </w:p>
        </w:tc>
        <w:tc>
          <w:tcPr>
            <w:tcW w:w="790"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248,811,92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1.08</w:t>
            </w:r>
          </w:p>
        </w:tc>
      </w:tr>
      <w:tr>
        <w:trPr>
          <w:trHeight w:val="392" w:hRule="exact"/>
        </w:trPr>
        <w:tc>
          <w:tcPr>
            <w:tcW w:w="1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2"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32"/>
        <w:jc w:val="left"/>
      </w:pPr>
      <w:r>
        <w:rPr/>
        <w:t>按单项计提坏账准备：</w:t>
      </w:r>
    </w:p>
    <w:p>
      <w:pPr>
        <w:pStyle w:val="BodyText"/>
        <w:spacing w:line="240" w:lineRule="auto" w:before="117"/>
        <w:ind w:left="0" w:right="1130"/>
        <w:jc w:val="right"/>
      </w:pPr>
      <w:r>
        <w:rPr/>
        <w:t>单位：</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1032"/>
        <w:jc w:val="left"/>
      </w:pPr>
      <w:r>
        <w:rPr/>
        <w:t>按组合计提坏账准备：</w:t>
      </w:r>
    </w:p>
    <w:p>
      <w:pPr>
        <w:pStyle w:val="BodyText"/>
        <w:spacing w:line="240" w:lineRule="auto" w:before="116"/>
        <w:ind w:left="0" w:right="1130"/>
        <w:jc w:val="right"/>
      </w:pPr>
      <w:r>
        <w:rPr/>
        <w:t>单位：</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right="1752"/>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按账龄披露</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132,603,765.98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3,093,339.53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1,103,249.50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2,204,152.40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139,004,507.41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0" w:lineRule="auto" w:before="51"/>
        <w:ind w:right="-20"/>
        <w:jc w:val="left"/>
      </w:pPr>
      <w:r>
        <w:rPr>
          <w:rFonts w:ascii="Times New Roman" w:hAnsi="Times New Roman" w:cs="Times New Roman" w:eastAsia="Times New Roman" w:hint="default"/>
        </w:rPr>
        <w:t>2</w:t>
      </w:r>
      <w:r>
        <w:rPr/>
        <w:t>）本期计提、收回或转回的坏账准备情况 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3485" w:space="534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032"/>
        <w:jc w:val="left"/>
      </w:pPr>
      <w:r>
        <w:rPr/>
        <w:t>其中本期坏账准备收回或转回金额重要的：</w:t>
      </w:r>
    </w:p>
    <w:p>
      <w:pPr>
        <w:spacing w:after="0" w:line="240" w:lineRule="auto"/>
        <w:jc w:val="left"/>
        <w:sectPr>
          <w:type w:val="continuous"/>
          <w:pgSz w:w="11910" w:h="16840"/>
          <w:pgMar w:top="1060" w:bottom="70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1032"/>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566,223.44</w:t>
            </w:r>
          </w:p>
        </w:tc>
      </w:tr>
    </w:tbl>
    <w:p>
      <w:pPr>
        <w:pStyle w:val="BodyText"/>
        <w:spacing w:line="240" w:lineRule="auto" w:before="51"/>
        <w:ind w:right="1032"/>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032"/>
        <w:jc w:val="left"/>
      </w:pPr>
      <w:r>
        <w:rPr/>
        <w:t>应收账款核销说明：</w:t>
      </w:r>
    </w:p>
    <w:p>
      <w:pPr>
        <w:pStyle w:val="BodyText"/>
        <w:spacing w:line="240" w:lineRule="auto" w:before="117"/>
        <w:ind w:right="103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753" w:type="dxa"/>
        <w:tblLayout w:type="fixed"/>
        <w:tblCellMar>
          <w:top w:w="0" w:type="dxa"/>
          <w:left w:w="0" w:type="dxa"/>
          <w:bottom w:w="0" w:type="dxa"/>
          <w:right w:w="0" w:type="dxa"/>
        </w:tblCellMar>
        <w:tblLook w:val="01E0"/>
      </w:tblPr>
      <w:tblGrid>
        <w:gridCol w:w="2938"/>
        <w:gridCol w:w="1679"/>
        <w:gridCol w:w="1483"/>
        <w:gridCol w:w="1714"/>
      </w:tblGrid>
      <w:tr>
        <w:trPr>
          <w:trHeight w:val="355" w:hRule="exact"/>
        </w:trPr>
        <w:tc>
          <w:tcPr>
            <w:tcW w:w="293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7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2938" w:type="dxa"/>
            <w:vMerge/>
            <w:tcBorders>
              <w:left w:val="single" w:sz="6" w:space="0" w:color="000000"/>
              <w:bottom w:val="single" w:sz="12" w:space="0" w:color="000000"/>
              <w:right w:val="single" w:sz="6" w:space="0" w:color="000000"/>
            </w:tcBorders>
          </w:tcPr>
          <w:p>
            <w:pP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28" w:right="13"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246,123,501.50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63.91%</w:t>
            </w:r>
          </w:p>
        </w:tc>
        <w:tc>
          <w:tcPr>
            <w:tcW w:w="171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28,728,064.16</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7.46%</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1,436,403.21</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15,160,593.05</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3.94%</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758,029.65</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2"/>
                <w:sz w:val="18"/>
              </w:rPr>
              <w:t>11,211,109.80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2.91%</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560,555.49</w:t>
            </w:r>
          </w:p>
        </w:tc>
      </w:tr>
      <w:tr>
        <w:trPr>
          <w:trHeight w:val="352"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6,161,497.99</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1.60%</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308,074.90</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307,384,766.50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79.81%</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3,063,063.25</w:t>
            </w:r>
          </w:p>
        </w:tc>
      </w:tr>
    </w:tbl>
    <w:p>
      <w:pPr>
        <w:spacing w:line="240" w:lineRule="auto" w:before="5"/>
        <w:rPr>
          <w:rFonts w:ascii="宋体" w:hAnsi="宋体" w:cs="宋体" w:eastAsia="宋体" w:hint="default"/>
          <w:sz w:val="24"/>
          <w:szCs w:val="24"/>
        </w:rPr>
      </w:pPr>
    </w:p>
    <w:p>
      <w:pPr>
        <w:pStyle w:val="BodyText"/>
        <w:spacing w:line="338" w:lineRule="auto" w:before="44"/>
        <w:ind w:right="7422"/>
        <w:jc w:val="left"/>
      </w:pPr>
      <w:r>
        <w:rPr>
          <w:rFonts w:ascii="Times New Roman" w:hAnsi="Times New Roman" w:cs="Times New Roman" w:eastAsia="Times New Roman" w:hint="default"/>
        </w:rPr>
        <w:t>5</w:t>
      </w:r>
      <w:r>
        <w:rPr/>
        <w:t>）因金融资产转移而终止确认的应收账款 无</w:t>
      </w:r>
    </w:p>
    <w:p>
      <w:pPr>
        <w:spacing w:line="240" w:lineRule="auto" w:before="4"/>
        <w:rPr>
          <w:rFonts w:ascii="宋体" w:hAnsi="宋体" w:cs="宋体" w:eastAsia="宋体" w:hint="default"/>
          <w:sz w:val="21"/>
          <w:szCs w:val="21"/>
        </w:rPr>
      </w:pPr>
    </w:p>
    <w:p>
      <w:pPr>
        <w:pStyle w:val="Heading3"/>
        <w:spacing w:line="240" w:lineRule="auto"/>
        <w:ind w:right="1032"/>
        <w:jc w:val="left"/>
        <w:rPr>
          <w:b w:val="0"/>
          <w:bCs w:val="0"/>
        </w:rPr>
      </w:pPr>
      <w:bookmarkStart w:name="2、其他应收款" w:id="350"/>
      <w:bookmarkEnd w:id="35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313,715,296.03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270,990,854.50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313,715,296.03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270,990,854.50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其他应收款" w:id="351"/>
      <w:bookmarkEnd w:id="351"/>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）其他应收款按款项性质分类情况</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预付进口关税及增值税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3,890,552.30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3,166,840.19</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pgNumType w:start="157"/>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1,190,649.08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308,067,195.49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265,354,814.43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1,033,066.79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454,379.07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962,707.71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1,301,640.92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313,953,522.29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271,468,323.69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0" w:lineRule="auto" w:before="51"/>
        <w:ind w:right="-20"/>
        <w:jc w:val="left"/>
      </w:pPr>
      <w:r>
        <w:rPr>
          <w:rFonts w:ascii="Times New Roman" w:hAnsi="Times New Roman" w:cs="Times New Roman" w:eastAsia="Times New Roman" w:hint="default"/>
        </w:rPr>
        <w:t>2</w:t>
      </w:r>
      <w:r>
        <w:rPr/>
        <w:t>）本期计提、收回或转回的坏账准备情况 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700" w:left="980" w:right="0"/>
          <w:cols w:num="2" w:equalWidth="0">
            <w:col w:w="3485" w:space="534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477,469.19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-244,956.57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232,512.62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477,469.19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-244,956.57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232,512.62</w:t>
            </w:r>
          </w:p>
        </w:tc>
      </w:tr>
    </w:tbl>
    <w:p>
      <w:pPr>
        <w:pStyle w:val="BodyText"/>
        <w:spacing w:line="240" w:lineRule="auto" w:before="51"/>
        <w:ind w:right="1032"/>
        <w:jc w:val="left"/>
      </w:pPr>
      <w:r>
        <w:rPr/>
        <w:t>其中本期坏账准备转回或收回金额重要的：</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032"/>
        <w:jc w:val="left"/>
      </w:pPr>
      <w:r>
        <w:rPr>
          <w:rFonts w:ascii="Times New Roman" w:hAnsi="Times New Roman" w:cs="Times New Roman" w:eastAsia="Times New Roman" w:hint="default"/>
        </w:rPr>
        <w:t>3</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307,334,137.45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97.89%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增值税及关税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3,890,552.30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房租及押金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展费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325,465.00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27,073.25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245,601.79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12,280.09</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312,257,756.54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62,453.34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长期股权投资" w:id="352"/>
      <w:bookmarkEnd w:id="35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3,550,000,000.00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5,885.95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3,550,005,885.95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3,550,005,885.95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3,550,000,000.00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70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1）对子公司投资" w:id="353"/>
      <w:bookmarkEnd w:id="35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1,500,000,000.00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1,500,000,000.00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威富通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2,050,000,000.00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2,050,000,000.00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3,550,000,000.00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3,550,000,000.00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对联营、合营企业投资" w:id="354"/>
      <w:bookmarkEnd w:id="35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华峰创享</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5,885.95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5,885.95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5,885.95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营业收入和营业成本" w:id="355"/>
      <w:bookmarkEnd w:id="35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1,268,121,022.07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1,007,340,915.23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1,354,209,896.36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1,067,927,751.67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82,541,233.81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69,211,597.11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112,360,129.80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97,857,120.43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1,350,662,255.88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1,076,552,512.34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1,466,570,026.16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1,165,784,872.10</w:t>
            </w:r>
          </w:p>
        </w:tc>
      </w:tr>
    </w:tbl>
    <w:p>
      <w:pPr>
        <w:pStyle w:val="BodyText"/>
        <w:spacing w:line="357" w:lineRule="auto" w:before="51"/>
        <w:ind w:right="9492"/>
        <w:jc w:val="left"/>
      </w:pPr>
      <w:r>
        <w:rPr/>
        <w:t>收入相关信息： 无</w:t>
      </w:r>
    </w:p>
    <w:p>
      <w:pPr>
        <w:pStyle w:val="BodyText"/>
        <w:spacing w:line="240" w:lineRule="auto" w:before="29"/>
        <w:ind w:right="1032"/>
        <w:jc w:val="left"/>
      </w:pPr>
      <w:r>
        <w:rPr/>
        <w:t>与分摊至剩余履约义务的交易价格相关的信息：</w:t>
      </w:r>
    </w:p>
    <w:p>
      <w:pPr>
        <w:pStyle w:val="BodyText"/>
        <w:spacing w:line="302" w:lineRule="auto" w:before="116"/>
        <w:ind w:right="1167"/>
        <w:jc w:val="left"/>
      </w:pPr>
      <w:r>
        <w:rPr/>
        <w:t>本报告期末已签订合同、但尚未履行或尚未履行完毕的履约义务所对应的收入金额为</w:t>
      </w:r>
      <w:r>
        <w:rPr>
          <w:spacing w:val="-45"/>
        </w:rPr>
        <w:t> </w:t>
      </w:r>
      <w:r>
        <w:rPr>
          <w:rFonts w:ascii="Times New Roman" w:hAnsi="Times New Roman" w:cs="Times New Roman" w:eastAsia="Times New Roman" w:hint="default"/>
        </w:rPr>
        <w:t>0.00 </w:t>
      </w:r>
      <w:r>
        <w:rPr/>
        <w:t>元，其中，元预计将于年度确认 收入，元预计将于年度确认收入，元预计将于年度确认收入。</w:t>
      </w:r>
    </w:p>
    <w:p>
      <w:pPr>
        <w:pStyle w:val="BodyText"/>
        <w:spacing w:line="240" w:lineRule="auto" w:before="69"/>
        <w:ind w:right="103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5、投资收益" w:id="356"/>
      <w:bookmarkEnd w:id="35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-194,114.05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-2,147,500.00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-5,038,810.35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319,624.05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29,978,010.00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-5,038,810.35</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十四、补充资料" w:id="357"/>
      <w:bookmarkEnd w:id="357"/>
      <w:r>
        <w:rPr>
          <w:b w:val="0"/>
          <w:bCs w:val="0"/>
        </w:rPr>
      </w:r>
      <w:r>
        <w:rPr/>
        <w:t>十四、补充资料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当期非经常性损益明细表" w:id="358"/>
      <w:bookmarkEnd w:id="35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-1,048,177.66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29,953,607.86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297,540.82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10,089,719.46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1,371,034.90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222,905.05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79,515,359.75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14,680,400.77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81,417.22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105,640,172.19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2"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净资产收益率及每股收益" w:id="359"/>
      <w:bookmarkEnd w:id="35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3、境内外会计准则下会计数据差异" w:id="360"/>
      <w:bookmarkEnd w:id="36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同时按照国际会计准则与按中国会计准则披露的财务报告中净利润和净资产差异情况" w:id="361"/>
      <w:bookmarkEnd w:id="36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同时按照境外会计准则与按中国会计准则披露的财务报告中净利润和净资产差异情况" w:id="362"/>
      <w:bookmarkEnd w:id="36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4、其他" w:id="363"/>
      <w:bookmarkEnd w:id="36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032"/>
        <w:jc w:val="left"/>
        <w:rPr>
          <w:b w:val="0"/>
          <w:bCs w:val="0"/>
        </w:rPr>
      </w:pPr>
      <w:bookmarkStart w:name="_TOC_250000" w:id="364"/>
      <w:bookmarkStart w:name="第十二节 备查文件目录" w:id="365"/>
      <w:r>
        <w:rPr>
          <w:b w:val="0"/>
          <w:bCs w:val="0"/>
        </w:rPr>
      </w:r>
      <w:r>
        <w:rPr/>
        <w:t>第十二节</w:t>
      </w:r>
      <w:r>
        <w:rPr>
          <w:spacing w:val="-8"/>
        </w:rPr>
        <w:t> </w:t>
      </w:r>
      <w:r>
        <w:rPr/>
        <w:t>备查文件目录</w:t>
      </w:r>
      <w:bookmarkEnd w:id="364"/>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1752"/>
        <w:jc w:val="left"/>
      </w:pPr>
      <w:r>
        <w:rPr/>
        <w:t>一、载有公司法定代表人、主管会计工作负责人、公司会计机构负责人（会计主管人员）签名并盖章的财务报表。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2018</w:t>
      </w:r>
      <w:r>
        <w:rPr/>
        <w:t>年年度报告文本原件。</w:t>
      </w:r>
    </w:p>
    <w:p>
      <w:pPr>
        <w:pStyle w:val="BodyText"/>
        <w:spacing w:line="316" w:lineRule="auto"/>
        <w:ind w:right="4902"/>
        <w:jc w:val="left"/>
      </w:pPr>
      <w:r>
        <w:rPr/>
        <w:t>五、其他相关资料。 以上备查文件的备置地点：上海市金山区亭卫南路</w:t>
      </w:r>
      <w:r>
        <w:rPr>
          <w:rFonts w:ascii="Times New Roman" w:hAnsi="Times New Roman" w:cs="Times New Roman" w:eastAsia="Times New Roman" w:hint="default"/>
        </w:rPr>
        <w:t>888</w:t>
      </w:r>
      <w:r>
        <w:rPr/>
        <w:t>号公司证券事务部。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pStyle w:val="BodyText"/>
        <w:spacing w:line="240" w:lineRule="auto"/>
        <w:ind w:left="0" w:right="1130"/>
        <w:jc w:val="right"/>
      </w:pPr>
      <w:r>
        <w:rPr/>
        <w:t>上海华峰超纤材料股份有限公司</w:t>
      </w:r>
    </w:p>
    <w:p>
      <w:pPr>
        <w:pStyle w:val="BodyText"/>
        <w:spacing w:line="240" w:lineRule="auto" w:before="76"/>
        <w:ind w:left="0" w:right="1130"/>
        <w:jc w:val="right"/>
      </w:pPr>
      <w:r>
        <w:rPr/>
        <w:t>法定代表人：尤小平</w:t>
      </w:r>
    </w:p>
    <w:p>
      <w:pPr>
        <w:pStyle w:val="BodyText"/>
        <w:spacing w:line="240" w:lineRule="auto" w:before="76"/>
        <w:ind w:left="0" w:right="113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152"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128" type="#_x0000_t75" stroked="false">
          <v:imagedata r:id="rId1" o:title=""/>
        </v:shape>
      </w:pict>
    </w:r>
    <w:r>
      <w:rPr/>
      <w:pict>
        <v:shape style="position:absolute;margin-left:527.679993pt;margin-top:781.957947pt;width:13pt;height:11pt;mso-position-horizontal-relative:page;mso-position-vertical-relative:page;z-index:-947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080" type="#_x0000_t75" stroked="false">
          <v:imagedata r:id="rId1" o:title=""/>
        </v:shape>
      </w:pict>
    </w:r>
    <w:r>
      <w:rPr/>
      <w:pict>
        <v:shape style="position:absolute;margin-left:524.179993pt;margin-top:781.957947pt;width:15.5pt;height:11pt;mso-position-horizontal-relative:page;mso-position-vertical-relative:page;z-index:-9470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032" type="#_x0000_t75" stroked="false">
          <v:imagedata r:id="rId1" o:title=""/>
        </v:shape>
      </w:pict>
    </w:r>
    <w:r>
      <w:rPr/>
      <w:pict>
        <v:shape style="position:absolute;margin-left:523.179993pt;margin-top:781.957947pt;width:17.5pt;height:11pt;mso-position-horizontal-relative:page;mso-position-vertical-relative:page;z-index:-947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84" type="#_x0000_t75" stroked="false">
          <v:imagedata r:id="rId1" o:title=""/>
        </v:shape>
      </w:pict>
    </w:r>
    <w:r>
      <w:rPr/>
      <w:pict>
        <v:shape style="position:absolute;margin-left:523.179993pt;margin-top:781.957947pt;width:17.5pt;height:11pt;mso-position-horizontal-relative:page;mso-position-vertical-relative:page;z-index:-946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47176" type="#_x0000_t202" filled="false" stroked="false">
          <v:textbox inset="0,0,0,0">
            <w:txbxContent>
              <w:p>
                <w:pPr>
                  <w:pStyle w:val="BodyText"/>
                  <w:spacing w:line="214" w:lineRule="exact"/>
                  <w:ind w:left="20" w:right="0"/>
                  <w:jc w:val="left"/>
                </w:pPr>
                <w:r>
                  <w:rPr/>
                  <w:t>上海华峰超纤材料股份有限公司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89"/>
      <w:ind w:left="154"/>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microfibre.huafeng.com/" TargetMode="External"/><Relationship Id="rId10" Type="http://schemas.openxmlformats.org/officeDocument/2006/relationships/hyperlink" Target="http://www.hfmicrofibre.com/" TargetMode="External"/><Relationship Id="rId11" Type="http://schemas.openxmlformats.org/officeDocument/2006/relationships/hyperlink" Target="mailto:chengming2003@126.com" TargetMode="External"/><Relationship Id="rId12" Type="http://schemas.openxmlformats.org/officeDocument/2006/relationships/hyperlink" Target="mailto:fu.juan@huafeng.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上海华峰超纤材料股份有限公司</dc:creator>
  <dc:title>上海华峰超纤材料股份有限公司2018年年度报告全文</dc:title>
  <dcterms:created xsi:type="dcterms:W3CDTF">2020-05-05T04:05:22Z</dcterms:created>
  <dcterms:modified xsi:type="dcterms:W3CDTF">2020-05-05T04:05:22Z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