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1"/>
          <w:szCs w:val="21"/>
        </w:rPr>
      </w:pPr>
    </w:p>
    <w:p>
      <w:pPr>
        <w:spacing w:line="540" w:lineRule="exact" w:before="0"/>
        <w:ind w:left="1067" w:right="1067" w:firstLine="0"/>
        <w:jc w:val="center"/>
        <w:rPr>
          <w:rFonts w:ascii="黑体" w:hAnsi="黑体" w:cs="黑体" w:eastAsia="黑体" w:hint="default"/>
          <w:sz w:val="44"/>
          <w:szCs w:val="44"/>
        </w:rPr>
      </w:pPr>
      <w:r>
        <w:rPr>
          <w:rFonts w:ascii="黑体" w:hAnsi="黑体" w:cs="黑体" w:eastAsia="黑体" w:hint="default"/>
          <w:b/>
          <w:bCs/>
          <w:sz w:val="44"/>
          <w:szCs w:val="44"/>
        </w:rPr>
        <w:t>厦门市美亚柏科信息股份有限公司</w:t>
      </w:r>
      <w:r>
        <w:rPr>
          <w:rFonts w:ascii="黑体" w:hAnsi="黑体" w:cs="黑体" w:eastAsia="黑体" w:hint="default"/>
          <w:sz w:val="44"/>
          <w:szCs w:val="44"/>
        </w:rPr>
      </w:r>
    </w:p>
    <w:p>
      <w:pPr>
        <w:pStyle w:val="Heading2"/>
        <w:spacing w:line="240" w:lineRule="auto" w:before="107"/>
        <w:ind w:left="1067" w:right="1067"/>
        <w:jc w:val="center"/>
        <w:rPr>
          <w:rFonts w:ascii="Times New Roman" w:hAnsi="Times New Roman" w:cs="Times New Roman" w:eastAsia="Times New Roman" w:hint="default"/>
          <w:b w:val="0"/>
          <w:bCs w:val="0"/>
        </w:rPr>
      </w:pPr>
      <w:r>
        <w:rPr>
          <w:rFonts w:ascii="Times New Roman"/>
        </w:rPr>
        <w:t>XIAMEN </w:t>
      </w:r>
      <w:r>
        <w:rPr>
          <w:rFonts w:ascii="Times New Roman"/>
          <w:spacing w:val="-6"/>
        </w:rPr>
        <w:t>MEIYA </w:t>
      </w:r>
      <w:r>
        <w:rPr>
          <w:rFonts w:ascii="Times New Roman"/>
        </w:rPr>
        <w:t>PICO INFORMATION CO.,</w:t>
      </w:r>
      <w:r>
        <w:rPr>
          <w:rFonts w:ascii="Times New Roman"/>
          <w:spacing w:val="-32"/>
        </w:rPr>
        <w:t> </w:t>
      </w:r>
      <w:r>
        <w:rPr>
          <w:rFonts w:ascii="Times New Roman"/>
          <w:spacing w:val="-7"/>
        </w:rPr>
        <w:t>LTD.</w:t>
      </w:r>
      <w:r>
        <w:rPr>
          <w:rFonts w:ascii="Times New Roman"/>
          <w:b w:val="0"/>
          <w:spacing w:val="-7"/>
        </w:rPr>
      </w:r>
    </w:p>
    <w:p>
      <w:pPr>
        <w:spacing w:line="240" w:lineRule="auto" w:before="0"/>
        <w:rPr>
          <w:rFonts w:ascii="Times New Roman" w:hAnsi="Times New Roman" w:cs="Times New Roman" w:eastAsia="Times New Roman" w:hint="default"/>
          <w:b/>
          <w:bCs/>
          <w:sz w:val="20"/>
          <w:szCs w:val="20"/>
        </w:rPr>
      </w:pPr>
    </w:p>
    <w:p>
      <w:pPr>
        <w:spacing w:line="240" w:lineRule="auto" w:before="4"/>
        <w:rPr>
          <w:rFonts w:ascii="Times New Roman" w:hAnsi="Times New Roman" w:cs="Times New Roman" w:eastAsia="Times New Roman" w:hint="default"/>
          <w:b/>
          <w:bCs/>
          <w:sz w:val="26"/>
          <w:szCs w:val="26"/>
        </w:rPr>
      </w:pPr>
    </w:p>
    <w:p>
      <w:pPr>
        <w:spacing w:line="2160" w:lineRule="exact"/>
        <w:ind w:left="3616"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2"/>
          <w:sz w:val="20"/>
          <w:szCs w:val="20"/>
        </w:rPr>
        <w:drawing>
          <wp:inline distT="0" distB="0" distL="0" distR="0">
            <wp:extent cx="994683" cy="137160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94683" cy="1371600"/>
                    </a:xfrm>
                    <a:prstGeom prst="rect">
                      <a:avLst/>
                    </a:prstGeom>
                  </pic:spPr>
                </pic:pic>
              </a:graphicData>
            </a:graphic>
          </wp:inline>
        </w:drawing>
      </w:r>
      <w:r>
        <w:rPr>
          <w:rFonts w:ascii="Times New Roman" w:hAnsi="Times New Roman" w:cs="Times New Roman" w:eastAsia="Times New Roman" w:hint="default"/>
          <w:position w:val="-42"/>
          <w:sz w:val="20"/>
          <w:szCs w:val="20"/>
        </w:rPr>
      </w: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line="240" w:lineRule="auto" w:before="0"/>
        <w:rPr>
          <w:rFonts w:ascii="Times New Roman" w:hAnsi="Times New Roman" w:cs="Times New Roman" w:eastAsia="Times New Roman" w:hint="default"/>
          <w:b/>
          <w:bCs/>
          <w:sz w:val="20"/>
          <w:szCs w:val="20"/>
        </w:rPr>
      </w:pPr>
    </w:p>
    <w:p>
      <w:pPr>
        <w:spacing w:before="100"/>
        <w:ind w:left="2728" w:right="2270" w:firstLine="0"/>
        <w:jc w:val="left"/>
        <w:rPr>
          <w:rFonts w:ascii="黑体" w:hAnsi="黑体" w:cs="黑体" w:eastAsia="黑体" w:hint="default"/>
          <w:sz w:val="48"/>
          <w:szCs w:val="48"/>
        </w:rPr>
      </w:pPr>
      <w:r>
        <w:rPr>
          <w:rFonts w:ascii="Times New Roman" w:hAnsi="Times New Roman" w:cs="Times New Roman" w:eastAsia="Times New Roman" w:hint="default"/>
          <w:b/>
          <w:bCs/>
          <w:spacing w:val="-3"/>
          <w:sz w:val="48"/>
          <w:szCs w:val="48"/>
        </w:rPr>
        <w:t>2011</w:t>
      </w:r>
      <w:r>
        <w:rPr>
          <w:rFonts w:ascii="黑体" w:hAnsi="黑体" w:cs="黑体" w:eastAsia="黑体" w:hint="default"/>
          <w:b/>
          <w:bCs/>
          <w:spacing w:val="-3"/>
          <w:sz w:val="48"/>
          <w:szCs w:val="48"/>
        </w:rPr>
        <w:t>年年度报告</w:t>
      </w:r>
      <w:r>
        <w:rPr>
          <w:rFonts w:ascii="黑体" w:hAnsi="黑体" w:cs="黑体" w:eastAsia="黑体" w:hint="default"/>
          <w:sz w:val="48"/>
          <w:szCs w:val="48"/>
        </w:rPr>
      </w:r>
    </w:p>
    <w:p>
      <w:pPr>
        <w:spacing w:line="240" w:lineRule="auto" w:before="0"/>
        <w:rPr>
          <w:rFonts w:ascii="黑体" w:hAnsi="黑体" w:cs="黑体" w:eastAsia="黑体" w:hint="default"/>
          <w:b/>
          <w:bCs/>
          <w:sz w:val="50"/>
          <w:szCs w:val="50"/>
        </w:rPr>
      </w:pPr>
    </w:p>
    <w:p>
      <w:pPr>
        <w:spacing w:line="240" w:lineRule="auto" w:before="0"/>
        <w:rPr>
          <w:rFonts w:ascii="黑体" w:hAnsi="黑体" w:cs="黑体" w:eastAsia="黑体" w:hint="default"/>
          <w:b/>
          <w:bCs/>
          <w:sz w:val="50"/>
          <w:szCs w:val="50"/>
        </w:rPr>
      </w:pPr>
    </w:p>
    <w:p>
      <w:pPr>
        <w:spacing w:line="240" w:lineRule="auto" w:before="0"/>
        <w:rPr>
          <w:rFonts w:ascii="黑体" w:hAnsi="黑体" w:cs="黑体" w:eastAsia="黑体" w:hint="default"/>
          <w:b/>
          <w:bCs/>
          <w:sz w:val="50"/>
          <w:szCs w:val="50"/>
        </w:rPr>
      </w:pPr>
    </w:p>
    <w:p>
      <w:pPr>
        <w:spacing w:line="240" w:lineRule="auto" w:before="10"/>
        <w:rPr>
          <w:rFonts w:ascii="黑体" w:hAnsi="黑体" w:cs="黑体" w:eastAsia="黑体" w:hint="default"/>
          <w:b/>
          <w:bCs/>
          <w:sz w:val="49"/>
          <w:szCs w:val="49"/>
        </w:rPr>
      </w:pPr>
    </w:p>
    <w:p>
      <w:pPr>
        <w:pStyle w:val="Heading1"/>
        <w:spacing w:line="475" w:lineRule="auto"/>
        <w:ind w:left="2811" w:right="2270"/>
        <w:jc w:val="left"/>
        <w:rPr>
          <w:rFonts w:ascii="宋体" w:hAnsi="宋体" w:cs="宋体" w:eastAsia="宋体" w:hint="default"/>
          <w:b w:val="0"/>
          <w:bCs w:val="0"/>
        </w:rPr>
      </w:pPr>
      <w:r>
        <w:rPr>
          <w:rFonts w:ascii="宋体" w:hAnsi="宋体" w:cs="宋体" w:eastAsia="宋体" w:hint="default"/>
        </w:rPr>
        <w:t>股票代码：300188</w:t>
      </w:r>
      <w:r>
        <w:rPr>
          <w:rFonts w:ascii="宋体" w:hAnsi="宋体" w:cs="宋体" w:eastAsia="宋体" w:hint="default"/>
          <w:spacing w:val="1"/>
          <w:w w:val="99"/>
        </w:rPr>
        <w:t> </w:t>
      </w:r>
      <w:r>
        <w:rPr>
          <w:rFonts w:ascii="宋体" w:hAnsi="宋体" w:cs="宋体" w:eastAsia="宋体" w:hint="default"/>
        </w:rPr>
        <w:t>股票简称：美亚柏科</w:t>
      </w:r>
      <w:r>
        <w:rPr>
          <w:rFonts w:ascii="宋体" w:hAnsi="宋体" w:cs="宋体" w:eastAsia="宋体" w:hint="default"/>
          <w:w w:val="99"/>
        </w:rPr>
        <w:t> </w:t>
      </w:r>
      <w:r>
        <w:rPr>
          <w:rFonts w:ascii="宋体" w:hAnsi="宋体" w:cs="宋体" w:eastAsia="宋体" w:hint="default"/>
        </w:rPr>
        <w:t>披露日期：2012年3月30日</w:t>
      </w:r>
      <w:r>
        <w:rPr>
          <w:rFonts w:ascii="宋体" w:hAnsi="宋体" w:cs="宋体" w:eastAsia="宋体" w:hint="default"/>
          <w:b w:val="0"/>
          <w:bCs w:val="0"/>
        </w:rPr>
      </w:r>
    </w:p>
    <w:p>
      <w:pPr>
        <w:spacing w:after="0" w:line="475" w:lineRule="auto"/>
        <w:jc w:val="left"/>
        <w:rPr>
          <w:rFonts w:ascii="宋体" w:hAnsi="宋体" w:cs="宋体" w:eastAsia="宋体" w:hint="default"/>
        </w:rPr>
        <w:sectPr>
          <w:type w:val="continuous"/>
          <w:pgSz w:w="12240" w:h="15840"/>
          <w:pgMar w:top="1500" w:bottom="280" w:left="1720" w:right="1720"/>
        </w:sectPr>
      </w:pPr>
    </w:p>
    <w:p>
      <w:pPr>
        <w:pStyle w:val="Heading1"/>
        <w:spacing w:line="406" w:lineRule="exact"/>
        <w:ind w:left="4098" w:right="3457"/>
        <w:jc w:val="center"/>
        <w:rPr>
          <w:b w:val="0"/>
          <w:bCs w:val="0"/>
        </w:rPr>
      </w:pPr>
      <w:r>
        <w:rPr/>
        <w:t>重要提示</w:t>
      </w:r>
      <w:r>
        <w:rPr>
          <w:b w:val="0"/>
          <w:bCs w:val="0"/>
        </w:rPr>
      </w:r>
    </w:p>
    <w:p>
      <w:pPr>
        <w:spacing w:line="240" w:lineRule="auto" w:before="9"/>
        <w:rPr>
          <w:rFonts w:ascii="黑体" w:hAnsi="黑体" w:cs="黑体" w:eastAsia="黑体" w:hint="default"/>
          <w:b/>
          <w:bCs/>
          <w:sz w:val="25"/>
          <w:szCs w:val="25"/>
        </w:rPr>
      </w:pPr>
    </w:p>
    <w:p>
      <w:pPr>
        <w:pStyle w:val="BodyText"/>
        <w:spacing w:line="348" w:lineRule="auto"/>
        <w:ind w:left="120" w:right="119" w:firstLine="480"/>
        <w:jc w:val="both"/>
      </w:pPr>
      <w:r>
        <w:rPr>
          <w:rFonts w:ascii="Times New Roman" w:hAnsi="Times New Roman" w:cs="Times New Roman" w:eastAsia="Times New Roman" w:hint="default"/>
          <w:spacing w:val="-2"/>
        </w:rPr>
        <w:t>1.1</w:t>
      </w:r>
      <w:r>
        <w:rPr>
          <w:spacing w:val="-2"/>
        </w:rPr>
        <w:t>本公司董事会、监事会及其董事、监事、高级管理人员保证本报告所载资料</w:t>
      </w:r>
      <w:r>
        <w:rPr/>
        <w:t> 不存在任何虚假记载、误导性陈述或者重大遗漏，并对其内容的真实性、准确性和 完整性负个别及连带责任。</w:t>
      </w:r>
    </w:p>
    <w:p>
      <w:pPr>
        <w:pStyle w:val="BodyText"/>
        <w:spacing w:line="357" w:lineRule="auto" w:before="164"/>
        <w:ind w:left="120" w:right="119" w:firstLine="480"/>
        <w:jc w:val="both"/>
      </w:pPr>
      <w:r>
        <w:rPr/>
        <w:t>年度报告摘要摘自年度报告全文，报告全文同时刊载于中国证监会指定网站和 公司网站。投资者欲了解详细内容，应当仔细阅读年度报告全文。</w:t>
      </w:r>
    </w:p>
    <w:p>
      <w:pPr>
        <w:pStyle w:val="BodyText"/>
        <w:spacing w:line="338" w:lineRule="auto" w:before="155"/>
        <w:ind w:left="119" w:right="112" w:firstLine="480"/>
        <w:jc w:val="both"/>
      </w:pPr>
      <w:r>
        <w:rPr>
          <w:rFonts w:ascii="Times New Roman" w:hAnsi="Times New Roman" w:cs="Times New Roman" w:eastAsia="Times New Roman" w:hint="default"/>
          <w:spacing w:val="4"/>
        </w:rPr>
        <w:t>1.2</w:t>
      </w:r>
      <w:r>
        <w:rPr>
          <w:spacing w:val="4"/>
        </w:rPr>
        <w:t>公司年度财务报告已经天健正信会计师事务所有限公司审计并被出具了标</w:t>
      </w:r>
      <w:r>
        <w:rPr>
          <w:spacing w:val="5"/>
        </w:rPr>
        <w:t> </w:t>
      </w:r>
      <w:r>
        <w:rPr/>
        <w:t>准无保留意见的审计报告。</w:t>
      </w:r>
    </w:p>
    <w:p>
      <w:pPr>
        <w:pStyle w:val="BodyText"/>
        <w:spacing w:line="338" w:lineRule="auto" w:before="175"/>
        <w:ind w:left="119" w:right="119" w:firstLine="480"/>
        <w:jc w:val="both"/>
      </w:pPr>
      <w:r>
        <w:rPr>
          <w:rFonts w:ascii="Times New Roman" w:hAnsi="Times New Roman" w:cs="Times New Roman" w:eastAsia="Times New Roman" w:hint="default"/>
          <w:spacing w:val="-2"/>
        </w:rPr>
        <w:t>1.3</w:t>
      </w:r>
      <w:r>
        <w:rPr>
          <w:spacing w:val="-2"/>
        </w:rPr>
        <w:t>本年度报告已经过本公司第一届董事会第十八次会议审议通过，全体董事全</w:t>
      </w:r>
      <w:r>
        <w:rPr/>
        <w:t> 部出席会议并作出表决。</w:t>
      </w:r>
    </w:p>
    <w:p>
      <w:pPr>
        <w:pStyle w:val="BodyText"/>
        <w:spacing w:line="357" w:lineRule="auto" w:before="174"/>
        <w:ind w:left="119" w:right="119" w:firstLine="480"/>
        <w:jc w:val="both"/>
      </w:pPr>
      <w:r>
        <w:rPr/>
        <w:t>本公司没有董事、监事、高级管理人员对本年度报告内容的真实性、准确性、 完整性无法保证或存在异议。</w:t>
      </w:r>
    </w:p>
    <w:p>
      <w:pPr>
        <w:pStyle w:val="BodyText"/>
        <w:spacing w:line="338" w:lineRule="auto" w:before="155"/>
        <w:ind w:left="119" w:right="112" w:firstLine="480"/>
        <w:jc w:val="both"/>
      </w:pPr>
      <w:r>
        <w:rPr>
          <w:rFonts w:ascii="Times New Roman" w:hAnsi="Times New Roman" w:cs="Times New Roman" w:eastAsia="Times New Roman" w:hint="default"/>
          <w:spacing w:val="2"/>
        </w:rPr>
        <w:t>1.4</w:t>
      </w:r>
      <w:r>
        <w:rPr>
          <w:spacing w:val="2"/>
        </w:rPr>
        <w:t>公司负责人刘祥南、主管会计工作负责人张乃军及会计机构负责人</w:t>
      </w:r>
      <w:r>
        <w:rPr>
          <w:rFonts w:ascii="Times New Roman" w:hAnsi="Times New Roman" w:cs="Times New Roman" w:eastAsia="Times New Roman" w:hint="default"/>
          <w:spacing w:val="2"/>
        </w:rPr>
        <w:t>(</w:t>
      </w:r>
      <w:r>
        <w:rPr>
          <w:spacing w:val="2"/>
        </w:rPr>
        <w:t>会计主</w:t>
      </w:r>
      <w:r>
        <w:rPr>
          <w:spacing w:val="3"/>
        </w:rPr>
        <w:t> </w:t>
      </w:r>
      <w:r>
        <w:rPr/>
        <w:t>管人员</w:t>
      </w:r>
      <w:r>
        <w:rPr>
          <w:rFonts w:ascii="Times New Roman" w:hAnsi="Times New Roman" w:cs="Times New Roman" w:eastAsia="Times New Roman" w:hint="default"/>
        </w:rPr>
        <w:t>)</w:t>
      </w:r>
      <w:r>
        <w:rPr/>
        <w:t>陈志友声明：保证年度报告中财务报告的真实、完整。</w:t>
      </w:r>
    </w:p>
    <w:p>
      <w:pPr>
        <w:spacing w:after="0" w:line="338" w:lineRule="auto"/>
        <w:jc w:val="both"/>
        <w:sectPr>
          <w:footerReference w:type="default" r:id="rId6"/>
          <w:pgSz w:w="12240" w:h="15840"/>
          <w:pgMar w:footer="708" w:header="0" w:top="1500" w:bottom="900" w:left="1680" w:right="1680"/>
        </w:sectPr>
      </w:pPr>
    </w:p>
    <w:p>
      <w:pPr>
        <w:spacing w:line="240" w:lineRule="auto" w:before="0"/>
        <w:rPr>
          <w:rFonts w:ascii="宋体" w:hAnsi="宋体" w:cs="宋体" w:eastAsia="宋体" w:hint="default"/>
          <w:sz w:val="20"/>
          <w:szCs w:val="20"/>
        </w:rPr>
      </w:pPr>
    </w:p>
    <w:p>
      <w:pPr>
        <w:tabs>
          <w:tab w:pos="1945" w:val="left" w:leader="none"/>
        </w:tabs>
        <w:spacing w:before="140"/>
        <w:ind w:left="399" w:right="0" w:firstLine="0"/>
        <w:jc w:val="center"/>
        <w:rPr>
          <w:rFonts w:ascii="黑体" w:hAnsi="黑体" w:cs="黑体" w:eastAsia="黑体" w:hint="default"/>
          <w:sz w:val="44"/>
          <w:szCs w:val="44"/>
        </w:rPr>
      </w:pPr>
      <w:r>
        <w:rPr>
          <w:rFonts w:ascii="黑体" w:hAnsi="黑体" w:cs="黑体" w:eastAsia="黑体" w:hint="default"/>
          <w:b/>
          <w:bCs/>
          <w:w w:val="95"/>
          <w:sz w:val="44"/>
          <w:szCs w:val="44"/>
        </w:rPr>
        <w:t>目</w:t>
        <w:tab/>
      </w:r>
      <w:r>
        <w:rPr>
          <w:rFonts w:ascii="黑体" w:hAnsi="黑体" w:cs="黑体" w:eastAsia="黑体" w:hint="default"/>
          <w:b/>
          <w:bCs/>
          <w:sz w:val="44"/>
          <w:szCs w:val="44"/>
        </w:rPr>
        <w:t>录</w:t>
      </w:r>
      <w:r>
        <w:rPr>
          <w:rFonts w:ascii="黑体" w:hAnsi="黑体" w:cs="黑体" w:eastAsia="黑体" w:hint="default"/>
          <w:sz w:val="44"/>
          <w:szCs w:val="44"/>
        </w:rPr>
      </w:r>
    </w:p>
    <w:sdt>
      <w:sdtPr>
        <w:docPartObj>
          <w:docPartGallery w:val="Table of Contents"/>
          <w:docPartUnique/>
        </w:docPartObj>
      </w:sdtPr>
      <w:sdtEndPr/>
      <w:sdtContent>
        <w:p>
          <w:pPr>
            <w:pStyle w:val="TOC1"/>
            <w:tabs>
              <w:tab w:pos="1239" w:val="left" w:leader="none"/>
              <w:tab w:pos="8416" w:val="right" w:leader="dot"/>
            </w:tabs>
            <w:spacing w:line="240" w:lineRule="auto" w:before="787"/>
            <w:ind w:left="120" w:right="0"/>
            <w:jc w:val="left"/>
            <w:rPr>
              <w:rFonts w:ascii="Times New Roman" w:hAnsi="Times New Roman" w:cs="Times New Roman" w:eastAsia="Times New Roman" w:hint="default"/>
            </w:rPr>
          </w:pPr>
          <w:hyperlink w:history="true" w:anchor="_bookmark0">
            <w:r>
              <w:rPr>
                <w:w w:val="95"/>
              </w:rPr>
              <w:t>第一节</w:t>
            </w:r>
          </w:hyperlink>
          <w:r>
            <w:rPr>
              <w:w w:val="95"/>
            </w:rPr>
            <w:tab/>
          </w:r>
          <w:hyperlink w:history="true" w:anchor="_bookmark0">
            <w:r>
              <w:rPr/>
              <w:t>公司基本情况</w:t>
            </w:r>
          </w:hyperlink>
          <w:hyperlink w:history="true" w:anchor="_bookmark0">
            <w:r>
              <w:rPr>
                <w:rFonts w:ascii="Times New Roman" w:hAnsi="Times New Roman" w:cs="Times New Roman" w:eastAsia="Times New Roman" w:hint="default"/>
              </w:rPr>
              <w:tab/>
              <w:t>1</w:t>
            </w:r>
          </w:hyperlink>
        </w:p>
        <w:p>
          <w:pPr>
            <w:pStyle w:val="TOC1"/>
            <w:tabs>
              <w:tab w:pos="1239" w:val="left" w:leader="none"/>
              <w:tab w:pos="8415" w:val="right" w:leader="dot"/>
            </w:tabs>
            <w:spacing w:line="240" w:lineRule="auto" w:before="339"/>
            <w:ind w:left="120" w:right="0"/>
            <w:jc w:val="left"/>
            <w:rPr>
              <w:rFonts w:ascii="Times New Roman" w:hAnsi="Times New Roman" w:cs="Times New Roman" w:eastAsia="Times New Roman" w:hint="default"/>
            </w:rPr>
          </w:pPr>
          <w:hyperlink w:history="true" w:anchor="_bookmark1">
            <w:r>
              <w:rPr>
                <w:w w:val="95"/>
              </w:rPr>
              <w:t>第二节</w:t>
            </w:r>
          </w:hyperlink>
          <w:r>
            <w:rPr>
              <w:w w:val="95"/>
            </w:rPr>
            <w:tab/>
          </w:r>
          <w:hyperlink w:history="true" w:anchor="_bookmark1">
            <w:r>
              <w:rPr/>
              <w:t>会计数据和业务数据摘要</w:t>
            </w:r>
          </w:hyperlink>
          <w:hyperlink w:history="true" w:anchor="_bookmark1">
            <w:r>
              <w:rPr>
                <w:rFonts w:ascii="Times New Roman" w:hAnsi="Times New Roman" w:cs="Times New Roman" w:eastAsia="Times New Roman" w:hint="default"/>
              </w:rPr>
              <w:tab/>
              <w:t>2</w:t>
            </w:r>
          </w:hyperlink>
        </w:p>
        <w:p>
          <w:pPr>
            <w:pStyle w:val="TOC1"/>
            <w:tabs>
              <w:tab w:pos="1239" w:val="left" w:leader="none"/>
              <w:tab w:pos="8416" w:val="right" w:leader="dot"/>
            </w:tabs>
            <w:spacing w:line="240" w:lineRule="auto"/>
            <w:ind w:left="120" w:right="0"/>
            <w:jc w:val="left"/>
            <w:rPr>
              <w:rFonts w:ascii="Times New Roman" w:hAnsi="Times New Roman" w:cs="Times New Roman" w:eastAsia="Times New Roman" w:hint="default"/>
            </w:rPr>
          </w:pPr>
          <w:hyperlink w:history="true" w:anchor="_bookmark2">
            <w:r>
              <w:rPr>
                <w:w w:val="95"/>
              </w:rPr>
              <w:t>第三节</w:t>
            </w:r>
          </w:hyperlink>
          <w:r>
            <w:rPr>
              <w:w w:val="95"/>
            </w:rPr>
            <w:tab/>
          </w:r>
          <w:hyperlink w:history="true" w:anchor="_bookmark2">
            <w:r>
              <w:rPr/>
              <w:t>董事会报告</w:t>
            </w:r>
          </w:hyperlink>
          <w:hyperlink w:history="true" w:anchor="_bookmark2">
            <w:r>
              <w:rPr>
                <w:rFonts w:ascii="Times New Roman" w:hAnsi="Times New Roman" w:cs="Times New Roman" w:eastAsia="Times New Roman" w:hint="default"/>
              </w:rPr>
              <w:tab/>
              <w:t>4</w:t>
            </w:r>
          </w:hyperlink>
        </w:p>
        <w:p>
          <w:pPr>
            <w:pStyle w:val="TOC1"/>
            <w:tabs>
              <w:tab w:pos="1239" w:val="left" w:leader="none"/>
              <w:tab w:pos="8416" w:val="right" w:leader="dot"/>
            </w:tabs>
            <w:spacing w:line="240" w:lineRule="auto"/>
            <w:ind w:right="0"/>
            <w:jc w:val="left"/>
            <w:rPr>
              <w:rFonts w:ascii="Times New Roman" w:hAnsi="Times New Roman" w:cs="Times New Roman" w:eastAsia="Times New Roman" w:hint="default"/>
            </w:rPr>
          </w:pPr>
          <w:hyperlink w:history="true" w:anchor="_bookmark3">
            <w:r>
              <w:rPr>
                <w:w w:val="95"/>
              </w:rPr>
              <w:t>第四节</w:t>
            </w:r>
          </w:hyperlink>
          <w:r>
            <w:rPr>
              <w:w w:val="95"/>
            </w:rPr>
            <w:tab/>
          </w:r>
          <w:hyperlink w:history="true" w:anchor="_bookmark3">
            <w:r>
              <w:rPr/>
              <w:t>重要事项</w:t>
            </w:r>
          </w:hyperlink>
          <w:hyperlink w:history="true" w:anchor="_bookmark3">
            <w:r>
              <w:rPr>
                <w:rFonts w:ascii="Times New Roman" w:hAnsi="Times New Roman" w:cs="Times New Roman" w:eastAsia="Times New Roman" w:hint="default"/>
              </w:rPr>
              <w:tab/>
              <w:t>49</w:t>
            </w:r>
          </w:hyperlink>
        </w:p>
        <w:p>
          <w:pPr>
            <w:pStyle w:val="TOC1"/>
            <w:tabs>
              <w:tab w:pos="1239" w:val="left" w:leader="none"/>
              <w:tab w:pos="8415" w:val="right" w:leader="dot"/>
            </w:tabs>
            <w:spacing w:line="240" w:lineRule="auto"/>
            <w:ind w:right="0"/>
            <w:jc w:val="left"/>
            <w:rPr>
              <w:rFonts w:ascii="Times New Roman" w:hAnsi="Times New Roman" w:cs="Times New Roman" w:eastAsia="Times New Roman" w:hint="default"/>
            </w:rPr>
          </w:pPr>
          <w:hyperlink w:history="true" w:anchor="_bookmark4">
            <w:r>
              <w:rPr>
                <w:w w:val="95"/>
              </w:rPr>
              <w:t>第五节</w:t>
            </w:r>
          </w:hyperlink>
          <w:r>
            <w:rPr>
              <w:w w:val="95"/>
            </w:rPr>
            <w:tab/>
          </w:r>
          <w:hyperlink w:history="true" w:anchor="_bookmark4">
            <w:r>
              <w:rPr/>
              <w:t>股本变动及股东情况</w:t>
            </w:r>
          </w:hyperlink>
          <w:hyperlink w:history="true" w:anchor="_bookmark4">
            <w:r>
              <w:rPr>
                <w:rFonts w:ascii="Times New Roman" w:hAnsi="Times New Roman" w:cs="Times New Roman" w:eastAsia="Times New Roman" w:hint="default"/>
              </w:rPr>
              <w:tab/>
              <w:t>55</w:t>
            </w:r>
          </w:hyperlink>
        </w:p>
        <w:p>
          <w:pPr>
            <w:pStyle w:val="TOC1"/>
            <w:tabs>
              <w:tab w:pos="8415" w:val="right" w:leader="dot"/>
            </w:tabs>
            <w:spacing w:line="240" w:lineRule="auto" w:before="339"/>
            <w:ind w:right="0"/>
            <w:jc w:val="left"/>
            <w:rPr>
              <w:rFonts w:ascii="Times New Roman" w:hAnsi="Times New Roman" w:cs="Times New Roman" w:eastAsia="Times New Roman" w:hint="default"/>
            </w:rPr>
          </w:pPr>
          <w:hyperlink w:history="true" w:anchor="_bookmark5">
            <w:r>
              <w:rPr/>
              <w:t>第六节</w:t>
            </w:r>
          </w:hyperlink>
          <w:r>
            <w:rPr/>
            <w:t> </w:t>
          </w:r>
          <w:hyperlink w:history="true" w:anchor="_bookmark5">
            <w:r>
              <w:rPr/>
              <w:t>董事、监事、高级管理人员和员工情况</w:t>
            </w:r>
          </w:hyperlink>
          <w:hyperlink w:history="true" w:anchor="_bookmark5">
            <w:r>
              <w:rPr>
                <w:rFonts w:ascii="Times New Roman" w:hAnsi="Times New Roman" w:cs="Times New Roman" w:eastAsia="Times New Roman" w:hint="default"/>
              </w:rPr>
              <w:tab/>
              <w:t>62</w:t>
            </w:r>
          </w:hyperlink>
        </w:p>
        <w:p>
          <w:pPr>
            <w:pStyle w:val="TOC1"/>
            <w:tabs>
              <w:tab w:pos="1239" w:val="left" w:leader="none"/>
              <w:tab w:pos="8415" w:val="right" w:leader="dot"/>
            </w:tabs>
            <w:spacing w:line="240" w:lineRule="auto"/>
            <w:ind w:right="0"/>
            <w:jc w:val="left"/>
            <w:rPr>
              <w:rFonts w:ascii="Times New Roman" w:hAnsi="Times New Roman" w:cs="Times New Roman" w:eastAsia="Times New Roman" w:hint="default"/>
            </w:rPr>
          </w:pPr>
          <w:hyperlink w:history="true" w:anchor="_bookmark6">
            <w:r>
              <w:rPr>
                <w:w w:val="95"/>
              </w:rPr>
              <w:t>第七节</w:t>
            </w:r>
          </w:hyperlink>
          <w:r>
            <w:rPr>
              <w:w w:val="95"/>
            </w:rPr>
            <w:tab/>
          </w:r>
          <w:hyperlink w:history="true" w:anchor="_bookmark6">
            <w:r>
              <w:rPr/>
              <w:t>公司治理结构</w:t>
            </w:r>
          </w:hyperlink>
          <w:hyperlink w:history="true" w:anchor="_bookmark6">
            <w:r>
              <w:rPr>
                <w:rFonts w:ascii="Times New Roman" w:hAnsi="Times New Roman" w:cs="Times New Roman" w:eastAsia="Times New Roman" w:hint="default"/>
              </w:rPr>
              <w:tab/>
              <w:t>70</w:t>
            </w:r>
          </w:hyperlink>
        </w:p>
        <w:p>
          <w:pPr>
            <w:pStyle w:val="TOC1"/>
            <w:tabs>
              <w:tab w:pos="1239" w:val="left" w:leader="none"/>
              <w:tab w:pos="8415" w:val="right" w:leader="dot"/>
            </w:tabs>
            <w:spacing w:line="240" w:lineRule="auto"/>
            <w:ind w:right="0"/>
            <w:jc w:val="left"/>
            <w:rPr>
              <w:rFonts w:ascii="Times New Roman" w:hAnsi="Times New Roman" w:cs="Times New Roman" w:eastAsia="Times New Roman" w:hint="default"/>
            </w:rPr>
          </w:pPr>
          <w:hyperlink w:history="true" w:anchor="_bookmark7">
            <w:r>
              <w:rPr>
                <w:w w:val="95"/>
              </w:rPr>
              <w:t>第八节</w:t>
            </w:r>
          </w:hyperlink>
          <w:r>
            <w:rPr>
              <w:w w:val="95"/>
            </w:rPr>
            <w:tab/>
          </w:r>
          <w:hyperlink w:history="true" w:anchor="_bookmark7">
            <w:r>
              <w:rPr/>
              <w:t>监事会报告</w:t>
            </w:r>
          </w:hyperlink>
          <w:hyperlink w:history="true" w:anchor="_bookmark7">
            <w:r>
              <w:rPr>
                <w:rFonts w:ascii="Times New Roman" w:hAnsi="Times New Roman" w:cs="Times New Roman" w:eastAsia="Times New Roman" w:hint="default"/>
              </w:rPr>
              <w:tab/>
              <w:t>84</w:t>
            </w:r>
          </w:hyperlink>
        </w:p>
        <w:p>
          <w:pPr>
            <w:pStyle w:val="TOC1"/>
            <w:tabs>
              <w:tab w:pos="1238" w:val="left" w:leader="none"/>
              <w:tab w:pos="8416" w:val="right" w:leader="dot"/>
            </w:tabs>
            <w:spacing w:line="240" w:lineRule="auto"/>
            <w:ind w:right="0"/>
            <w:jc w:val="left"/>
            <w:rPr>
              <w:rFonts w:ascii="Times New Roman" w:hAnsi="Times New Roman" w:cs="Times New Roman" w:eastAsia="Times New Roman" w:hint="default"/>
            </w:rPr>
          </w:pPr>
          <w:hyperlink w:history="true" w:anchor="_bookmark8">
            <w:r>
              <w:rPr>
                <w:w w:val="95"/>
              </w:rPr>
              <w:t>第九节</w:t>
            </w:r>
          </w:hyperlink>
          <w:r>
            <w:rPr>
              <w:w w:val="95"/>
            </w:rPr>
            <w:tab/>
          </w:r>
          <w:hyperlink w:history="true" w:anchor="_bookmark8">
            <w:r>
              <w:rPr/>
              <w:t>财务报告</w:t>
            </w:r>
          </w:hyperlink>
          <w:hyperlink w:history="true" w:anchor="_bookmark8">
            <w:r>
              <w:rPr>
                <w:rFonts w:ascii="Times New Roman" w:hAnsi="Times New Roman" w:cs="Times New Roman" w:eastAsia="Times New Roman" w:hint="default"/>
              </w:rPr>
              <w:tab/>
              <w:t>88</w:t>
            </w:r>
          </w:hyperlink>
        </w:p>
      </w:sdtContent>
    </w:sdt>
    <w:p>
      <w:pPr>
        <w:spacing w:after="0" w:line="240" w:lineRule="auto"/>
        <w:jc w:val="left"/>
        <w:rPr>
          <w:rFonts w:ascii="Times New Roman" w:hAnsi="Times New Roman" w:cs="Times New Roman" w:eastAsia="Times New Roman" w:hint="default"/>
        </w:rPr>
        <w:sectPr>
          <w:footerReference w:type="default" r:id="rId7"/>
          <w:pgSz w:w="12240" w:h="15840"/>
          <w:pgMar w:footer="708" w:header="0" w:top="1500" w:bottom="900" w:left="1680" w:right="1720"/>
        </w:sectPr>
      </w:pPr>
    </w:p>
    <w:p>
      <w:pPr>
        <w:pStyle w:val="Heading1"/>
        <w:tabs>
          <w:tab w:pos="4118" w:val="left" w:leader="none"/>
        </w:tabs>
        <w:spacing w:line="240" w:lineRule="auto" w:before="214"/>
        <w:ind w:left="2833" w:right="0"/>
        <w:jc w:val="left"/>
        <w:rPr>
          <w:b w:val="0"/>
          <w:bCs w:val="0"/>
        </w:rPr>
      </w:pPr>
      <w:bookmarkStart w:name="_bookmark0" w:id="1"/>
      <w:bookmarkEnd w:id="1"/>
      <w:r>
        <w:rPr>
          <w:b w:val="0"/>
          <w:bCs w:val="0"/>
        </w:rPr>
      </w:r>
      <w:r>
        <w:rPr>
          <w:w w:val="95"/>
        </w:rPr>
        <w:t>第一节</w:t>
        <w:tab/>
      </w:r>
      <w:r>
        <w:rPr/>
        <w:t>公司基本情况</w:t>
      </w:r>
      <w:r>
        <w:rPr>
          <w:b w:val="0"/>
          <w:bCs w:val="0"/>
        </w:rPr>
      </w:r>
    </w:p>
    <w:p>
      <w:pPr>
        <w:pStyle w:val="Heading3"/>
        <w:spacing w:line="240" w:lineRule="auto" w:before="228"/>
        <w:ind w:right="0"/>
        <w:jc w:val="left"/>
        <w:rPr>
          <w:b w:val="0"/>
          <w:bCs w:val="0"/>
        </w:rPr>
      </w:pPr>
      <w:r>
        <w:rPr/>
        <w:t>一、基本情况简介</w:t>
      </w:r>
      <w:r>
        <w:rPr>
          <w:b w:val="0"/>
          <w:bCs w:val="0"/>
        </w:rPr>
      </w:r>
    </w:p>
    <w:p>
      <w:pPr>
        <w:spacing w:line="240" w:lineRule="auto" w:before="11"/>
        <w:rPr>
          <w:rFonts w:ascii="宋体" w:hAnsi="宋体" w:cs="宋体" w:eastAsia="宋体" w:hint="default"/>
          <w:b/>
          <w:bCs/>
          <w:sz w:val="23"/>
          <w:szCs w:val="23"/>
        </w:rPr>
      </w:pPr>
    </w:p>
    <w:tbl>
      <w:tblPr>
        <w:tblW w:w="0" w:type="auto"/>
        <w:jc w:val="left"/>
        <w:tblInd w:w="104" w:type="dxa"/>
        <w:tblLayout w:type="fixed"/>
        <w:tblCellMar>
          <w:top w:w="0" w:type="dxa"/>
          <w:left w:w="0" w:type="dxa"/>
          <w:bottom w:w="0" w:type="dxa"/>
          <w:right w:w="0" w:type="dxa"/>
        </w:tblCellMar>
        <w:tblLook w:val="01E0"/>
      </w:tblPr>
      <w:tblGrid>
        <w:gridCol w:w="2833"/>
        <w:gridCol w:w="5447"/>
      </w:tblGrid>
      <w:tr>
        <w:trPr>
          <w:trHeight w:val="333" w:hRule="exact"/>
        </w:trPr>
        <w:tc>
          <w:tcPr>
            <w:tcW w:w="2833" w:type="dxa"/>
            <w:tcBorders>
              <w:top w:val="single" w:sz="12"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公司中文名称</w:t>
            </w:r>
          </w:p>
        </w:tc>
        <w:tc>
          <w:tcPr>
            <w:tcW w:w="5447" w:type="dxa"/>
            <w:tcBorders>
              <w:top w:val="single" w:sz="12" w:space="0" w:color="000000"/>
              <w:left w:val="single" w:sz="13" w:space="0" w:color="DCDCDC"/>
              <w:bottom w:val="single" w:sz="4" w:space="0" w:color="000000"/>
              <w:right w:val="single" w:sz="12" w:space="0" w:color="000000"/>
            </w:tcBorders>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厦门市美亚柏科信息股份有限公司</w:t>
            </w:r>
          </w:p>
        </w:tc>
      </w:tr>
      <w:tr>
        <w:trPr>
          <w:trHeight w:val="324"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中文简称</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美亚柏科</w:t>
            </w:r>
          </w:p>
        </w:tc>
      </w:tr>
      <w:tr>
        <w:trPr>
          <w:trHeight w:val="323"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公司英文名称</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r>
              <w:rPr>
                <w:rFonts w:ascii="Times New Roman"/>
                <w:sz w:val="18"/>
              </w:rPr>
              <w:t>Xiamen Meiya Pico Information Co.,</w:t>
            </w:r>
            <w:r>
              <w:rPr>
                <w:rFonts w:ascii="Times New Roman"/>
                <w:spacing w:val="-12"/>
                <w:sz w:val="18"/>
              </w:rPr>
              <w:t> </w:t>
            </w:r>
            <w:r>
              <w:rPr>
                <w:rFonts w:ascii="Times New Roman"/>
                <w:sz w:val="18"/>
              </w:rPr>
              <w:t>Ltd.</w:t>
            </w:r>
          </w:p>
        </w:tc>
      </w:tr>
      <w:tr>
        <w:trPr>
          <w:trHeight w:val="324"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英文简称</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r>
              <w:rPr>
                <w:rFonts w:ascii="Times New Roman"/>
                <w:spacing w:val="-5"/>
                <w:sz w:val="18"/>
              </w:rPr>
              <w:t>MEIYA </w:t>
            </w:r>
            <w:r>
              <w:rPr>
                <w:rFonts w:ascii="Times New Roman"/>
                <w:sz w:val="18"/>
              </w:rPr>
              <w:t>PICO</w:t>
            </w:r>
            <w:r>
              <w:rPr>
                <w:rFonts w:ascii="Times New Roman"/>
                <w:spacing w:val="-2"/>
                <w:sz w:val="18"/>
              </w:rPr>
              <w:t> </w:t>
            </w:r>
            <w:r>
              <w:rPr>
                <w:rFonts w:ascii="Times New Roman"/>
                <w:sz w:val="18"/>
              </w:rPr>
              <w:t>INC.</w:t>
            </w:r>
          </w:p>
        </w:tc>
      </w:tr>
      <w:tr>
        <w:trPr>
          <w:trHeight w:val="323"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法定代表人</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刘祥南</w:t>
            </w:r>
          </w:p>
        </w:tc>
      </w:tr>
      <w:tr>
        <w:trPr>
          <w:trHeight w:val="324"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注册地址</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Times New Roman" w:hAnsi="Times New Roman" w:cs="Times New Roman" w:eastAsia="Times New Roman" w:hint="default"/>
                <w:sz w:val="18"/>
                <w:szCs w:val="18"/>
              </w:rPr>
              <w:t>12</w:t>
            </w:r>
            <w:r>
              <w:rPr>
                <w:rFonts w:ascii="宋体" w:hAnsi="宋体" w:cs="宋体" w:eastAsia="宋体" w:hint="default"/>
                <w:sz w:val="18"/>
                <w:szCs w:val="18"/>
              </w:rPr>
              <w:t>号</w:t>
            </w:r>
            <w:r>
              <w:rPr>
                <w:rFonts w:ascii="Times New Roman" w:hAnsi="Times New Roman" w:cs="Times New Roman" w:eastAsia="Times New Roman" w:hint="default"/>
                <w:sz w:val="18"/>
                <w:szCs w:val="18"/>
              </w:rPr>
              <w:t>102-402</w:t>
            </w:r>
            <w:r>
              <w:rPr>
                <w:rFonts w:ascii="宋体" w:hAnsi="宋体" w:cs="宋体" w:eastAsia="宋体" w:hint="default"/>
                <w:sz w:val="18"/>
                <w:szCs w:val="18"/>
              </w:rPr>
              <w:t>单元</w:t>
            </w:r>
          </w:p>
        </w:tc>
      </w:tr>
      <w:tr>
        <w:trPr>
          <w:trHeight w:val="323"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r>
              <w:rPr>
                <w:rFonts w:ascii="Times New Roman"/>
                <w:sz w:val="18"/>
              </w:rPr>
              <w:t>361008</w:t>
            </w:r>
          </w:p>
        </w:tc>
      </w:tr>
      <w:tr>
        <w:trPr>
          <w:trHeight w:val="324"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办公地址</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10"/>
              <w:ind w:left="40"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Times New Roman" w:hAnsi="Times New Roman" w:cs="Times New Roman" w:eastAsia="Times New Roman" w:hint="default"/>
                <w:sz w:val="18"/>
                <w:szCs w:val="18"/>
              </w:rPr>
              <w:t>12</w:t>
            </w:r>
            <w:r>
              <w:rPr>
                <w:rFonts w:ascii="宋体" w:hAnsi="宋体" w:cs="宋体" w:eastAsia="宋体" w:hint="default"/>
                <w:sz w:val="18"/>
                <w:szCs w:val="18"/>
              </w:rPr>
              <w:t>号美亚柏科大厦</w:t>
            </w:r>
          </w:p>
        </w:tc>
      </w:tr>
      <w:tr>
        <w:trPr>
          <w:trHeight w:val="324"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r>
              <w:rPr>
                <w:rFonts w:ascii="Times New Roman"/>
                <w:sz w:val="18"/>
              </w:rPr>
              <w:t>361008</w:t>
            </w:r>
          </w:p>
        </w:tc>
      </w:tr>
      <w:tr>
        <w:trPr>
          <w:trHeight w:val="323" w:hRule="exact"/>
        </w:trPr>
        <w:tc>
          <w:tcPr>
            <w:tcW w:w="2833"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5447" w:type="dxa"/>
            <w:tcBorders>
              <w:top w:val="single" w:sz="4" w:space="0" w:color="000000"/>
              <w:left w:val="single" w:sz="13" w:space="0" w:color="DCDCDC"/>
              <w:bottom w:val="single" w:sz="4"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hyperlink r:id="rId9">
              <w:r>
                <w:rPr>
                  <w:rFonts w:ascii="Times New Roman"/>
                  <w:sz w:val="18"/>
                </w:rPr>
                <w:t>www.xm-my.com.cn</w:t>
              </w:r>
            </w:hyperlink>
          </w:p>
        </w:tc>
      </w:tr>
      <w:tr>
        <w:trPr>
          <w:trHeight w:val="334" w:hRule="exact"/>
        </w:trPr>
        <w:tc>
          <w:tcPr>
            <w:tcW w:w="2833" w:type="dxa"/>
            <w:tcBorders>
              <w:top w:val="single" w:sz="4" w:space="0" w:color="000000"/>
              <w:left w:val="single" w:sz="12" w:space="0" w:color="000000"/>
              <w:bottom w:val="single" w:sz="12" w:space="0" w:color="000000"/>
              <w:right w:val="single" w:sz="4" w:space="0" w:color="000000"/>
            </w:tcBorders>
            <w:shd w:val="clear" w:color="auto" w:fill="DCDCDC"/>
          </w:tcPr>
          <w:p>
            <w:pPr>
              <w:pStyle w:val="TableParagraph"/>
              <w:spacing w:line="240" w:lineRule="auto" w:before="10"/>
              <w:ind w:left="16"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5447" w:type="dxa"/>
            <w:tcBorders>
              <w:top w:val="single" w:sz="4" w:space="0" w:color="000000"/>
              <w:left w:val="single" w:sz="13" w:space="0" w:color="DCDCDC"/>
              <w:bottom w:val="single" w:sz="12" w:space="0" w:color="000000"/>
              <w:right w:val="single" w:sz="12" w:space="0" w:color="000000"/>
            </w:tcBorders>
          </w:tcPr>
          <w:p>
            <w:pPr>
              <w:pStyle w:val="TableParagraph"/>
              <w:spacing w:line="240" w:lineRule="auto" w:before="49"/>
              <w:ind w:left="40" w:right="0"/>
              <w:jc w:val="left"/>
              <w:rPr>
                <w:rFonts w:ascii="Times New Roman" w:hAnsi="Times New Roman" w:cs="Times New Roman" w:eastAsia="Times New Roman" w:hint="default"/>
                <w:sz w:val="18"/>
                <w:szCs w:val="18"/>
              </w:rPr>
            </w:pPr>
            <w:hyperlink r:id="rId10">
              <w:r>
                <w:rPr>
                  <w:rFonts w:ascii="Times New Roman"/>
                  <w:sz w:val="18"/>
                </w:rPr>
                <w:t>tzzgx@xm-my.com.cn</w:t>
              </w:r>
            </w:hyperlink>
          </w:p>
        </w:tc>
      </w:tr>
    </w:tbl>
    <w:p>
      <w:pPr>
        <w:spacing w:before="81"/>
        <w:ind w:left="602" w:right="0" w:firstLine="0"/>
        <w:jc w:val="left"/>
        <w:rPr>
          <w:rFonts w:ascii="宋体" w:hAnsi="宋体" w:cs="宋体" w:eastAsia="宋体" w:hint="default"/>
          <w:sz w:val="24"/>
          <w:szCs w:val="24"/>
        </w:rPr>
      </w:pPr>
      <w:r>
        <w:rPr>
          <w:rFonts w:ascii="宋体" w:hAnsi="宋体" w:cs="宋体" w:eastAsia="宋体" w:hint="default"/>
          <w:b/>
          <w:bCs/>
          <w:sz w:val="24"/>
          <w:szCs w:val="24"/>
        </w:rPr>
        <w:t>二、联系人和联系方式</w:t>
      </w:r>
      <w:r>
        <w:rPr>
          <w:rFonts w:ascii="宋体" w:hAnsi="宋体" w:cs="宋体" w:eastAsia="宋体" w:hint="default"/>
          <w:sz w:val="24"/>
          <w:szCs w:val="24"/>
        </w:rPr>
      </w:r>
    </w:p>
    <w:p>
      <w:pPr>
        <w:spacing w:line="240" w:lineRule="auto" w:before="11"/>
        <w:rPr>
          <w:rFonts w:ascii="宋体" w:hAnsi="宋体" w:cs="宋体" w:eastAsia="宋体" w:hint="default"/>
          <w:b/>
          <w:bCs/>
          <w:sz w:val="23"/>
          <w:szCs w:val="23"/>
        </w:rPr>
      </w:pPr>
    </w:p>
    <w:tbl>
      <w:tblPr>
        <w:tblW w:w="0" w:type="auto"/>
        <w:jc w:val="left"/>
        <w:tblInd w:w="111" w:type="dxa"/>
        <w:tblLayout w:type="fixed"/>
        <w:tblCellMar>
          <w:top w:w="0" w:type="dxa"/>
          <w:left w:w="0" w:type="dxa"/>
          <w:bottom w:w="0" w:type="dxa"/>
          <w:right w:w="0" w:type="dxa"/>
        </w:tblCellMar>
        <w:tblLook w:val="01E0"/>
      </w:tblPr>
      <w:tblGrid>
        <w:gridCol w:w="2142"/>
        <w:gridCol w:w="3072"/>
        <w:gridCol w:w="3059"/>
      </w:tblGrid>
      <w:tr>
        <w:trPr>
          <w:trHeight w:val="333" w:hRule="exact"/>
        </w:trPr>
        <w:tc>
          <w:tcPr>
            <w:tcW w:w="2142" w:type="dxa"/>
            <w:tcBorders>
              <w:top w:val="single" w:sz="12" w:space="0" w:color="000000"/>
              <w:left w:val="single" w:sz="12" w:space="0" w:color="000000"/>
              <w:bottom w:val="single" w:sz="4" w:space="0" w:color="000000"/>
              <w:right w:val="single" w:sz="4" w:space="0" w:color="000000"/>
            </w:tcBorders>
            <w:shd w:val="clear" w:color="auto" w:fill="DCDCDC"/>
          </w:tcPr>
          <w:p>
            <w:pPr/>
          </w:p>
        </w:tc>
        <w:tc>
          <w:tcPr>
            <w:tcW w:w="3072"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059" w:type="dxa"/>
            <w:tcBorders>
              <w:top w:val="single" w:sz="12" w:space="0" w:color="000000"/>
              <w:left w:val="single" w:sz="4" w:space="0" w:color="000000"/>
              <w:bottom w:val="single" w:sz="4" w:space="0" w:color="000000"/>
              <w:right w:val="single" w:sz="12" w:space="0" w:color="000000"/>
            </w:tcBorders>
            <w:shd w:val="clear" w:color="auto" w:fill="DCDCDC"/>
          </w:tcPr>
          <w:p>
            <w:pPr>
              <w:pStyle w:val="TableParagraph"/>
              <w:spacing w:line="240" w:lineRule="auto" w:before="10"/>
              <w:ind w:left="983"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323" w:hRule="exact"/>
        </w:trPr>
        <w:tc>
          <w:tcPr>
            <w:tcW w:w="2142"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姓名</w:t>
            </w:r>
          </w:p>
        </w:tc>
        <w:tc>
          <w:tcPr>
            <w:tcW w:w="30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王斌</w:t>
            </w:r>
          </w:p>
        </w:tc>
        <w:tc>
          <w:tcPr>
            <w:tcW w:w="305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李滢雪</w:t>
            </w:r>
          </w:p>
        </w:tc>
      </w:tr>
      <w:tr>
        <w:trPr>
          <w:trHeight w:val="324" w:hRule="exact"/>
        </w:trPr>
        <w:tc>
          <w:tcPr>
            <w:tcW w:w="2142"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0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Times New Roman" w:hAnsi="Times New Roman" w:cs="Times New Roman" w:eastAsia="Times New Roman" w:hint="default"/>
                <w:sz w:val="18"/>
                <w:szCs w:val="18"/>
              </w:rPr>
              <w:t>12</w:t>
            </w:r>
            <w:r>
              <w:rPr>
                <w:rFonts w:ascii="宋体" w:hAnsi="宋体" w:cs="宋体" w:eastAsia="宋体" w:hint="default"/>
                <w:sz w:val="18"/>
                <w:szCs w:val="18"/>
              </w:rPr>
              <w:t>号</w:t>
            </w:r>
          </w:p>
        </w:tc>
        <w:tc>
          <w:tcPr>
            <w:tcW w:w="305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厦门市软件园二期观日路</w:t>
            </w:r>
            <w:r>
              <w:rPr>
                <w:rFonts w:ascii="Times New Roman" w:hAnsi="Times New Roman" w:cs="Times New Roman" w:eastAsia="Times New Roman" w:hint="default"/>
                <w:sz w:val="18"/>
                <w:szCs w:val="18"/>
              </w:rPr>
              <w:t>12</w:t>
            </w:r>
            <w:r>
              <w:rPr>
                <w:rFonts w:ascii="宋体" w:hAnsi="宋体" w:cs="宋体" w:eastAsia="宋体" w:hint="default"/>
                <w:sz w:val="18"/>
                <w:szCs w:val="18"/>
              </w:rPr>
              <w:t>号</w:t>
            </w:r>
          </w:p>
        </w:tc>
      </w:tr>
      <w:tr>
        <w:trPr>
          <w:trHeight w:val="323" w:hRule="exact"/>
        </w:trPr>
        <w:tc>
          <w:tcPr>
            <w:tcW w:w="2142"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电话</w:t>
            </w:r>
          </w:p>
        </w:tc>
        <w:tc>
          <w:tcPr>
            <w:tcW w:w="30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0592-3698792</w:t>
            </w:r>
          </w:p>
        </w:tc>
        <w:tc>
          <w:tcPr>
            <w:tcW w:w="305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0592-3698792</w:t>
            </w:r>
          </w:p>
        </w:tc>
      </w:tr>
      <w:tr>
        <w:trPr>
          <w:trHeight w:val="324" w:hRule="exact"/>
        </w:trPr>
        <w:tc>
          <w:tcPr>
            <w:tcW w:w="2142" w:type="dxa"/>
            <w:tcBorders>
              <w:top w:val="single" w:sz="4"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传真</w:t>
            </w:r>
          </w:p>
        </w:tc>
        <w:tc>
          <w:tcPr>
            <w:tcW w:w="307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0592-2519335</w:t>
            </w:r>
          </w:p>
        </w:tc>
        <w:tc>
          <w:tcPr>
            <w:tcW w:w="305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r>
              <w:rPr>
                <w:rFonts w:ascii="Times New Roman"/>
                <w:sz w:val="18"/>
              </w:rPr>
              <w:t>0592-2519335</w:t>
            </w:r>
          </w:p>
        </w:tc>
      </w:tr>
      <w:tr>
        <w:trPr>
          <w:trHeight w:val="333" w:hRule="exact"/>
        </w:trPr>
        <w:tc>
          <w:tcPr>
            <w:tcW w:w="2142" w:type="dxa"/>
            <w:tcBorders>
              <w:top w:val="single" w:sz="4" w:space="0" w:color="000000"/>
              <w:left w:val="single" w:sz="12" w:space="0" w:color="000000"/>
              <w:bottom w:val="single" w:sz="12" w:space="0" w:color="000000"/>
              <w:right w:val="single" w:sz="4" w:space="0" w:color="000000"/>
            </w:tcBorders>
            <w:shd w:val="clear" w:color="auto" w:fill="DCDCDC"/>
          </w:tcPr>
          <w:p>
            <w:pPr>
              <w:pStyle w:val="TableParagraph"/>
              <w:spacing w:line="240" w:lineRule="auto" w:before="10"/>
              <w:ind w:right="4"/>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072" w:type="dxa"/>
            <w:tcBorders>
              <w:top w:val="single" w:sz="4" w:space="0" w:color="000000"/>
              <w:left w:val="single" w:sz="13" w:space="0" w:color="DCDCDC"/>
              <w:bottom w:val="single" w:sz="12" w:space="0" w:color="000000"/>
              <w:right w:val="single" w:sz="4" w:space="0" w:color="000000"/>
            </w:tcBorders>
          </w:tcPr>
          <w:p>
            <w:pPr>
              <w:pStyle w:val="TableParagraph"/>
              <w:spacing w:line="240" w:lineRule="auto" w:before="49"/>
              <w:ind w:left="22" w:right="0"/>
              <w:jc w:val="left"/>
              <w:rPr>
                <w:rFonts w:ascii="Times New Roman" w:hAnsi="Times New Roman" w:cs="Times New Roman" w:eastAsia="Times New Roman" w:hint="default"/>
                <w:sz w:val="18"/>
                <w:szCs w:val="18"/>
              </w:rPr>
            </w:pPr>
            <w:hyperlink r:id="rId10">
              <w:r>
                <w:rPr>
                  <w:rFonts w:ascii="Times New Roman"/>
                  <w:sz w:val="18"/>
                </w:rPr>
                <w:t>tzzgx@xm-my.com.cn</w:t>
              </w:r>
            </w:hyperlink>
          </w:p>
        </w:tc>
        <w:tc>
          <w:tcPr>
            <w:tcW w:w="305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hyperlink r:id="rId10">
              <w:r>
                <w:rPr>
                  <w:rFonts w:ascii="Times New Roman"/>
                  <w:sz w:val="18"/>
                </w:rPr>
                <w:t>tzzgx@xm-my.com.cn</w:t>
              </w:r>
            </w:hyperlink>
          </w:p>
        </w:tc>
      </w:tr>
    </w:tbl>
    <w:p>
      <w:pPr>
        <w:spacing w:line="436" w:lineRule="auto" w:before="81"/>
        <w:ind w:left="600" w:right="3640" w:firstLine="2"/>
        <w:jc w:val="left"/>
        <w:rPr>
          <w:rFonts w:ascii="宋体" w:hAnsi="宋体" w:cs="宋体" w:eastAsia="宋体" w:hint="default"/>
          <w:sz w:val="24"/>
          <w:szCs w:val="24"/>
        </w:rPr>
      </w:pPr>
      <w:r>
        <w:rPr>
          <w:rFonts w:ascii="宋体" w:hAnsi="宋体" w:cs="宋体" w:eastAsia="宋体" w:hint="default"/>
          <w:b/>
          <w:bCs/>
          <w:sz w:val="24"/>
          <w:szCs w:val="24"/>
        </w:rPr>
        <w:t>三、登载年度报告的中国证监会指定网站：</w:t>
      </w:r>
      <w:r>
        <w:rPr>
          <w:rFonts w:ascii="宋体" w:hAnsi="宋体" w:cs="宋体" w:eastAsia="宋体" w:hint="default"/>
          <w:b/>
          <w:bCs/>
          <w:spacing w:val="1"/>
          <w:w w:val="99"/>
          <w:sz w:val="24"/>
          <w:szCs w:val="24"/>
        </w:rPr>
        <w:t> </w:t>
      </w:r>
      <w:r>
        <w:rPr>
          <w:rFonts w:ascii="宋体" w:hAnsi="宋体" w:cs="宋体" w:eastAsia="宋体" w:hint="default"/>
          <w:sz w:val="24"/>
          <w:szCs w:val="24"/>
        </w:rPr>
        <w:t>巨潮资讯网，网址是</w:t>
      </w:r>
      <w:hyperlink r:id="rId11">
        <w:r>
          <w:rPr>
            <w:rFonts w:ascii="Times New Roman" w:hAnsi="Times New Roman" w:cs="Times New Roman" w:eastAsia="Times New Roman" w:hint="default"/>
            <w:sz w:val="24"/>
            <w:szCs w:val="24"/>
          </w:rPr>
          <w:t>www.cninfo.com.cn</w:t>
        </w:r>
      </w:hyperlink>
      <w:r>
        <w:rPr>
          <w:rFonts w:ascii="Times New Roman" w:hAnsi="Times New Roman" w:cs="Times New Roman" w:eastAsia="Times New Roman" w:hint="default"/>
          <w:spacing w:val="-1"/>
          <w:sz w:val="24"/>
          <w:szCs w:val="24"/>
        </w:rPr>
        <w:t> </w:t>
      </w:r>
      <w:r>
        <w:rPr>
          <w:rFonts w:ascii="宋体" w:hAnsi="宋体" w:cs="宋体" w:eastAsia="宋体" w:hint="default"/>
          <w:b/>
          <w:bCs/>
          <w:sz w:val="24"/>
          <w:szCs w:val="24"/>
        </w:rPr>
        <w:t>四、公司选定的信息披露报纸名称：</w:t>
      </w:r>
      <w:r>
        <w:rPr>
          <w:rFonts w:ascii="宋体" w:hAnsi="宋体" w:cs="宋体" w:eastAsia="宋体" w:hint="default"/>
          <w:sz w:val="24"/>
          <w:szCs w:val="24"/>
        </w:rPr>
      </w:r>
    </w:p>
    <w:p>
      <w:pPr>
        <w:spacing w:line="448" w:lineRule="auto" w:before="76"/>
        <w:ind w:left="602" w:right="1261" w:hanging="3"/>
        <w:jc w:val="left"/>
        <w:rPr>
          <w:rFonts w:ascii="宋体" w:hAnsi="宋体" w:cs="宋体" w:eastAsia="宋体" w:hint="default"/>
          <w:sz w:val="24"/>
          <w:szCs w:val="24"/>
        </w:rPr>
      </w:pPr>
      <w:r>
        <w:rPr>
          <w:rFonts w:ascii="宋体" w:hAnsi="宋体" w:cs="宋体" w:eastAsia="宋体" w:hint="default"/>
          <w:sz w:val="24"/>
          <w:szCs w:val="24"/>
        </w:rPr>
        <w:t>《证券时报》、《中国证券报》、《证券日报》、《上海证券报》 </w:t>
      </w:r>
      <w:r>
        <w:rPr>
          <w:rFonts w:ascii="宋体" w:hAnsi="宋体" w:cs="宋体" w:eastAsia="宋体" w:hint="default"/>
          <w:b/>
          <w:bCs/>
          <w:sz w:val="24"/>
          <w:szCs w:val="24"/>
        </w:rPr>
        <w:t>五、公司年度报告备置地点：</w:t>
      </w:r>
      <w:r>
        <w:rPr>
          <w:rFonts w:ascii="宋体" w:hAnsi="宋体" w:cs="宋体" w:eastAsia="宋体" w:hint="default"/>
          <w:sz w:val="24"/>
          <w:szCs w:val="24"/>
        </w:rPr>
        <w:t>公司投资者关系管理部</w:t>
      </w:r>
      <w:r>
        <w:rPr>
          <w:rFonts w:ascii="宋体" w:hAnsi="宋体" w:cs="宋体" w:eastAsia="宋体" w:hint="default"/>
          <w:spacing w:val="-1"/>
          <w:sz w:val="24"/>
          <w:szCs w:val="24"/>
        </w:rPr>
        <w:t> </w:t>
      </w:r>
      <w:r>
        <w:rPr>
          <w:rFonts w:ascii="宋体" w:hAnsi="宋体" w:cs="宋体" w:eastAsia="宋体" w:hint="default"/>
          <w:b/>
          <w:bCs/>
          <w:sz w:val="24"/>
          <w:szCs w:val="24"/>
        </w:rPr>
        <w:t>六、公司股票上市交易所：</w:t>
      </w:r>
      <w:r>
        <w:rPr>
          <w:rFonts w:ascii="宋体" w:hAnsi="宋体" w:cs="宋体" w:eastAsia="宋体" w:hint="default"/>
          <w:sz w:val="24"/>
          <w:szCs w:val="24"/>
        </w:rPr>
        <w:t>深圳证券交易所</w:t>
      </w:r>
    </w:p>
    <w:p>
      <w:pPr>
        <w:spacing w:line="448" w:lineRule="auto" w:before="64"/>
        <w:ind w:left="602" w:right="6053" w:firstLine="0"/>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股票简称：</w:t>
      </w:r>
      <w:r>
        <w:rPr>
          <w:rFonts w:ascii="宋体" w:hAnsi="宋体" w:cs="宋体" w:eastAsia="宋体" w:hint="default"/>
          <w:sz w:val="24"/>
          <w:szCs w:val="24"/>
        </w:rPr>
        <w:t>美亚柏科 </w:t>
      </w:r>
      <w:r>
        <w:rPr>
          <w:rFonts w:ascii="宋体" w:hAnsi="宋体" w:cs="宋体" w:eastAsia="宋体" w:hint="default"/>
          <w:b/>
          <w:bCs/>
          <w:sz w:val="24"/>
          <w:szCs w:val="24"/>
        </w:rPr>
        <w:t>股票代码：</w:t>
      </w:r>
      <w:r>
        <w:rPr>
          <w:rFonts w:ascii="Times New Roman" w:hAnsi="Times New Roman" w:cs="Times New Roman" w:eastAsia="Times New Roman" w:hint="default"/>
          <w:sz w:val="24"/>
          <w:szCs w:val="24"/>
        </w:rPr>
        <w:t>300188</w:t>
      </w:r>
    </w:p>
    <w:p>
      <w:pPr>
        <w:spacing w:after="0" w:line="448" w:lineRule="auto"/>
        <w:jc w:val="left"/>
        <w:rPr>
          <w:rFonts w:ascii="Times New Roman" w:hAnsi="Times New Roman" w:cs="Times New Roman" w:eastAsia="Times New Roman" w:hint="default"/>
          <w:sz w:val="24"/>
          <w:szCs w:val="24"/>
        </w:rPr>
        <w:sectPr>
          <w:footerReference w:type="default" r:id="rId8"/>
          <w:pgSz w:w="12240" w:h="15840"/>
          <w:pgMar w:footer="708" w:header="0" w:top="1500" w:bottom="900" w:left="1680" w:right="1720"/>
        </w:sectPr>
      </w:pPr>
    </w:p>
    <w:p>
      <w:pPr>
        <w:pStyle w:val="Heading1"/>
        <w:tabs>
          <w:tab w:pos="3334" w:val="left" w:leader="none"/>
        </w:tabs>
        <w:spacing w:line="393" w:lineRule="exact"/>
        <w:ind w:left="2050" w:right="0"/>
        <w:jc w:val="left"/>
        <w:rPr>
          <w:b w:val="0"/>
          <w:bCs w:val="0"/>
        </w:rPr>
      </w:pPr>
      <w:bookmarkStart w:name="_bookmark1" w:id="2"/>
      <w:bookmarkEnd w:id="2"/>
      <w:r>
        <w:rPr>
          <w:b w:val="0"/>
          <w:bCs w:val="0"/>
        </w:rPr>
      </w:r>
      <w:r>
        <w:rPr>
          <w:w w:val="95"/>
        </w:rPr>
        <w:t>第二节</w:t>
        <w:tab/>
      </w:r>
      <w:r>
        <w:rPr/>
        <w:t>会计数据和业务数据摘要</w:t>
      </w:r>
      <w:r>
        <w:rPr>
          <w:b w:val="0"/>
          <w:bCs w:val="0"/>
        </w:rPr>
      </w:r>
    </w:p>
    <w:p>
      <w:pPr>
        <w:spacing w:line="240" w:lineRule="auto" w:before="8"/>
        <w:rPr>
          <w:rFonts w:ascii="黑体" w:hAnsi="黑体" w:cs="黑体" w:eastAsia="黑体" w:hint="default"/>
          <w:b/>
          <w:bCs/>
          <w:sz w:val="26"/>
          <w:szCs w:val="26"/>
        </w:rPr>
      </w:pPr>
    </w:p>
    <w:p>
      <w:pPr>
        <w:pStyle w:val="Heading2"/>
        <w:spacing w:line="240" w:lineRule="auto"/>
        <w:ind w:left="701" w:right="0"/>
        <w:jc w:val="left"/>
        <w:rPr>
          <w:b w:val="0"/>
          <w:bCs w:val="0"/>
        </w:rPr>
      </w:pPr>
      <w:r>
        <w:rPr/>
        <w:t>一、主要会计数据</w:t>
      </w:r>
      <w:r>
        <w:rPr>
          <w:b w:val="0"/>
          <w:bCs w:val="0"/>
        </w:rPr>
      </w:r>
    </w:p>
    <w:p>
      <w:pPr>
        <w:spacing w:line="240" w:lineRule="auto" w:before="11"/>
        <w:rPr>
          <w:rFonts w:ascii="宋体" w:hAnsi="宋体" w:cs="宋体" w:eastAsia="宋体" w:hint="default"/>
          <w:b/>
          <w:bCs/>
          <w:sz w:val="20"/>
          <w:szCs w:val="20"/>
        </w:rPr>
      </w:pPr>
    </w:p>
    <w:tbl>
      <w:tblPr>
        <w:tblW w:w="0" w:type="auto"/>
        <w:jc w:val="left"/>
        <w:tblInd w:w="107" w:type="dxa"/>
        <w:tblLayout w:type="fixed"/>
        <w:tblCellMar>
          <w:top w:w="0" w:type="dxa"/>
          <w:left w:w="0" w:type="dxa"/>
          <w:bottom w:w="0" w:type="dxa"/>
          <w:right w:w="0" w:type="dxa"/>
        </w:tblCellMar>
        <w:tblLook w:val="01E0"/>
      </w:tblPr>
      <w:tblGrid>
        <w:gridCol w:w="2176"/>
        <w:gridCol w:w="1630"/>
        <w:gridCol w:w="1802"/>
        <w:gridCol w:w="1490"/>
        <w:gridCol w:w="1596"/>
      </w:tblGrid>
      <w:tr>
        <w:trPr>
          <w:trHeight w:val="148" w:hRule="exact"/>
        </w:trPr>
        <w:tc>
          <w:tcPr>
            <w:tcW w:w="21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63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02"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0" w:type="dxa"/>
            <w:vMerge w:val="restart"/>
            <w:tcBorders>
              <w:top w:val="single" w:sz="4" w:space="0" w:color="000000"/>
              <w:left w:val="single" w:sz="4" w:space="0" w:color="000000"/>
              <w:right w:val="single" w:sz="4" w:space="0" w:color="000000"/>
            </w:tcBorders>
            <w:shd w:val="clear" w:color="auto" w:fill="DCDCDC"/>
          </w:tcPr>
          <w:p>
            <w:pPr>
              <w:pStyle w:val="TableParagraph"/>
              <w:spacing w:line="272" w:lineRule="exact" w:before="33"/>
              <w:ind w:left="319" w:right="109" w:hanging="210"/>
              <w:jc w:val="left"/>
              <w:rPr>
                <w:rFonts w:ascii="宋体" w:hAnsi="宋体" w:cs="宋体" w:eastAsia="宋体" w:hint="default"/>
                <w:sz w:val="21"/>
                <w:szCs w:val="21"/>
              </w:rPr>
            </w:pPr>
            <w:r>
              <w:rPr>
                <w:rFonts w:ascii="宋体" w:hAnsi="宋体" w:cs="宋体" w:eastAsia="宋体" w:hint="default"/>
                <w:sz w:val="21"/>
                <w:szCs w:val="21"/>
              </w:rPr>
              <w:t>本年比上年增 减（％）</w:t>
            </w:r>
          </w:p>
        </w:tc>
        <w:tc>
          <w:tcPr>
            <w:tcW w:w="159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37" w:hRule="exact"/>
        </w:trPr>
        <w:tc>
          <w:tcPr>
            <w:tcW w:w="2176" w:type="dxa"/>
            <w:tcBorders>
              <w:top w:val="nil" w:sz="6" w:space="0" w:color="auto"/>
              <w:left w:val="single" w:sz="4" w:space="0" w:color="000000"/>
              <w:bottom w:val="nil" w:sz="6" w:space="0" w:color="auto"/>
              <w:right w:val="single" w:sz="4" w:space="0" w:color="000000"/>
            </w:tcBorders>
            <w:shd w:val="clear" w:color="auto" w:fill="DCDCDC"/>
          </w:tcPr>
          <w:p>
            <w:pPr/>
          </w:p>
        </w:tc>
        <w:tc>
          <w:tcPr>
            <w:tcW w:w="163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p>
        </w:tc>
        <w:tc>
          <w:tcPr>
            <w:tcW w:w="180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58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p>
        </w:tc>
        <w:tc>
          <w:tcPr>
            <w:tcW w:w="1490" w:type="dxa"/>
            <w:vMerge/>
            <w:tcBorders>
              <w:left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47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宋体" w:hAnsi="宋体" w:cs="宋体" w:eastAsia="宋体" w:hint="default"/>
                <w:sz w:val="21"/>
                <w:szCs w:val="21"/>
              </w:rPr>
              <w:t>年</w:t>
            </w:r>
          </w:p>
        </w:tc>
      </w:tr>
      <w:tr>
        <w:trPr>
          <w:trHeight w:val="149" w:hRule="exact"/>
        </w:trPr>
        <w:tc>
          <w:tcPr>
            <w:tcW w:w="21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02" w:type="dxa"/>
            <w:tcBorders>
              <w:top w:val="nil" w:sz="6" w:space="0" w:color="auto"/>
              <w:left w:val="single" w:sz="4" w:space="0" w:color="000000"/>
              <w:bottom w:val="single" w:sz="4" w:space="0" w:color="000000"/>
              <w:right w:val="single" w:sz="4" w:space="0" w:color="000000"/>
            </w:tcBorders>
            <w:shd w:val="clear" w:color="auto" w:fill="DCDCDC"/>
          </w:tcPr>
          <w:p>
            <w:pPr/>
          </w:p>
        </w:tc>
        <w:tc>
          <w:tcPr>
            <w:tcW w:w="1490" w:type="dxa"/>
            <w:vMerge/>
            <w:tcBorders>
              <w:left w:val="single" w:sz="4" w:space="0" w:color="000000"/>
              <w:bottom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63"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left="10" w:right="0"/>
              <w:jc w:val="center"/>
              <w:rPr>
                <w:rFonts w:ascii="宋体" w:hAnsi="宋体" w:cs="宋体" w:eastAsia="宋体" w:hint="default"/>
                <w:sz w:val="21"/>
                <w:szCs w:val="21"/>
              </w:rPr>
            </w:pPr>
            <w:r>
              <w:rPr>
                <w:rFonts w:ascii="宋体" w:hAnsi="宋体" w:cs="宋体" w:eastAsia="宋体" w:hint="default"/>
                <w:sz w:val="21"/>
                <w:szCs w:val="21"/>
              </w:rPr>
              <w:t>营业总收入（元）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21"/>
                <w:szCs w:val="21"/>
              </w:rPr>
            </w:pPr>
            <w:r>
              <w:rPr>
                <w:rFonts w:ascii="Times New Roman"/>
                <w:spacing w:val="-1"/>
                <w:sz w:val="21"/>
              </w:rPr>
              <w:t>268,515,584.75</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187,996,001.19</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42.83%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21"/>
                <w:szCs w:val="21"/>
              </w:rPr>
            </w:pPr>
            <w:r>
              <w:rPr>
                <w:rFonts w:ascii="Times New Roman"/>
                <w:spacing w:val="-1"/>
                <w:sz w:val="21"/>
              </w:rPr>
              <w:t>123,149,605.21</w:t>
            </w:r>
            <w:r>
              <w:rPr>
                <w:rFonts w:ascii="Times New Roman"/>
                <w:sz w:val="21"/>
              </w:rPr>
            </w:r>
          </w:p>
        </w:tc>
      </w:tr>
      <w:tr>
        <w:trPr>
          <w:trHeight w:val="362"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52,190,135.60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30,692,825.15</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70.04%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24,550,665.08</w:t>
            </w:r>
          </w:p>
        </w:tc>
      </w:tr>
      <w:tr>
        <w:trPr>
          <w:trHeight w:val="362"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70,209,189.90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48,492,926.85</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44.78%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32,910,739.12</w:t>
            </w:r>
            <w:r>
              <w:rPr>
                <w:rFonts w:ascii="Times New Roman"/>
                <w:sz w:val="21"/>
              </w:rPr>
            </w:r>
          </w:p>
        </w:tc>
      </w:tr>
      <w:tr>
        <w:trPr>
          <w:trHeight w:val="635"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458" w:right="26" w:hanging="420"/>
              <w:jc w:val="left"/>
              <w:rPr>
                <w:rFonts w:ascii="宋体" w:hAnsi="宋体" w:cs="宋体" w:eastAsia="宋体" w:hint="default"/>
                <w:sz w:val="21"/>
                <w:szCs w:val="21"/>
              </w:rPr>
            </w:pPr>
            <w:r>
              <w:rPr>
                <w:rFonts w:ascii="宋体" w:hAnsi="宋体" w:cs="宋体" w:eastAsia="宋体" w:hint="default"/>
                <w:sz w:val="21"/>
                <w:szCs w:val="21"/>
              </w:rPr>
              <w:t>归属于上市公司股东的 净利润（元）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61,504,981.78</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41,045,570.47</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49.85%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28,651,713.51</w:t>
            </w:r>
          </w:p>
        </w:tc>
      </w:tr>
      <w:tr>
        <w:trPr>
          <w:trHeight w:val="907"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
              <w:ind w:left="38" w:right="26"/>
              <w:jc w:val="center"/>
              <w:rPr>
                <w:rFonts w:ascii="宋体" w:hAnsi="宋体" w:cs="宋体" w:eastAsia="宋体" w:hint="default"/>
                <w:sz w:val="21"/>
                <w:szCs w:val="21"/>
              </w:rPr>
            </w:pPr>
            <w:r>
              <w:rPr>
                <w:rFonts w:ascii="宋体" w:hAnsi="宋体" w:cs="宋体" w:eastAsia="宋体" w:hint="default"/>
                <w:sz w:val="21"/>
                <w:szCs w:val="21"/>
              </w:rPr>
              <w:t>归属于上市公司股东的 扣除非经常性损益的净 利润（元）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55,396,431.78</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31,193,383.27</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77.59%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26,748,229.84</w:t>
            </w:r>
          </w:p>
        </w:tc>
      </w:tr>
      <w:tr>
        <w:trPr>
          <w:trHeight w:val="634"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458" w:right="26" w:hanging="420"/>
              <w:jc w:val="left"/>
              <w:rPr>
                <w:rFonts w:ascii="宋体" w:hAnsi="宋体" w:cs="宋体" w:eastAsia="宋体" w:hint="default"/>
                <w:sz w:val="21"/>
                <w:szCs w:val="21"/>
              </w:rPr>
            </w:pPr>
            <w:r>
              <w:rPr>
                <w:rFonts w:ascii="宋体" w:hAnsi="宋体" w:cs="宋体" w:eastAsia="宋体" w:hint="default"/>
                <w:sz w:val="21"/>
                <w:szCs w:val="21"/>
              </w:rPr>
              <w:t>经营活动产生的现金流 量净额（元）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3,948,304.00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58,838,645.45</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-93.29%</w:t>
            </w:r>
          </w:p>
        </w:tc>
        <w:tc>
          <w:tcPr>
            <w:tcW w:w="1596" w:type="dxa"/>
            <w:tcBorders>
              <w:top w:val="single" w:sz="4" w:space="0" w:color="000000"/>
              <w:left w:val="single" w:sz="4" w:space="0" w:color="000000"/>
              <w:bottom w:val="single" w:sz="58" w:space="0" w:color="DCDCDC"/>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34,796,123.47</w:t>
            </w:r>
            <w:r>
              <w:rPr>
                <w:rFonts w:ascii="Times New Roman"/>
                <w:sz w:val="21"/>
              </w:rPr>
            </w:r>
          </w:p>
        </w:tc>
      </w:tr>
      <w:tr>
        <w:trPr>
          <w:trHeight w:val="148" w:hRule="exact"/>
        </w:trPr>
        <w:tc>
          <w:tcPr>
            <w:tcW w:w="2176" w:type="dxa"/>
            <w:tcBorders>
              <w:top w:val="single" w:sz="4" w:space="0" w:color="000000"/>
              <w:left w:val="single" w:sz="4" w:space="0" w:color="000000"/>
              <w:bottom w:val="nil" w:sz="6" w:space="0" w:color="auto"/>
              <w:right w:val="single" w:sz="4" w:space="0" w:color="000000"/>
            </w:tcBorders>
            <w:shd w:val="clear" w:color="auto" w:fill="DCDCDC"/>
          </w:tcPr>
          <w:p>
            <w:pPr/>
          </w:p>
        </w:tc>
        <w:tc>
          <w:tcPr>
            <w:tcW w:w="163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02" w:type="dxa"/>
            <w:tcBorders>
              <w:top w:val="single" w:sz="4" w:space="0" w:color="000000"/>
              <w:left w:val="single" w:sz="4" w:space="0" w:color="000000"/>
              <w:bottom w:val="nil" w:sz="6" w:space="0" w:color="auto"/>
              <w:right w:val="single" w:sz="4" w:space="0" w:color="000000"/>
            </w:tcBorders>
            <w:shd w:val="clear" w:color="auto" w:fill="DCDCDC"/>
          </w:tcPr>
          <w:p>
            <w:pPr/>
          </w:p>
        </w:tc>
        <w:tc>
          <w:tcPr>
            <w:tcW w:w="149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left="109" w:right="109"/>
              <w:jc w:val="left"/>
              <w:rPr>
                <w:rFonts w:ascii="宋体" w:hAnsi="宋体" w:cs="宋体" w:eastAsia="宋体" w:hint="default"/>
                <w:sz w:val="21"/>
                <w:szCs w:val="21"/>
              </w:rPr>
            </w:pPr>
            <w:r>
              <w:rPr>
                <w:rFonts w:ascii="宋体" w:hAnsi="宋体" w:cs="宋体" w:eastAsia="宋体" w:hint="default"/>
                <w:sz w:val="21"/>
                <w:szCs w:val="21"/>
              </w:rPr>
              <w:t>本年末比上年 末增减（％）</w:t>
            </w:r>
          </w:p>
        </w:tc>
        <w:tc>
          <w:tcPr>
            <w:tcW w:w="1596"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38" w:hRule="exact"/>
        </w:trPr>
        <w:tc>
          <w:tcPr>
            <w:tcW w:w="2176" w:type="dxa"/>
            <w:tcBorders>
              <w:top w:val="nil" w:sz="6" w:space="0" w:color="auto"/>
              <w:left w:val="single" w:sz="4" w:space="0" w:color="000000"/>
              <w:bottom w:val="nil" w:sz="6" w:space="0" w:color="auto"/>
              <w:right w:val="single" w:sz="4" w:space="0" w:color="000000"/>
            </w:tcBorders>
            <w:shd w:val="clear" w:color="auto" w:fill="DCDCDC"/>
          </w:tcPr>
          <w:p>
            <w:pPr/>
          </w:p>
        </w:tc>
        <w:tc>
          <w:tcPr>
            <w:tcW w:w="163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39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年末</w:t>
            </w:r>
          </w:p>
        </w:tc>
        <w:tc>
          <w:tcPr>
            <w:tcW w:w="180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47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年末</w:t>
            </w:r>
          </w:p>
        </w:tc>
        <w:tc>
          <w:tcPr>
            <w:tcW w:w="1490" w:type="dxa"/>
            <w:vMerge/>
            <w:tcBorders>
              <w:left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37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宋体" w:hAnsi="宋体" w:cs="宋体" w:eastAsia="宋体" w:hint="default"/>
                <w:sz w:val="21"/>
                <w:szCs w:val="21"/>
              </w:rPr>
              <w:t>年末</w:t>
            </w:r>
          </w:p>
        </w:tc>
      </w:tr>
      <w:tr>
        <w:trPr>
          <w:trHeight w:val="149" w:hRule="exact"/>
        </w:trPr>
        <w:tc>
          <w:tcPr>
            <w:tcW w:w="2176" w:type="dxa"/>
            <w:tcBorders>
              <w:top w:val="nil" w:sz="6" w:space="0" w:color="auto"/>
              <w:left w:val="single" w:sz="4" w:space="0" w:color="000000"/>
              <w:bottom w:val="single" w:sz="4" w:space="0" w:color="000000"/>
              <w:right w:val="single" w:sz="4" w:space="0" w:color="000000"/>
            </w:tcBorders>
            <w:shd w:val="clear" w:color="auto" w:fill="DCDCDC"/>
          </w:tcPr>
          <w:p>
            <w:pPr/>
          </w:p>
        </w:tc>
        <w:tc>
          <w:tcPr>
            <w:tcW w:w="163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02" w:type="dxa"/>
            <w:tcBorders>
              <w:top w:val="nil" w:sz="6" w:space="0" w:color="auto"/>
              <w:left w:val="single" w:sz="4" w:space="0" w:color="000000"/>
              <w:bottom w:val="single" w:sz="4" w:space="0" w:color="000000"/>
              <w:right w:val="single" w:sz="4" w:space="0" w:color="000000"/>
            </w:tcBorders>
            <w:shd w:val="clear" w:color="auto" w:fill="DCDCDC"/>
          </w:tcPr>
          <w:p>
            <w:pPr/>
          </w:p>
        </w:tc>
        <w:tc>
          <w:tcPr>
            <w:tcW w:w="1490" w:type="dxa"/>
            <w:vMerge/>
            <w:tcBorders>
              <w:left w:val="single" w:sz="4" w:space="0" w:color="000000"/>
              <w:bottom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63"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820,879,877.87</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216,824,727.55</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278.59%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138,669,006.35</w:t>
            </w:r>
            <w:r>
              <w:rPr>
                <w:rFonts w:ascii="Times New Roman"/>
                <w:sz w:val="21"/>
              </w:rPr>
            </w:r>
          </w:p>
        </w:tc>
      </w:tr>
      <w:tr>
        <w:trPr>
          <w:trHeight w:val="362"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147,191,143.04</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106,047,009.50</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38.80%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62,936,858.77</w:t>
            </w:r>
            <w:r>
              <w:rPr>
                <w:rFonts w:ascii="Times New Roman"/>
                <w:sz w:val="21"/>
              </w:rPr>
            </w:r>
          </w:p>
        </w:tc>
      </w:tr>
      <w:tr>
        <w:trPr>
          <w:trHeight w:val="635"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48" w:right="26" w:hanging="210"/>
              <w:jc w:val="left"/>
              <w:rPr>
                <w:rFonts w:ascii="宋体" w:hAnsi="宋体" w:cs="宋体" w:eastAsia="宋体" w:hint="default"/>
                <w:sz w:val="21"/>
                <w:szCs w:val="21"/>
              </w:rPr>
            </w:pPr>
            <w:r>
              <w:rPr>
                <w:rFonts w:ascii="宋体" w:hAnsi="宋体" w:cs="宋体" w:eastAsia="宋体" w:hint="default"/>
                <w:sz w:val="21"/>
                <w:szCs w:val="21"/>
              </w:rPr>
              <w:t>归属于上市公司股东的 所有者权益（元）</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673,688,734.83</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110,777,718.05</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508.14%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75,732,147.58</w:t>
            </w:r>
            <w:r>
              <w:rPr>
                <w:rFonts w:ascii="Times New Roman"/>
                <w:sz w:val="21"/>
              </w:rPr>
            </w:r>
          </w:p>
        </w:tc>
      </w:tr>
      <w:tr>
        <w:trPr>
          <w:trHeight w:val="362" w:hRule="exact"/>
        </w:trPr>
        <w:tc>
          <w:tcPr>
            <w:tcW w:w="21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 w:right="0"/>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16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53,500,000.00</w:t>
            </w:r>
          </w:p>
        </w:tc>
        <w:tc>
          <w:tcPr>
            <w:tcW w:w="1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40,000,000.00</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33.75%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40,000,000.00</w:t>
            </w:r>
            <w:r>
              <w:rPr>
                <w:rFonts w:ascii="Times New Roman"/>
                <w:sz w:val="21"/>
              </w:rPr>
            </w:r>
          </w:p>
        </w:tc>
      </w:tr>
    </w:tbl>
    <w:p>
      <w:pPr>
        <w:spacing w:line="240" w:lineRule="auto" w:before="7"/>
        <w:rPr>
          <w:rFonts w:ascii="宋体" w:hAnsi="宋体" w:cs="宋体" w:eastAsia="宋体" w:hint="default"/>
          <w:b/>
          <w:bCs/>
          <w:sz w:val="23"/>
          <w:szCs w:val="23"/>
        </w:rPr>
      </w:pPr>
    </w:p>
    <w:p>
      <w:pPr>
        <w:spacing w:before="13"/>
        <w:ind w:left="701" w:right="0" w:firstLine="0"/>
        <w:jc w:val="left"/>
        <w:rPr>
          <w:rFonts w:ascii="宋体" w:hAnsi="宋体" w:cs="宋体" w:eastAsia="宋体" w:hint="default"/>
          <w:sz w:val="28"/>
          <w:szCs w:val="28"/>
        </w:rPr>
      </w:pPr>
      <w:r>
        <w:rPr>
          <w:rFonts w:ascii="宋体" w:hAnsi="宋体" w:cs="宋体" w:eastAsia="宋体" w:hint="default"/>
          <w:b/>
          <w:bCs/>
          <w:sz w:val="28"/>
          <w:szCs w:val="28"/>
        </w:rPr>
        <w:t>二、主要财务指标</w:t>
      </w:r>
      <w:r>
        <w:rPr>
          <w:rFonts w:ascii="宋体" w:hAnsi="宋体" w:cs="宋体" w:eastAsia="宋体" w:hint="default"/>
          <w:sz w:val="28"/>
          <w:szCs w:val="28"/>
        </w:rPr>
      </w:r>
    </w:p>
    <w:p>
      <w:pPr>
        <w:spacing w:line="240" w:lineRule="auto" w:before="11"/>
        <w:rPr>
          <w:rFonts w:ascii="宋体" w:hAnsi="宋体" w:cs="宋体" w:eastAsia="宋体" w:hint="default"/>
          <w:b/>
          <w:bCs/>
          <w:sz w:val="20"/>
          <w:szCs w:val="20"/>
        </w:rPr>
      </w:pPr>
    </w:p>
    <w:tbl>
      <w:tblPr>
        <w:tblW w:w="0" w:type="auto"/>
        <w:jc w:val="left"/>
        <w:tblInd w:w="118" w:type="dxa"/>
        <w:tblLayout w:type="fixed"/>
        <w:tblCellMar>
          <w:top w:w="0" w:type="dxa"/>
          <w:left w:w="0" w:type="dxa"/>
          <w:bottom w:w="0" w:type="dxa"/>
          <w:right w:w="0" w:type="dxa"/>
        </w:tblCellMar>
        <w:tblLook w:val="01E0"/>
      </w:tblPr>
      <w:tblGrid>
        <w:gridCol w:w="3245"/>
        <w:gridCol w:w="1453"/>
        <w:gridCol w:w="1259"/>
        <w:gridCol w:w="1438"/>
        <w:gridCol w:w="1289"/>
      </w:tblGrid>
      <w:tr>
        <w:trPr>
          <w:trHeight w:val="148" w:hRule="exact"/>
        </w:trPr>
        <w:tc>
          <w:tcPr>
            <w:tcW w:w="324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53" w:type="dxa"/>
            <w:tcBorders>
              <w:top w:val="single" w:sz="4" w:space="0" w:color="000000"/>
              <w:left w:val="single" w:sz="4" w:space="0" w:color="000000"/>
              <w:bottom w:val="nil" w:sz="6" w:space="0" w:color="auto"/>
              <w:right w:val="single" w:sz="4" w:space="0" w:color="000000"/>
            </w:tcBorders>
            <w:shd w:val="clear" w:color="auto" w:fill="DCDCDC"/>
          </w:tcPr>
          <w:p>
            <w:pPr/>
          </w:p>
        </w:tc>
        <w:tc>
          <w:tcPr>
            <w:tcW w:w="1259" w:type="dxa"/>
            <w:tcBorders>
              <w:top w:val="single" w:sz="4" w:space="0" w:color="000000"/>
              <w:left w:val="single" w:sz="4" w:space="0" w:color="000000"/>
              <w:bottom w:val="nil" w:sz="6" w:space="0" w:color="auto"/>
              <w:right w:val="single" w:sz="4" w:space="0" w:color="000000"/>
            </w:tcBorders>
            <w:shd w:val="clear" w:color="auto" w:fill="DCDCDC"/>
          </w:tcPr>
          <w:p>
            <w:pPr/>
          </w:p>
        </w:tc>
        <w:tc>
          <w:tcPr>
            <w:tcW w:w="143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
              <w:ind w:left="293" w:right="83" w:hanging="210"/>
              <w:jc w:val="left"/>
              <w:rPr>
                <w:rFonts w:ascii="宋体" w:hAnsi="宋体" w:cs="宋体" w:eastAsia="宋体" w:hint="default"/>
                <w:sz w:val="21"/>
                <w:szCs w:val="21"/>
              </w:rPr>
            </w:pPr>
            <w:r>
              <w:rPr>
                <w:rFonts w:ascii="宋体" w:hAnsi="宋体" w:cs="宋体" w:eastAsia="宋体" w:hint="default"/>
                <w:sz w:val="21"/>
                <w:szCs w:val="21"/>
              </w:rPr>
              <w:t>本年比上年增 减（％）</w:t>
            </w:r>
          </w:p>
        </w:tc>
        <w:tc>
          <w:tcPr>
            <w:tcW w:w="128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37" w:hRule="exact"/>
        </w:trPr>
        <w:tc>
          <w:tcPr>
            <w:tcW w:w="3245" w:type="dxa"/>
            <w:tcBorders>
              <w:top w:val="nil" w:sz="6" w:space="0" w:color="auto"/>
              <w:left w:val="single" w:sz="4" w:space="0" w:color="000000"/>
              <w:bottom w:val="nil" w:sz="6" w:space="0" w:color="auto"/>
              <w:right w:val="single" w:sz="4" w:space="0" w:color="000000"/>
            </w:tcBorders>
            <w:shd w:val="clear" w:color="auto" w:fill="DCDCDC"/>
          </w:tcPr>
          <w:p>
            <w:pPr/>
          </w:p>
        </w:tc>
        <w:tc>
          <w:tcPr>
            <w:tcW w:w="145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4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p>
        </w:tc>
        <w:tc>
          <w:tcPr>
            <w:tcW w:w="12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30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w:t>
            </w:r>
          </w:p>
        </w:tc>
        <w:tc>
          <w:tcPr>
            <w:tcW w:w="1438" w:type="dxa"/>
            <w:vMerge/>
            <w:tcBorders>
              <w:left w:val="single" w:sz="4" w:space="0" w:color="000000"/>
              <w:right w:val="single" w:sz="4" w:space="0" w:color="000000"/>
            </w:tcBorders>
            <w:shd w:val="clear" w:color="auto" w:fill="DCDCDC"/>
          </w:tcPr>
          <w:p>
            <w:pPr/>
          </w:p>
        </w:tc>
        <w:tc>
          <w:tcPr>
            <w:tcW w:w="128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3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宋体" w:hAnsi="宋体" w:cs="宋体" w:eastAsia="宋体" w:hint="default"/>
                <w:sz w:val="21"/>
                <w:szCs w:val="21"/>
              </w:rPr>
              <w:t>年</w:t>
            </w:r>
          </w:p>
        </w:tc>
      </w:tr>
      <w:tr>
        <w:trPr>
          <w:trHeight w:val="149" w:hRule="exact"/>
        </w:trPr>
        <w:tc>
          <w:tcPr>
            <w:tcW w:w="324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53" w:type="dxa"/>
            <w:tcBorders>
              <w:top w:val="nil" w:sz="6" w:space="0" w:color="auto"/>
              <w:left w:val="single" w:sz="4" w:space="0" w:color="000000"/>
              <w:bottom w:val="single" w:sz="4" w:space="0" w:color="000000"/>
              <w:right w:val="single" w:sz="4" w:space="0" w:color="000000"/>
            </w:tcBorders>
            <w:shd w:val="clear" w:color="auto" w:fill="DCDCDC"/>
          </w:tcPr>
          <w:p>
            <w:pPr/>
          </w:p>
        </w:tc>
        <w:tc>
          <w:tcPr>
            <w:tcW w:w="1259" w:type="dxa"/>
            <w:tcBorders>
              <w:top w:val="nil" w:sz="6" w:space="0" w:color="auto"/>
              <w:left w:val="single" w:sz="4" w:space="0" w:color="000000"/>
              <w:bottom w:val="single" w:sz="4" w:space="0" w:color="000000"/>
              <w:right w:val="single" w:sz="4" w:space="0" w:color="000000"/>
            </w:tcBorders>
            <w:shd w:val="clear" w:color="auto" w:fill="DCDCDC"/>
          </w:tcPr>
          <w:p>
            <w:pPr/>
          </w:p>
        </w:tc>
        <w:tc>
          <w:tcPr>
            <w:tcW w:w="1438" w:type="dxa"/>
            <w:vMerge/>
            <w:tcBorders>
              <w:left w:val="single" w:sz="4" w:space="0" w:color="000000"/>
              <w:bottom w:val="single" w:sz="4" w:space="0" w:color="000000"/>
              <w:right w:val="single" w:sz="4" w:space="0" w:color="000000"/>
            </w:tcBorders>
            <w:shd w:val="clear" w:color="auto" w:fill="DCDCDC"/>
          </w:tcPr>
          <w:p>
            <w:pPr/>
          </w:p>
        </w:tc>
        <w:tc>
          <w:tcPr>
            <w:tcW w:w="128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98" w:hRule="exact"/>
        </w:trPr>
        <w:tc>
          <w:tcPr>
            <w:tcW w:w="3245"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6"/>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3" w:type="dxa"/>
            <w:tcBorders>
              <w:top w:val="single" w:sz="4" w:space="0" w:color="000000"/>
              <w:left w:val="single" w:sz="13" w:space="0" w:color="DCDCDC"/>
              <w:bottom w:val="single" w:sz="4" w:space="0" w:color="FFFFFF"/>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21"/>
                <w:szCs w:val="21"/>
              </w:rPr>
            </w:pPr>
            <w:r>
              <w:rPr>
                <w:rFonts w:ascii="Times New Roman"/>
                <w:spacing w:val="-1"/>
                <w:sz w:val="21"/>
              </w:rPr>
              <w:t>1.23</w:t>
            </w:r>
          </w:p>
        </w:tc>
        <w:tc>
          <w:tcPr>
            <w:tcW w:w="125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1.03</w:t>
            </w:r>
          </w:p>
        </w:tc>
        <w:tc>
          <w:tcPr>
            <w:tcW w:w="1438"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21"/>
                <w:szCs w:val="21"/>
              </w:rPr>
            </w:pPr>
            <w:r>
              <w:rPr>
                <w:rFonts w:ascii="Times New Roman"/>
                <w:spacing w:val="-1"/>
                <w:sz w:val="21"/>
              </w:rPr>
              <w:t>19.42%</w:t>
            </w:r>
          </w:p>
        </w:tc>
        <w:tc>
          <w:tcPr>
            <w:tcW w:w="128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21"/>
                <w:szCs w:val="21"/>
              </w:rPr>
            </w:pPr>
            <w:r>
              <w:rPr>
                <w:rFonts w:ascii="Times New Roman"/>
                <w:spacing w:val="-1"/>
                <w:sz w:val="21"/>
              </w:rPr>
              <w:t>0.72</w:t>
            </w:r>
          </w:p>
        </w:tc>
      </w:tr>
      <w:tr>
        <w:trPr>
          <w:trHeight w:val="458" w:hRule="exact"/>
        </w:trPr>
        <w:tc>
          <w:tcPr>
            <w:tcW w:w="3245"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35"/>
              <w:ind w:left="11"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3" w:type="dxa"/>
            <w:tcBorders>
              <w:top w:val="single" w:sz="4" w:space="0" w:color="FFFFFF"/>
              <w:left w:val="single" w:sz="13" w:space="0" w:color="DCDCDC"/>
              <w:bottom w:val="single" w:sz="4" w:space="0" w:color="000000"/>
              <w:right w:val="single" w:sz="4" w:space="0" w:color="000000"/>
            </w:tcBorders>
          </w:tcPr>
          <w:p>
            <w:pPr>
              <w:pStyle w:val="TableParagraph"/>
              <w:spacing w:line="240" w:lineRule="auto" w:before="84"/>
              <w:ind w:right="22"/>
              <w:jc w:val="right"/>
              <w:rPr>
                <w:rFonts w:ascii="Times New Roman" w:hAnsi="Times New Roman" w:cs="Times New Roman" w:eastAsia="Times New Roman" w:hint="default"/>
                <w:sz w:val="21"/>
                <w:szCs w:val="21"/>
              </w:rPr>
            </w:pPr>
            <w:r>
              <w:rPr>
                <w:rFonts w:ascii="Times New Roman"/>
                <w:spacing w:val="-1"/>
                <w:sz w:val="21"/>
              </w:rPr>
              <w:t>1.23</w:t>
            </w:r>
          </w:p>
        </w:tc>
        <w:tc>
          <w:tcPr>
            <w:tcW w:w="125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1.03</w:t>
            </w:r>
          </w:p>
        </w:tc>
        <w:tc>
          <w:tcPr>
            <w:tcW w:w="143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4"/>
              <w:ind w:right="19"/>
              <w:jc w:val="right"/>
              <w:rPr>
                <w:rFonts w:ascii="Times New Roman" w:hAnsi="Times New Roman" w:cs="Times New Roman" w:eastAsia="Times New Roman" w:hint="default"/>
                <w:sz w:val="21"/>
                <w:szCs w:val="21"/>
              </w:rPr>
            </w:pPr>
            <w:r>
              <w:rPr>
                <w:rFonts w:ascii="Times New Roman"/>
                <w:spacing w:val="-1"/>
                <w:sz w:val="21"/>
              </w:rPr>
              <w:t>19.42%</w:t>
            </w:r>
          </w:p>
        </w:tc>
        <w:tc>
          <w:tcPr>
            <w:tcW w:w="128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0.72</w:t>
            </w:r>
          </w:p>
        </w:tc>
      </w:tr>
      <w:tr>
        <w:trPr>
          <w:trHeight w:val="635" w:hRule="exact"/>
        </w:trPr>
        <w:tc>
          <w:tcPr>
            <w:tcW w:w="32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11" w:right="72"/>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扣除非经常性损益后的基本每股收 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2"/>
                <w:w w:val="95"/>
                <w:sz w:val="21"/>
              </w:rPr>
              <w:t>1.11</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0.78</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42.31%</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0.67</w:t>
            </w:r>
          </w:p>
        </w:tc>
      </w:tr>
      <w:tr>
        <w:trPr>
          <w:trHeight w:val="362" w:hRule="exact"/>
        </w:trPr>
        <w:tc>
          <w:tcPr>
            <w:tcW w:w="32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45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2"/>
                <w:sz w:val="21"/>
              </w:rPr>
              <w:t>11.88%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45.23%</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-33.35%</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43.31%</w:t>
            </w:r>
          </w:p>
        </w:tc>
      </w:tr>
      <w:tr>
        <w:trPr>
          <w:trHeight w:val="635" w:hRule="exact"/>
        </w:trPr>
        <w:tc>
          <w:tcPr>
            <w:tcW w:w="32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11" w:right="72"/>
              <w:jc w:val="left"/>
              <w:rPr>
                <w:rFonts w:ascii="宋体" w:hAnsi="宋体" w:cs="宋体" w:eastAsia="宋体" w:hint="default"/>
                <w:sz w:val="21"/>
                <w:szCs w:val="21"/>
              </w:rPr>
            </w:pPr>
            <w:r>
              <w:rPr>
                <w:rFonts w:ascii="宋体" w:hAnsi="宋体" w:cs="宋体" w:eastAsia="宋体" w:hint="default"/>
                <w:sz w:val="21"/>
                <w:szCs w:val="21"/>
              </w:rPr>
              <w:t>扣除非经常性损益后的加权平均净 资产收益率（％）</w:t>
            </w:r>
          </w:p>
        </w:tc>
        <w:tc>
          <w:tcPr>
            <w:tcW w:w="145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10.70%</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34.37%</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-23.67%</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40.43%</w:t>
            </w:r>
          </w:p>
        </w:tc>
      </w:tr>
      <w:tr>
        <w:trPr>
          <w:trHeight w:val="635" w:hRule="exact"/>
        </w:trPr>
        <w:tc>
          <w:tcPr>
            <w:tcW w:w="32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before="5"/>
              <w:ind w:left="11"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w:t>
            </w:r>
          </w:p>
          <w:p>
            <w:pPr>
              <w:pStyle w:val="TableParagraph"/>
              <w:spacing w:line="289" w:lineRule="exact"/>
              <w:ind w:left="11" w:right="0"/>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3"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0.0738</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1.47</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-94.98%</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0.87</w:t>
            </w:r>
          </w:p>
        </w:tc>
      </w:tr>
      <w:tr>
        <w:trPr>
          <w:trHeight w:val="148" w:hRule="exact"/>
        </w:trPr>
        <w:tc>
          <w:tcPr>
            <w:tcW w:w="3245" w:type="dxa"/>
            <w:tcBorders>
              <w:top w:val="single" w:sz="4" w:space="0" w:color="000000"/>
              <w:left w:val="single" w:sz="4" w:space="0" w:color="000000"/>
              <w:bottom w:val="nil" w:sz="6" w:space="0" w:color="auto"/>
              <w:right w:val="single" w:sz="4" w:space="0" w:color="000000"/>
            </w:tcBorders>
            <w:shd w:val="clear" w:color="auto" w:fill="DCDCDC"/>
          </w:tcPr>
          <w:p>
            <w:pPr/>
          </w:p>
        </w:tc>
        <w:tc>
          <w:tcPr>
            <w:tcW w:w="1453" w:type="dxa"/>
            <w:tcBorders>
              <w:top w:val="single" w:sz="4" w:space="0" w:color="000000"/>
              <w:left w:val="single" w:sz="4" w:space="0" w:color="000000"/>
              <w:bottom w:val="nil" w:sz="6" w:space="0" w:color="auto"/>
              <w:right w:val="single" w:sz="4" w:space="0" w:color="000000"/>
            </w:tcBorders>
            <w:shd w:val="clear" w:color="auto" w:fill="DCDCDC"/>
          </w:tcPr>
          <w:p>
            <w:pPr/>
          </w:p>
        </w:tc>
        <w:tc>
          <w:tcPr>
            <w:tcW w:w="1259" w:type="dxa"/>
            <w:tcBorders>
              <w:top w:val="single" w:sz="4" w:space="0" w:color="000000"/>
              <w:left w:val="single" w:sz="4" w:space="0" w:color="000000"/>
              <w:bottom w:val="nil" w:sz="6" w:space="0" w:color="auto"/>
              <w:right w:val="single" w:sz="4" w:space="0" w:color="000000"/>
            </w:tcBorders>
            <w:shd w:val="clear" w:color="auto" w:fill="DCDCDC"/>
          </w:tcPr>
          <w:p>
            <w:pPr/>
          </w:p>
        </w:tc>
        <w:tc>
          <w:tcPr>
            <w:tcW w:w="1438" w:type="dxa"/>
            <w:vMerge w:val="restart"/>
            <w:tcBorders>
              <w:top w:val="single" w:sz="4" w:space="0" w:color="000000"/>
              <w:left w:val="single" w:sz="4" w:space="0" w:color="000000"/>
              <w:right w:val="single" w:sz="4" w:space="0" w:color="000000"/>
            </w:tcBorders>
            <w:shd w:val="clear" w:color="auto" w:fill="DCDCDC"/>
          </w:tcPr>
          <w:p>
            <w:pPr>
              <w:pStyle w:val="TableParagraph"/>
              <w:spacing w:line="272" w:lineRule="exact" w:before="33"/>
              <w:ind w:left="83" w:right="83"/>
              <w:jc w:val="left"/>
              <w:rPr>
                <w:rFonts w:ascii="宋体" w:hAnsi="宋体" w:cs="宋体" w:eastAsia="宋体" w:hint="default"/>
                <w:sz w:val="21"/>
                <w:szCs w:val="21"/>
              </w:rPr>
            </w:pPr>
            <w:r>
              <w:rPr>
                <w:rFonts w:ascii="宋体" w:hAnsi="宋体" w:cs="宋体" w:eastAsia="宋体" w:hint="default"/>
                <w:sz w:val="21"/>
                <w:szCs w:val="21"/>
              </w:rPr>
              <w:t>本年末比上年 末增减（％）</w:t>
            </w:r>
          </w:p>
        </w:tc>
        <w:tc>
          <w:tcPr>
            <w:tcW w:w="128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37" w:hRule="exact"/>
        </w:trPr>
        <w:tc>
          <w:tcPr>
            <w:tcW w:w="3245" w:type="dxa"/>
            <w:tcBorders>
              <w:top w:val="nil" w:sz="6" w:space="0" w:color="auto"/>
              <w:left w:val="single" w:sz="4" w:space="0" w:color="000000"/>
              <w:bottom w:val="nil" w:sz="6" w:space="0" w:color="auto"/>
              <w:right w:val="single" w:sz="4" w:space="0" w:color="000000"/>
            </w:tcBorders>
            <w:shd w:val="clear" w:color="auto" w:fill="DCDCDC"/>
          </w:tcPr>
          <w:p>
            <w:pPr/>
          </w:p>
        </w:tc>
        <w:tc>
          <w:tcPr>
            <w:tcW w:w="145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3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年末</w:t>
            </w:r>
          </w:p>
        </w:tc>
        <w:tc>
          <w:tcPr>
            <w:tcW w:w="125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20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年末</w:t>
            </w:r>
          </w:p>
        </w:tc>
        <w:tc>
          <w:tcPr>
            <w:tcW w:w="1438" w:type="dxa"/>
            <w:vMerge/>
            <w:tcBorders>
              <w:left w:val="single" w:sz="4" w:space="0" w:color="000000"/>
              <w:right w:val="single" w:sz="4" w:space="0" w:color="000000"/>
            </w:tcBorders>
            <w:shd w:val="clear" w:color="auto" w:fill="DCDCDC"/>
          </w:tcPr>
          <w:p>
            <w:pPr/>
          </w:p>
        </w:tc>
        <w:tc>
          <w:tcPr>
            <w:tcW w:w="128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89" w:lineRule="exact"/>
              <w:ind w:left="2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宋体" w:hAnsi="宋体" w:cs="宋体" w:eastAsia="宋体" w:hint="default"/>
                <w:sz w:val="21"/>
                <w:szCs w:val="21"/>
              </w:rPr>
              <w:t>年末</w:t>
            </w:r>
          </w:p>
        </w:tc>
      </w:tr>
      <w:tr>
        <w:trPr>
          <w:trHeight w:val="150" w:hRule="exact"/>
        </w:trPr>
        <w:tc>
          <w:tcPr>
            <w:tcW w:w="3245" w:type="dxa"/>
            <w:tcBorders>
              <w:top w:val="nil" w:sz="6" w:space="0" w:color="auto"/>
              <w:left w:val="single" w:sz="4" w:space="0" w:color="000000"/>
              <w:bottom w:val="single" w:sz="4" w:space="0" w:color="000000"/>
              <w:right w:val="single" w:sz="4" w:space="0" w:color="000000"/>
            </w:tcBorders>
            <w:shd w:val="clear" w:color="auto" w:fill="DCDCDC"/>
          </w:tcPr>
          <w:p>
            <w:pPr/>
          </w:p>
        </w:tc>
        <w:tc>
          <w:tcPr>
            <w:tcW w:w="1453" w:type="dxa"/>
            <w:tcBorders>
              <w:top w:val="nil" w:sz="6" w:space="0" w:color="auto"/>
              <w:left w:val="single" w:sz="4" w:space="0" w:color="000000"/>
              <w:bottom w:val="single" w:sz="4" w:space="0" w:color="000000"/>
              <w:right w:val="single" w:sz="4" w:space="0" w:color="000000"/>
            </w:tcBorders>
            <w:shd w:val="clear" w:color="auto" w:fill="DCDCDC"/>
          </w:tcPr>
          <w:p>
            <w:pPr/>
          </w:p>
        </w:tc>
        <w:tc>
          <w:tcPr>
            <w:tcW w:w="1259" w:type="dxa"/>
            <w:tcBorders>
              <w:top w:val="nil" w:sz="6" w:space="0" w:color="auto"/>
              <w:left w:val="single" w:sz="4" w:space="0" w:color="000000"/>
              <w:bottom w:val="single" w:sz="4" w:space="0" w:color="000000"/>
              <w:right w:val="single" w:sz="4" w:space="0" w:color="000000"/>
            </w:tcBorders>
            <w:shd w:val="clear" w:color="auto" w:fill="DCDCDC"/>
          </w:tcPr>
          <w:p>
            <w:pPr/>
          </w:p>
        </w:tc>
        <w:tc>
          <w:tcPr>
            <w:tcW w:w="1438" w:type="dxa"/>
            <w:vMerge/>
            <w:tcBorders>
              <w:left w:val="single" w:sz="4" w:space="0" w:color="000000"/>
              <w:bottom w:val="single" w:sz="4" w:space="0" w:color="000000"/>
              <w:right w:val="single" w:sz="4" w:space="0" w:color="000000"/>
            </w:tcBorders>
            <w:shd w:val="clear" w:color="auto" w:fill="DCDCDC"/>
          </w:tcPr>
          <w:p>
            <w:pPr/>
          </w:p>
        </w:tc>
        <w:tc>
          <w:tcPr>
            <w:tcW w:w="1289" w:type="dxa"/>
            <w:tcBorders>
              <w:top w:val="nil" w:sz="6" w:space="0" w:color="auto"/>
              <w:left w:val="single" w:sz="4" w:space="0" w:color="000000"/>
              <w:bottom w:val="single" w:sz="4" w:space="0" w:color="000000"/>
              <w:right w:val="single" w:sz="4" w:space="0" w:color="000000"/>
            </w:tcBorders>
            <w:shd w:val="clear" w:color="auto" w:fill="DCDCDC"/>
          </w:tcPr>
          <w:p>
            <w:pPr/>
          </w:p>
        </w:tc>
      </w:tr>
    </w:tbl>
    <w:p>
      <w:pPr>
        <w:spacing w:after="0"/>
        <w:sectPr>
          <w:footerReference w:type="default" r:id="rId12"/>
          <w:pgSz w:w="12240" w:h="15840"/>
          <w:pgMar w:footer="688" w:header="0" w:top="1380" w:bottom="880" w:left="1660" w:right="1660"/>
          <w:pgNumType w:start="2"/>
        </w:sectPr>
      </w:pPr>
    </w:p>
    <w:p>
      <w:pPr>
        <w:spacing w:line="240" w:lineRule="auto" w:before="1"/>
        <w:rPr>
          <w:rFonts w:ascii="宋体" w:hAnsi="宋体" w:cs="宋体" w:eastAsia="宋体" w:hint="default"/>
          <w:b/>
          <w:bCs/>
          <w:sz w:val="6"/>
          <w:szCs w:val="6"/>
        </w:rPr>
      </w:pPr>
    </w:p>
    <w:tbl>
      <w:tblPr>
        <w:tblW w:w="0" w:type="auto"/>
        <w:jc w:val="left"/>
        <w:tblInd w:w="187" w:type="dxa"/>
        <w:tblLayout w:type="fixed"/>
        <w:tblCellMar>
          <w:top w:w="0" w:type="dxa"/>
          <w:left w:w="0" w:type="dxa"/>
          <w:bottom w:w="0" w:type="dxa"/>
          <w:right w:w="0" w:type="dxa"/>
        </w:tblCellMar>
        <w:tblLook w:val="01E0"/>
      </w:tblPr>
      <w:tblGrid>
        <w:gridCol w:w="3269"/>
        <w:gridCol w:w="1441"/>
        <w:gridCol w:w="1259"/>
        <w:gridCol w:w="1438"/>
        <w:gridCol w:w="1289"/>
      </w:tblGrid>
      <w:tr>
        <w:trPr>
          <w:trHeight w:val="635" w:hRule="exact"/>
        </w:trPr>
        <w:tc>
          <w:tcPr>
            <w:tcW w:w="32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before="5"/>
              <w:ind w:left="22"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w:t>
            </w:r>
          </w:p>
          <w:p>
            <w:pPr>
              <w:pStyle w:val="TableParagraph"/>
              <w:spacing w:line="289" w:lineRule="exact"/>
              <w:ind w:left="22" w:right="0"/>
              <w:jc w:val="left"/>
              <w:rPr>
                <w:rFonts w:ascii="宋体" w:hAnsi="宋体" w:cs="宋体" w:eastAsia="宋体"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12.59</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2.77</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354.51%</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1.89</w:t>
            </w:r>
          </w:p>
        </w:tc>
      </w:tr>
      <w:tr>
        <w:trPr>
          <w:trHeight w:val="362" w:hRule="exact"/>
        </w:trPr>
        <w:tc>
          <w:tcPr>
            <w:tcW w:w="32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17.93%</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Times New Roman" w:hAnsi="Times New Roman" w:cs="Times New Roman" w:eastAsia="Times New Roman" w:hint="default"/>
                <w:sz w:val="21"/>
                <w:szCs w:val="21"/>
              </w:rPr>
            </w:pPr>
            <w:r>
              <w:rPr>
                <w:rFonts w:ascii="Times New Roman"/>
                <w:spacing w:val="-1"/>
                <w:sz w:val="21"/>
              </w:rPr>
              <w:t>48.91%</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pacing w:val="-1"/>
                <w:sz w:val="21"/>
              </w:rPr>
              <w:t>-30.98%</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pacing w:val="-1"/>
                <w:sz w:val="21"/>
              </w:rPr>
              <w:t>45.39%</w:t>
            </w:r>
          </w:p>
        </w:tc>
      </w:tr>
    </w:tbl>
    <w:p>
      <w:pPr>
        <w:spacing w:line="240" w:lineRule="auto" w:before="7"/>
        <w:rPr>
          <w:rFonts w:ascii="宋体" w:hAnsi="宋体" w:cs="宋体" w:eastAsia="宋体" w:hint="default"/>
          <w:b/>
          <w:bCs/>
          <w:sz w:val="23"/>
          <w:szCs w:val="23"/>
        </w:rPr>
      </w:pPr>
    </w:p>
    <w:p>
      <w:pPr>
        <w:spacing w:before="13"/>
        <w:ind w:left="781" w:right="180" w:firstLine="0"/>
        <w:jc w:val="left"/>
        <w:rPr>
          <w:rFonts w:ascii="宋体" w:hAnsi="宋体" w:cs="宋体" w:eastAsia="宋体" w:hint="default"/>
          <w:sz w:val="28"/>
          <w:szCs w:val="28"/>
        </w:rPr>
      </w:pPr>
      <w:r>
        <w:rPr>
          <w:rFonts w:ascii="宋体" w:hAnsi="宋体" w:cs="宋体" w:eastAsia="宋体" w:hint="default"/>
          <w:b/>
          <w:bCs/>
          <w:sz w:val="28"/>
          <w:szCs w:val="28"/>
        </w:rPr>
        <w:t>三、非经常性损益项目</w:t>
      </w:r>
      <w:r>
        <w:rPr>
          <w:rFonts w:ascii="宋体" w:hAnsi="宋体" w:cs="宋体" w:eastAsia="宋体" w:hint="default"/>
          <w:sz w:val="28"/>
          <w:szCs w:val="28"/>
        </w:rPr>
      </w:r>
    </w:p>
    <w:p>
      <w:pPr>
        <w:spacing w:line="240" w:lineRule="auto" w:before="6"/>
        <w:rPr>
          <w:rFonts w:ascii="宋体" w:hAnsi="宋体" w:cs="宋体" w:eastAsia="宋体" w:hint="default"/>
          <w:b/>
          <w:bCs/>
          <w:sz w:val="15"/>
          <w:szCs w:val="15"/>
        </w:rPr>
      </w:pPr>
    </w:p>
    <w:p>
      <w:pPr>
        <w:spacing w:before="35"/>
        <w:ind w:left="0" w:right="21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966"/>
        <w:gridCol w:w="2024"/>
        <w:gridCol w:w="1854"/>
      </w:tblGrid>
      <w:tr>
        <w:trPr>
          <w:trHeight w:val="365" w:hRule="exact"/>
        </w:trPr>
        <w:tc>
          <w:tcPr>
            <w:tcW w:w="4966" w:type="dxa"/>
            <w:tcBorders>
              <w:top w:val="single" w:sz="4" w:space="0" w:color="000000"/>
              <w:left w:val="single" w:sz="4" w:space="0" w:color="000000"/>
              <w:bottom w:val="single" w:sz="6" w:space="0" w:color="000000"/>
              <w:right w:val="single" w:sz="6" w:space="0" w:color="000000"/>
            </w:tcBorders>
            <w:shd w:val="clear" w:color="auto" w:fill="C0C0C0"/>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24" w:type="dxa"/>
            <w:tcBorders>
              <w:top w:val="single" w:sz="4"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5"/>
              <w:ind w:left="48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854" w:type="dxa"/>
            <w:tcBorders>
              <w:top w:val="single" w:sz="4" w:space="0" w:color="000000"/>
              <w:left w:val="single" w:sz="6" w:space="0" w:color="000000"/>
              <w:bottom w:val="single" w:sz="6" w:space="0" w:color="000000"/>
              <w:right w:val="single" w:sz="4" w:space="0" w:color="000000"/>
            </w:tcBorders>
            <w:shd w:val="clear" w:color="auto" w:fill="C0C0C0"/>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640" w:hRule="exact"/>
        </w:trPr>
        <w:tc>
          <w:tcPr>
            <w:tcW w:w="496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before="34"/>
              <w:ind w:left="103" w:right="100"/>
              <w:jc w:val="left"/>
              <w:rPr>
                <w:rFonts w:ascii="宋体" w:hAnsi="宋体" w:cs="宋体" w:eastAsia="宋体" w:hint="default"/>
                <w:sz w:val="21"/>
                <w:szCs w:val="21"/>
              </w:rPr>
            </w:pPr>
            <w:r>
              <w:rPr>
                <w:rFonts w:ascii="宋体" w:hAnsi="宋体" w:cs="宋体" w:eastAsia="宋体" w:hint="default"/>
                <w:spacing w:val="-4"/>
                <w:sz w:val="21"/>
                <w:szCs w:val="21"/>
              </w:rPr>
              <w:t>非流动性资产处置损益，包括已计提资产减值准备的</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冲销部分</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85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912" w:hRule="exact"/>
        </w:trPr>
        <w:tc>
          <w:tcPr>
            <w:tcW w:w="4966" w:type="dxa"/>
            <w:tcBorders>
              <w:top w:val="single" w:sz="6" w:space="0" w:color="000000"/>
              <w:left w:val="single" w:sz="4" w:space="0" w:color="000000"/>
              <w:bottom w:val="single" w:sz="6" w:space="0" w:color="000000"/>
              <w:right w:val="single" w:sz="6" w:space="0" w:color="000000"/>
            </w:tcBorders>
          </w:tcPr>
          <w:p>
            <w:pPr>
              <w:pStyle w:val="TableParagraph"/>
              <w:spacing w:line="237" w:lineRule="auto" w:before="9"/>
              <w:ind w:left="103" w:right="99"/>
              <w:jc w:val="both"/>
              <w:rPr>
                <w:rFonts w:ascii="宋体" w:hAnsi="宋体" w:cs="宋体" w:eastAsia="宋体" w:hint="default"/>
                <w:sz w:val="21"/>
                <w:szCs w:val="21"/>
              </w:rPr>
            </w:pPr>
            <w:r>
              <w:rPr>
                <w:rFonts w:ascii="宋体" w:hAnsi="宋体" w:cs="宋体" w:eastAsia="宋体" w:hint="default"/>
                <w:spacing w:val="-4"/>
                <w:sz w:val="21"/>
                <w:szCs w:val="21"/>
              </w:rPr>
              <w:t>计入当期损益的政府补助（与公司正常经营业务密切</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4"/>
                <w:sz w:val="21"/>
                <w:szCs w:val="21"/>
              </w:rPr>
              <w:t>相关，符合国家政策规定、按照一定标准定额或定量</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持续享受的政府补助除外）</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7,825,186.73</w:t>
            </w:r>
          </w:p>
        </w:tc>
        <w:tc>
          <w:tcPr>
            <w:tcW w:w="185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67" w:hRule="exact"/>
        </w:trPr>
        <w:tc>
          <w:tcPr>
            <w:tcW w:w="4966"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1"/>
                <w:szCs w:val="21"/>
              </w:rPr>
            </w:pPr>
            <w:r>
              <w:rPr>
                <w:rFonts w:ascii="Times New Roman"/>
                <w:spacing w:val="-1"/>
                <w:sz w:val="21"/>
              </w:rPr>
              <w:t>33,354.87</w:t>
            </w:r>
          </w:p>
        </w:tc>
        <w:tc>
          <w:tcPr>
            <w:tcW w:w="185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67" w:hRule="exact"/>
        </w:trPr>
        <w:tc>
          <w:tcPr>
            <w:tcW w:w="4966"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非经常性损益合计</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1"/>
                <w:szCs w:val="21"/>
              </w:rPr>
            </w:pPr>
            <w:r>
              <w:rPr>
                <w:rFonts w:ascii="Times New Roman"/>
                <w:spacing w:val="-1"/>
                <w:sz w:val="21"/>
              </w:rPr>
              <w:t>7,858,541.60</w:t>
            </w:r>
          </w:p>
        </w:tc>
        <w:tc>
          <w:tcPr>
            <w:tcW w:w="185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68" w:hRule="exact"/>
        </w:trPr>
        <w:tc>
          <w:tcPr>
            <w:tcW w:w="4966"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减：所得税影响额</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1"/>
                <w:szCs w:val="21"/>
              </w:rPr>
            </w:pPr>
            <w:r>
              <w:rPr>
                <w:rFonts w:ascii="Times New Roman"/>
                <w:spacing w:val="-1"/>
                <w:sz w:val="21"/>
              </w:rPr>
              <w:t>1,749,991.60</w:t>
            </w:r>
          </w:p>
        </w:tc>
        <w:tc>
          <w:tcPr>
            <w:tcW w:w="1854"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65" w:hRule="exact"/>
        </w:trPr>
        <w:tc>
          <w:tcPr>
            <w:tcW w:w="4966"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宋体" w:hAnsi="宋体" w:cs="宋体" w:eastAsia="宋体" w:hint="default"/>
                <w:sz w:val="21"/>
                <w:szCs w:val="21"/>
              </w:rPr>
              <w:t>非经常性损益净额（影响净利润）</w:t>
            </w:r>
          </w:p>
        </w:tc>
        <w:tc>
          <w:tcPr>
            <w:tcW w:w="202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1"/>
                <w:szCs w:val="21"/>
              </w:rPr>
            </w:pPr>
            <w:r>
              <w:rPr>
                <w:rFonts w:ascii="Times New Roman"/>
                <w:spacing w:val="-1"/>
                <w:sz w:val="21"/>
              </w:rPr>
              <w:t>6,108,550.00</w:t>
            </w:r>
          </w:p>
        </w:tc>
        <w:tc>
          <w:tcPr>
            <w:tcW w:w="1854"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360" w:bottom="900" w:left="1580" w:right="1580"/>
        </w:sectPr>
      </w:pPr>
    </w:p>
    <w:p>
      <w:pPr>
        <w:pStyle w:val="Heading1"/>
        <w:tabs>
          <w:tab w:pos="4279" w:val="left" w:leader="none"/>
        </w:tabs>
        <w:spacing w:line="240" w:lineRule="auto" w:before="94"/>
        <w:ind w:left="2994" w:right="221"/>
        <w:jc w:val="left"/>
        <w:rPr>
          <w:b w:val="0"/>
          <w:bCs w:val="0"/>
        </w:rPr>
      </w:pPr>
      <w:bookmarkStart w:name="_bookmark2" w:id="3"/>
      <w:bookmarkEnd w:id="3"/>
      <w:r>
        <w:rPr>
          <w:b w:val="0"/>
          <w:bCs w:val="0"/>
        </w:rPr>
      </w:r>
      <w:r>
        <w:rPr>
          <w:w w:val="95"/>
        </w:rPr>
        <w:t>第三节</w:t>
        <w:tab/>
      </w:r>
      <w:r>
        <w:rPr/>
        <w:t>董事会报告</w:t>
      </w:r>
      <w:r>
        <w:rPr>
          <w:b w:val="0"/>
          <w:bCs w:val="0"/>
        </w:rPr>
      </w:r>
    </w:p>
    <w:p>
      <w:pPr>
        <w:spacing w:line="240" w:lineRule="auto" w:before="8"/>
        <w:rPr>
          <w:rFonts w:ascii="黑体" w:hAnsi="黑体" w:cs="黑体" w:eastAsia="黑体" w:hint="default"/>
          <w:b/>
          <w:bCs/>
          <w:sz w:val="25"/>
          <w:szCs w:val="25"/>
        </w:rPr>
      </w:pPr>
    </w:p>
    <w:p>
      <w:pPr>
        <w:pStyle w:val="Heading2"/>
        <w:spacing w:line="240" w:lineRule="auto" w:before="13"/>
        <w:ind w:right="221"/>
        <w:jc w:val="left"/>
        <w:rPr>
          <w:b w:val="0"/>
          <w:bCs w:val="0"/>
        </w:rPr>
      </w:pPr>
      <w:r>
        <w:rPr/>
        <w:t>一、公司经营情况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221"/>
        <w:jc w:val="left"/>
        <w:rPr>
          <w:b w:val="0"/>
          <w:bCs w:val="0"/>
        </w:rPr>
      </w:pPr>
      <w:r>
        <w:rPr/>
        <w:t>（一）报告期内公司经营情况分析</w:t>
      </w:r>
      <w:r>
        <w:rPr>
          <w:b w:val="0"/>
          <w:bCs w:val="0"/>
        </w:rPr>
      </w:r>
    </w:p>
    <w:p>
      <w:pPr>
        <w:spacing w:line="240" w:lineRule="auto" w:before="4"/>
        <w:rPr>
          <w:rFonts w:ascii="宋体" w:hAnsi="宋体" w:cs="宋体" w:eastAsia="宋体" w:hint="default"/>
          <w:b/>
          <w:bCs/>
          <w:sz w:val="18"/>
          <w:szCs w:val="18"/>
        </w:rPr>
      </w:pPr>
    </w:p>
    <w:p>
      <w:pPr>
        <w:pStyle w:val="BodyText"/>
        <w:spacing w:line="350" w:lineRule="auto"/>
        <w:ind w:left="120" w:right="239" w:firstLine="480"/>
        <w:jc w:val="both"/>
      </w:pPr>
      <w:r>
        <w:rPr>
          <w:rFonts w:ascii="Times New Roman" w:hAnsi="Times New Roman" w:cs="Times New Roman" w:eastAsia="Times New Roman" w:hint="default"/>
        </w:rPr>
        <w:t>2011</w:t>
      </w:r>
      <w:r>
        <w:rPr/>
        <w:t>年，公司仍紧紧围绕主营业务开展技术研发和市场拓展活动。同时，公司 完成了首次公开发行股票并在深圳证券交易所创业板上市的工作。随着发行上市工 作的顺利完成和募集资金的到位，公司迅速加大了人才储备和市场拓展力度，以保 障募集资金投资项目建设和公司快速发展的需要。</w:t>
      </w:r>
    </w:p>
    <w:p>
      <w:pPr>
        <w:pStyle w:val="BodyText"/>
        <w:spacing w:line="338" w:lineRule="auto" w:before="162"/>
        <w:ind w:left="120" w:right="236" w:firstLine="480"/>
        <w:jc w:val="both"/>
      </w:pPr>
      <w:r>
        <w:rPr>
          <w:rFonts w:ascii="Times New Roman" w:hAnsi="Times New Roman" w:cs="Times New Roman" w:eastAsia="Times New Roman" w:hint="default"/>
          <w:spacing w:val="-2"/>
        </w:rPr>
        <w:t>2011</w:t>
      </w:r>
      <w:r>
        <w:rPr>
          <w:spacing w:val="-2"/>
        </w:rPr>
        <w:t>年度公司经营业绩保持快速增长，实现营业收入</w:t>
      </w:r>
      <w:r>
        <w:rPr>
          <w:rFonts w:ascii="Times New Roman" w:hAnsi="Times New Roman" w:cs="Times New Roman" w:eastAsia="Times New Roman" w:hint="default"/>
          <w:spacing w:val="-2"/>
        </w:rPr>
        <w:t>268,515,584.75</w:t>
      </w:r>
      <w:r>
        <w:rPr>
          <w:spacing w:val="-2"/>
        </w:rPr>
        <w:t>元，同比增</w:t>
      </w:r>
      <w:r>
        <w:rPr/>
        <w:t> 长</w:t>
      </w:r>
      <w:r>
        <w:rPr>
          <w:rFonts w:ascii="Times New Roman" w:hAnsi="Times New Roman" w:cs="Times New Roman" w:eastAsia="Times New Roman" w:hint="default"/>
        </w:rPr>
        <w:t>42.83%</w:t>
      </w:r>
      <w:r>
        <w:rPr/>
        <w:t>；利润总额</w:t>
      </w:r>
      <w:r>
        <w:rPr>
          <w:rFonts w:ascii="Times New Roman" w:hAnsi="Times New Roman" w:cs="Times New Roman" w:eastAsia="Times New Roman" w:hint="default"/>
        </w:rPr>
        <w:t>70,209,189.90</w:t>
      </w:r>
      <w:r>
        <w:rPr/>
        <w:t>元，同比增长</w:t>
      </w:r>
      <w:r>
        <w:rPr>
          <w:rFonts w:ascii="Times New Roman" w:hAnsi="Times New Roman" w:cs="Times New Roman" w:eastAsia="Times New Roman" w:hint="default"/>
        </w:rPr>
        <w:t>44.78%</w:t>
      </w:r>
      <w:r>
        <w:rPr/>
        <w:t>；归属母公司所有者的净利 润</w:t>
      </w:r>
      <w:r>
        <w:rPr>
          <w:rFonts w:ascii="Times New Roman" w:hAnsi="Times New Roman" w:cs="Times New Roman" w:eastAsia="Times New Roman" w:hint="default"/>
        </w:rPr>
        <w:t>61,504,981.78</w:t>
      </w:r>
      <w:r>
        <w:rPr/>
        <w:t>元，同比增长</w:t>
      </w:r>
      <w:r>
        <w:rPr>
          <w:rFonts w:ascii="Times New Roman" w:hAnsi="Times New Roman" w:cs="Times New Roman" w:eastAsia="Times New Roman" w:hint="default"/>
        </w:rPr>
        <w:t>49.85%</w:t>
      </w:r>
      <w:r>
        <w:rPr/>
        <w:t>，较好地实现了年初所定的业绩目标。</w:t>
      </w:r>
    </w:p>
    <w:p>
      <w:pPr>
        <w:pStyle w:val="BodyText"/>
        <w:spacing w:line="350" w:lineRule="auto" w:before="145"/>
        <w:ind w:left="119" w:right="239" w:firstLine="480"/>
        <w:jc w:val="both"/>
      </w:pPr>
      <w:r>
        <w:rPr>
          <w:rFonts w:ascii="Times New Roman" w:hAnsi="Times New Roman" w:cs="Times New Roman" w:eastAsia="Times New Roman" w:hint="default"/>
        </w:rPr>
        <w:t>2011</w:t>
      </w:r>
      <w:r>
        <w:rPr/>
        <w:t>公司获得十余项各类荣誉，参与深圳第</w:t>
      </w:r>
      <w:r>
        <w:rPr>
          <w:rFonts w:ascii="Times New Roman" w:hAnsi="Times New Roman" w:cs="Times New Roman" w:eastAsia="Times New Roman" w:hint="default"/>
        </w:rPr>
        <w:t>26</w:t>
      </w:r>
      <w:r>
        <w:rPr/>
        <w:t>届世界大学生夏季运动会，被授 予“大运网络安保突出贡献单位”；通过高新技术企业复审，再次取得“高新技术 企业证书”；被授予福建省软件骨干企业、厦门市知识产权示范企业、厦门市优秀 高新技术企业、中国年度创新软件企业等。</w:t>
      </w:r>
    </w:p>
    <w:p>
      <w:pPr>
        <w:spacing w:line="240" w:lineRule="auto" w:before="8"/>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1</w:t>
      </w:r>
      <w:r>
        <w:rPr/>
        <w:t>、市场营销方面</w:t>
      </w:r>
      <w:r>
        <w:rPr>
          <w:b w:val="0"/>
          <w:bCs w:val="0"/>
        </w:rPr>
      </w:r>
    </w:p>
    <w:p>
      <w:pPr>
        <w:spacing w:line="240" w:lineRule="auto" w:before="8"/>
        <w:rPr>
          <w:rFonts w:ascii="宋体" w:hAnsi="宋体" w:cs="宋体" w:eastAsia="宋体" w:hint="default"/>
          <w:b/>
          <w:bCs/>
          <w:sz w:val="28"/>
          <w:szCs w:val="28"/>
        </w:rPr>
      </w:pPr>
    </w:p>
    <w:p>
      <w:pPr>
        <w:pStyle w:val="BodyText"/>
        <w:spacing w:line="345" w:lineRule="auto"/>
        <w:ind w:left="119" w:right="116"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21"/>
        </w:rPr>
        <w:t> </w:t>
      </w:r>
      <w:r>
        <w:rPr/>
        <w:t>年，公司紧紧围绕公司经营主业，即两大产品（电子数据取证产品及网络 信息安全产品）及两大服务（电子数据鉴定服务及数字知识产权保护服务）。新增 区县级客户近</w:t>
      </w:r>
      <w:r>
        <w:rPr>
          <w:spacing w:val="-60"/>
        </w:rPr>
        <w:t> </w:t>
      </w:r>
      <w:r>
        <w:rPr>
          <w:rFonts w:ascii="Times New Roman" w:hAnsi="Times New Roman" w:cs="Times New Roman" w:eastAsia="Times New Roman" w:hint="default"/>
        </w:rPr>
        <w:t>200 </w:t>
      </w:r>
      <w:r>
        <w:rPr/>
        <w:t>家，各地办事处能力不断提升，售前及售后技术支持等方面发挥 了重大作用。同时销售部门落实公司整体市场战略，进行了组织架构调整，成立新 的销售三部，针对司法机关以外的其他行政管理机关开展销售和市场宣传。</w:t>
      </w:r>
      <w:r>
        <w:rPr>
          <w:rFonts w:ascii="Times New Roman" w:hAnsi="Times New Roman" w:cs="Times New Roman" w:eastAsia="Times New Roman" w:hint="default"/>
        </w:rPr>
        <w:t>2011</w:t>
      </w:r>
      <w:r>
        <w:rPr>
          <w:rFonts w:ascii="Times New Roman" w:hAnsi="Times New Roman" w:cs="Times New Roman" w:eastAsia="Times New Roman" w:hint="default"/>
          <w:spacing w:val="-20"/>
        </w:rPr>
        <w:t> </w:t>
      </w:r>
      <w:r>
        <w:rPr/>
        <w:t>年 公司在检察院及工商税务行业的销售取得了值得瞩目的成绩。在销售呈现纵深和横 向</w:t>
      </w:r>
      <w:r>
        <w:rPr>
          <w:spacing w:val="-60"/>
        </w:rPr>
        <w:t> </w:t>
      </w:r>
      <w:r>
        <w:rPr>
          <w:rFonts w:ascii="Times New Roman" w:hAnsi="Times New Roman" w:cs="Times New Roman" w:eastAsia="Times New Roman" w:hint="default"/>
        </w:rPr>
        <w:t>2 </w:t>
      </w:r>
      <w:r>
        <w:rPr/>
        <w:t>个维度的发展，同时公司介质取证类产品出口销售海外，实现国际市场零的突 </w:t>
      </w:r>
      <w:r>
        <w:rPr>
          <w:spacing w:val="-4"/>
        </w:rPr>
        <w:t>破。</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3"/>
        </w:rPr>
        <w:t> </w:t>
      </w:r>
      <w:r>
        <w:rPr/>
        <w:t>年公司大力发展云服务平台，目前已有试用及收费用户，并且客户反映积 </w:t>
      </w:r>
      <w:r>
        <w:rPr>
          <w:spacing w:val="-1"/>
        </w:rPr>
        <w:t>极，公司的经营模式也从单一的产品销售向“小产品</w:t>
      </w:r>
      <w:r>
        <w:rPr>
          <w:rFonts w:ascii="Times New Roman" w:hAnsi="Times New Roman" w:cs="Times New Roman" w:eastAsia="Times New Roman" w:hint="default"/>
          <w:spacing w:val="-1"/>
        </w:rPr>
        <w:t>+</w:t>
      </w:r>
      <w:r>
        <w:rPr>
          <w:spacing w:val="-1"/>
        </w:rPr>
        <w:t>大服务”的模式迈进一大步。</w:t>
      </w:r>
    </w:p>
    <w:p>
      <w:pPr>
        <w:spacing w:after="0" w:line="345" w:lineRule="auto"/>
        <w:jc w:val="both"/>
        <w:sectPr>
          <w:pgSz w:w="12240" w:h="15840"/>
          <w:pgMar w:header="0" w:footer="688" w:top="1500" w:bottom="900" w:left="1680" w:right="1560"/>
        </w:sectPr>
      </w:pPr>
    </w:p>
    <w:p>
      <w:pPr>
        <w:pStyle w:val="BodyText"/>
        <w:spacing w:line="338" w:lineRule="auto" w:before="1"/>
        <w:ind w:left="120" w:right="221"/>
        <w:jc w:val="left"/>
      </w:pPr>
      <w:r>
        <w:rPr>
          <w:spacing w:val="-2"/>
        </w:rPr>
        <w:t>在电子数据鉴定和知识产权保护服务方面，</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15"/>
        </w:rPr>
        <w:t> </w:t>
      </w:r>
      <w:r>
        <w:rPr>
          <w:spacing w:val="-2"/>
        </w:rPr>
        <w:t>年持续发展，客户接受程度逐步提</w:t>
      </w:r>
      <w:r>
        <w:rPr/>
        <w:t> 高，服务用户数量有较大增长。</w:t>
      </w:r>
    </w:p>
    <w:p>
      <w:pPr>
        <w:spacing w:line="240" w:lineRule="auto" w:before="6"/>
        <w:rPr>
          <w:rFonts w:ascii="宋体" w:hAnsi="宋体" w:cs="宋体" w:eastAsia="宋体" w:hint="default"/>
          <w:sz w:val="22"/>
          <w:szCs w:val="22"/>
        </w:rPr>
      </w:pPr>
    </w:p>
    <w:p>
      <w:pPr>
        <w:pStyle w:val="Heading3"/>
        <w:spacing w:line="240" w:lineRule="auto"/>
        <w:ind w:right="221"/>
        <w:jc w:val="left"/>
        <w:rPr>
          <w:b w:val="0"/>
          <w:bCs w:val="0"/>
        </w:rPr>
      </w:pPr>
      <w:r>
        <w:rPr>
          <w:rFonts w:ascii="Times New Roman" w:hAnsi="Times New Roman" w:cs="Times New Roman" w:eastAsia="Times New Roman" w:hint="default"/>
        </w:rPr>
        <w:t>2</w:t>
      </w:r>
      <w:r>
        <w:rPr/>
        <w:t>、核心产品及技术研发方面</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left="119" w:right="105" w:firstLine="42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spacing w:val="-8"/>
        </w:rPr>
        <w:t>年公司产品研发策略是“硬件产品装备化，软件产品平台化”，目前已经成</w:t>
      </w:r>
      <w:r>
        <w:rPr/>
        <w:t> </w:t>
      </w:r>
      <w:r>
        <w:rPr>
          <w:spacing w:val="-4"/>
        </w:rPr>
        <w:t>为行业中拥有软硬件一体化产品系列最全的公司，对应国内外二十多家的竞争对手，</w:t>
      </w:r>
      <w:r>
        <w:rPr>
          <w:spacing w:val="-92"/>
        </w:rPr>
        <w:t> </w:t>
      </w:r>
      <w:r>
        <w:rPr>
          <w:spacing w:val="-92"/>
        </w:rPr>
      </w:r>
      <w:r>
        <w:rPr/>
        <w:t>行业龙头地位巩固。</w:t>
      </w:r>
      <w:r>
        <w:rPr>
          <w:rFonts w:ascii="Times New Roman" w:hAnsi="Times New Roman" w:cs="Times New Roman" w:eastAsia="Times New Roman" w:hint="default"/>
        </w:rPr>
        <w:t>2011</w:t>
      </w:r>
      <w:r>
        <w:rPr>
          <w:rFonts w:ascii="Times New Roman" w:hAnsi="Times New Roman" w:cs="Times New Roman" w:eastAsia="Times New Roman" w:hint="default"/>
          <w:spacing w:val="-5"/>
        </w:rPr>
        <w:t> </w:t>
      </w:r>
      <w:r>
        <w:rPr/>
        <w:t>年，公司的产品研发策略有效提升了公司产品的附加值， 直接体现就是</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spacing w:val="-4"/>
        </w:rPr>
        <w:t>年公司专用产品的毛利率大幅提升。率先在电子数据取证行业中</w:t>
      </w:r>
      <w:r>
        <w:rPr/>
        <w:t> 引进云计算技术，研发并推出取证云及搜索云两项云平台服务资源。将原有的取证 产品和信息安全产品和这两项云资源有效结合，大大提升前端产品的处理能力，因 此电子数据取证产品与舆情产品进一步扩大在行业中领先的地位。</w:t>
      </w:r>
    </w:p>
    <w:p>
      <w:pPr>
        <w:pStyle w:val="BodyText"/>
        <w:spacing w:line="240" w:lineRule="auto" w:before="44"/>
        <w:ind w:left="539" w:right="105"/>
        <w:jc w:val="left"/>
      </w:pPr>
      <w:r>
        <w:rPr>
          <w:rFonts w:ascii="Times New Roman" w:hAnsi="Times New Roman" w:cs="Times New Roman" w:eastAsia="Times New Roman" w:hint="default"/>
          <w:spacing w:val="-3"/>
        </w:rPr>
        <w:t>2011 </w:t>
      </w:r>
      <w:r>
        <w:rPr/>
        <w:t>年研发费用投入不断加大，已占公司营业收入的</w:t>
      </w:r>
      <w:r>
        <w:rPr>
          <w:spacing w:val="-85"/>
        </w:rPr>
        <w:t> </w:t>
      </w:r>
      <w:r>
        <w:rPr>
          <w:rFonts w:ascii="Times New Roman" w:hAnsi="Times New Roman" w:cs="Times New Roman" w:eastAsia="Times New Roman" w:hint="default"/>
          <w:spacing w:val="-3"/>
        </w:rPr>
        <w:t>11.21%</w:t>
      </w:r>
      <w:r>
        <w:rPr>
          <w:spacing w:val="-3"/>
        </w:rPr>
        <w:t>，软硬件研发中心</w:t>
      </w:r>
    </w:p>
    <w:p>
      <w:pPr>
        <w:pStyle w:val="BodyText"/>
        <w:spacing w:line="338" w:lineRule="auto" w:before="134"/>
        <w:ind w:left="120" w:right="230"/>
        <w:jc w:val="left"/>
      </w:pPr>
      <w:r>
        <w:rPr/>
        <w:t>研发过程改进在</w:t>
      </w:r>
      <w:r>
        <w:rPr>
          <w:spacing w:val="-6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w:t>
      </w:r>
      <w:r>
        <w:rPr>
          <w:spacing w:val="-68"/>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月以</w:t>
      </w:r>
      <w:r>
        <w:rPr>
          <w:spacing w:val="-68"/>
        </w:rPr>
        <w:t> </w:t>
      </w:r>
      <w:r>
        <w:rPr>
          <w:rFonts w:ascii="Times New Roman" w:hAnsi="Times New Roman" w:cs="Times New Roman" w:eastAsia="Times New Roman" w:hint="default"/>
        </w:rPr>
        <w:t>13</w:t>
      </w:r>
      <w:r>
        <w:rPr>
          <w:rFonts w:ascii="Times New Roman" w:hAnsi="Times New Roman" w:cs="Times New Roman" w:eastAsia="Times New Roman" w:hint="default"/>
          <w:spacing w:val="-8"/>
        </w:rPr>
        <w:t> </w:t>
      </w:r>
      <w:r>
        <w:rPr/>
        <w:t>个过程域全满足的成绩顺利通过了</w:t>
      </w:r>
      <w:r>
        <w:rPr>
          <w:spacing w:val="-68"/>
        </w:rPr>
        <w:t> </w:t>
      </w:r>
      <w:r>
        <w:rPr>
          <w:rFonts w:ascii="Times New Roman" w:hAnsi="Times New Roman" w:cs="Times New Roman" w:eastAsia="Times New Roman" w:hint="default"/>
        </w:rPr>
        <w:t>CMMI3</w:t>
      </w:r>
      <w:r>
        <w:rPr>
          <w:rFonts w:ascii="Times New Roman" w:hAnsi="Times New Roman" w:cs="Times New Roman" w:eastAsia="Times New Roman" w:hint="default"/>
          <w:spacing w:val="-8"/>
        </w:rPr>
        <w:t> </w:t>
      </w:r>
      <w:r>
        <w:rPr/>
        <w:t>级正 式评估。同时组织架构日趋完善，流程更加合理。</w:t>
      </w:r>
    </w:p>
    <w:p>
      <w:pPr>
        <w:pStyle w:val="BodyText"/>
        <w:spacing w:line="355" w:lineRule="auto" w:before="54"/>
        <w:ind w:left="120" w:right="105" w:firstLine="420"/>
        <w:jc w:val="left"/>
      </w:pPr>
      <w:r>
        <w:rPr/>
        <w:t>软件研发中心在原有八个研发部门的基础上成立了过程管理部，对研发过程进</w:t>
      </w:r>
      <w:r>
        <w:rPr>
          <w:spacing w:val="1"/>
        </w:rPr>
        <w:t> </w:t>
      </w:r>
      <w:r>
        <w:rPr/>
        <w:t>行了有效的管理和规范，构建并完善了美亚柏科研发管理体系，发布了美亚柏科产</w:t>
      </w:r>
      <w:r>
        <w:rPr/>
        <w:t> 品研发管理手册。同时，公司成立了技术管理部专门对新技术、核心技术进行预研 及攻关，目前在海量数据处理等核心技术方面投入了大量资源，为公司的舆情产品 及云计算产品的应用奠定了坚实的基础。在产品设计方面，引进高端专业人才，提 高了产品的设计水平，多项产品获得设计大奖等。在研发设施的投入方面，厦门市 </w:t>
      </w:r>
      <w:r>
        <w:rPr>
          <w:spacing w:val="-11"/>
        </w:rPr>
        <w:t>超级计算（云计算）中心完成基础设施的建设，预计</w:t>
      </w:r>
      <w:r>
        <w:rPr>
          <w:spacing w:val="-5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3</w:t>
      </w:r>
      <w:r>
        <w:rPr>
          <w:rFonts w:ascii="Times New Roman" w:hAnsi="Times New Roman" w:cs="Times New Roman" w:eastAsia="Times New Roman" w:hint="default"/>
          <w:spacing w:val="2"/>
        </w:rPr>
        <w:t> </w:t>
      </w:r>
      <w:r>
        <w:rPr/>
        <w:t>月份正式对外试运营。 另外公司积极筹建北方数据中心，充分解决南北互联互通及异地灾备问题，为客户 提供更好的云计算资源的服务。</w:t>
      </w:r>
    </w:p>
    <w:p>
      <w:pPr>
        <w:pStyle w:val="BodyText"/>
        <w:spacing w:line="348" w:lineRule="auto" w:before="37"/>
        <w:ind w:left="120" w:right="103" w:firstLine="420"/>
        <w:jc w:val="left"/>
      </w:pPr>
      <w:r>
        <w:rPr/>
        <w:t>硬件研制团队也在</w:t>
      </w:r>
      <w:r>
        <w:rPr>
          <w:spacing w:val="-83"/>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3"/>
        </w:rPr>
        <w:t> </w:t>
      </w:r>
      <w:r>
        <w:rPr>
          <w:spacing w:val="-5"/>
        </w:rPr>
        <w:t>年加大研发力量投入，包括研发人员和研发设备的投入，</w:t>
      </w:r>
      <w:r>
        <w:rPr/>
        <w:t> 极力打造成为嵌入式装备的精英研发团队。同时在专用特种硬件装备的制造能力方 面，取得进一步的提高，有效提升产品的稳定性及在恶劣环境下的可用性。</w:t>
      </w:r>
    </w:p>
    <w:p>
      <w:pPr>
        <w:pStyle w:val="BodyText"/>
        <w:spacing w:line="338" w:lineRule="auto" w:before="44"/>
        <w:ind w:left="120" w:right="222" w:firstLine="42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年度两个研发中心推出了一系列质量稳定、市场业绩良好的各种产品，其 </w:t>
      </w:r>
      <w:r>
        <w:rPr>
          <w:spacing w:val="-2"/>
        </w:rPr>
        <w:t>中取证魔方二代获得了由中国工业设计协会颁发的“</w:t>
      </w:r>
      <w:r>
        <w:rPr>
          <w:rFonts w:ascii="Times New Roman" w:hAnsi="Times New Roman" w:cs="Times New Roman" w:eastAsia="Times New Roman" w:hint="default"/>
          <w:spacing w:val="-2"/>
        </w:rPr>
        <w:t>2011</w:t>
      </w:r>
      <w:r>
        <w:rPr>
          <w:rFonts w:ascii="Times New Roman" w:hAnsi="Times New Roman" w:cs="Times New Roman" w:eastAsia="Times New Roman" w:hint="default"/>
        </w:rPr>
        <w:t> </w:t>
      </w:r>
      <w:r>
        <w:rPr>
          <w:spacing w:val="-18"/>
        </w:rPr>
        <w:t>年度红棉奖”。</w:t>
      </w:r>
      <w:r>
        <w:rPr>
          <w:spacing w:val="-3"/>
        </w:rPr>
        <w:t> </w:t>
      </w:r>
      <w:r>
        <w:rPr/>
        <w:t>取证塔以</w:t>
      </w:r>
    </w:p>
    <w:p>
      <w:pPr>
        <w:spacing w:after="0" w:line="338" w:lineRule="auto"/>
        <w:jc w:val="left"/>
        <w:sectPr>
          <w:pgSz w:w="12240" w:h="15840"/>
          <w:pgMar w:header="0" w:footer="688" w:top="1400" w:bottom="900" w:left="1680" w:right="1560"/>
        </w:sectPr>
      </w:pPr>
    </w:p>
    <w:p>
      <w:pPr>
        <w:pStyle w:val="BodyText"/>
        <w:spacing w:line="357" w:lineRule="auto" w:before="1"/>
        <w:ind w:left="120" w:right="239"/>
        <w:jc w:val="both"/>
      </w:pPr>
      <w:r>
        <w:rPr/>
        <w:t>其质量稳定、性价比高等诸多特性在市场上深受用户喜爱，订单喜人。手机取证产 品顺应移动互联网的发展趋势，市场需求巨大，同时也在多项重大实战案例中发挥 显著的作用，产品获得行业良好的口碑，目前是世界上支持手机种类最多的手机取 证产品。</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3</w:t>
      </w:r>
      <w:r>
        <w:rPr/>
        <w:t>、技术支持及服务方面</w:t>
      </w:r>
      <w:r>
        <w:rPr>
          <w:b w:val="0"/>
          <w:bCs w:val="0"/>
        </w:rPr>
      </w:r>
    </w:p>
    <w:p>
      <w:pPr>
        <w:spacing w:line="240" w:lineRule="auto" w:before="8"/>
        <w:rPr>
          <w:rFonts w:ascii="宋体" w:hAnsi="宋体" w:cs="宋体" w:eastAsia="宋体" w:hint="default"/>
          <w:b/>
          <w:bCs/>
          <w:sz w:val="28"/>
          <w:szCs w:val="28"/>
        </w:rPr>
      </w:pPr>
    </w:p>
    <w:p>
      <w:pPr>
        <w:pStyle w:val="BodyText"/>
        <w:spacing w:line="350" w:lineRule="auto"/>
        <w:ind w:left="119" w:right="239" w:firstLine="42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年公司进一步加强客户技术支持队伍建设，将原来的技术支持中心更名为 技术支持及运营中心，增加运营的职能，负责取证云及搜索云（舆情）等服务类产 品的运营，并已取得很好的效果；同时成立大客户服务部，为重点客户提供一站式 </w:t>
      </w:r>
      <w:r>
        <w:rPr>
          <w:spacing w:val="-5"/>
        </w:rPr>
        <w:t>服务，加强和公司核心客户的沟通及交流；目前已在全国</w:t>
      </w:r>
      <w:r>
        <w:rPr>
          <w:spacing w:val="-58"/>
        </w:rPr>
        <w:t> </w:t>
      </w:r>
      <w:r>
        <w:rPr>
          <w:rFonts w:ascii="Times New Roman" w:hAnsi="Times New Roman" w:cs="Times New Roman" w:eastAsia="Times New Roman" w:hint="default"/>
        </w:rPr>
        <w:t>18</w:t>
      </w:r>
      <w:r>
        <w:rPr>
          <w:rFonts w:ascii="Times New Roman" w:hAnsi="Times New Roman" w:cs="Times New Roman" w:eastAsia="Times New Roman" w:hint="default"/>
          <w:spacing w:val="2"/>
        </w:rPr>
        <w:t> </w:t>
      </w:r>
      <w:r>
        <w:rPr/>
        <w:t>个办事处设立当地技术</w:t>
      </w:r>
    </w:p>
    <w:p>
      <w:pPr>
        <w:pStyle w:val="BodyText"/>
        <w:spacing w:line="240" w:lineRule="auto" w:before="12"/>
        <w:ind w:left="120" w:right="0"/>
        <w:jc w:val="both"/>
        <w:rPr>
          <w:rFonts w:ascii="Times New Roman" w:hAnsi="Times New Roman" w:cs="Times New Roman" w:eastAsia="Times New Roman" w:hint="default"/>
        </w:rPr>
      </w:pPr>
      <w:r>
        <w:rPr>
          <w:spacing w:val="-3"/>
        </w:rPr>
        <w:t>支持，大大提高公司对当地客户的服务响应速度，获得较高的满意度，</w:t>
      </w:r>
      <w:r>
        <w:rPr>
          <w:rFonts w:ascii="Times New Roman" w:hAnsi="Times New Roman" w:cs="Times New Roman" w:eastAsia="Times New Roman" w:hint="default"/>
          <w:spacing w:val="-3"/>
        </w:rPr>
        <w:t>2011 </w:t>
      </w:r>
      <w:r>
        <w:rPr/>
        <w:t>年</w:t>
      </w:r>
      <w:r>
        <w:rPr>
          <w:spacing w:val="-33"/>
        </w:rPr>
        <w:t> </w:t>
      </w:r>
      <w:r>
        <w:rPr>
          <w:rFonts w:ascii="Times New Roman" w:hAnsi="Times New Roman" w:cs="Times New Roman" w:eastAsia="Times New Roman" w:hint="default"/>
        </w:rPr>
        <w:t>40%</w:t>
      </w:r>
    </w:p>
    <w:p>
      <w:pPr>
        <w:pStyle w:val="BodyText"/>
        <w:spacing w:line="240" w:lineRule="auto" w:before="134"/>
        <w:ind w:left="119" w:right="0"/>
        <w:jc w:val="both"/>
      </w:pPr>
      <w:r>
        <w:rPr/>
        <w:t>左右的现场服务是由办事处完成，也有效降低公司服务成本。</w:t>
      </w:r>
    </w:p>
    <w:p>
      <w:pPr>
        <w:pStyle w:val="BodyText"/>
        <w:spacing w:line="240" w:lineRule="auto" w:before="152"/>
        <w:ind w:left="539" w:right="105"/>
        <w:jc w:val="left"/>
      </w:pPr>
      <w:r>
        <w:rPr/>
        <w:t>美亚信息安全学院在</w:t>
      </w:r>
      <w:r>
        <w:rPr>
          <w:spacing w:val="-5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年组织开展的培训班达</w:t>
      </w:r>
      <w:r>
        <w:rPr>
          <w:spacing w:val="-51"/>
        </w:rPr>
        <w:t> </w:t>
      </w:r>
      <w:r>
        <w:rPr>
          <w:rFonts w:ascii="Times New Roman" w:hAnsi="Times New Roman" w:cs="Times New Roman" w:eastAsia="Times New Roman" w:hint="default"/>
        </w:rPr>
        <w:t>281</w:t>
      </w:r>
      <w:r>
        <w:rPr>
          <w:rFonts w:ascii="Times New Roman" w:hAnsi="Times New Roman" w:cs="Times New Roman" w:eastAsia="Times New Roman" w:hint="default"/>
          <w:spacing w:val="10"/>
        </w:rPr>
        <w:t> </w:t>
      </w:r>
      <w:r>
        <w:rPr/>
        <w:t>期次，累计培训</w:t>
      </w:r>
      <w:r>
        <w:rPr>
          <w:spacing w:val="-51"/>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0"/>
        </w:rPr>
        <w:t> </w:t>
      </w:r>
      <w:r>
        <w:rPr/>
        <w:t>余</w:t>
      </w:r>
    </w:p>
    <w:p>
      <w:pPr>
        <w:pStyle w:val="BodyText"/>
        <w:spacing w:line="338" w:lineRule="auto" w:before="134"/>
        <w:ind w:left="119" w:right="104"/>
        <w:jc w:val="left"/>
      </w:pPr>
      <w:r>
        <w:rPr>
          <w:spacing w:val="-5"/>
        </w:rPr>
        <w:t>人次，获得客户赠与的感谢信</w:t>
      </w:r>
      <w:r>
        <w:rPr>
          <w:spacing w:val="-58"/>
        </w:rPr>
        <w:t> </w:t>
      </w:r>
      <w:r>
        <w:rPr>
          <w:rFonts w:ascii="Times New Roman" w:hAnsi="Times New Roman" w:cs="Times New Roman" w:eastAsia="Times New Roman" w:hint="default"/>
        </w:rPr>
        <w:t>59</w:t>
      </w:r>
      <w:r>
        <w:rPr>
          <w:rFonts w:ascii="Times New Roman" w:hAnsi="Times New Roman" w:cs="Times New Roman" w:eastAsia="Times New Roman" w:hint="default"/>
          <w:spacing w:val="2"/>
        </w:rPr>
        <w:t> </w:t>
      </w:r>
      <w:r>
        <w:rPr>
          <w:spacing w:val="-15"/>
        </w:rPr>
        <w:t>封，锦旗</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2"/>
        </w:rPr>
        <w:t> </w:t>
      </w:r>
      <w:r>
        <w:rPr>
          <w:spacing w:val="-7"/>
        </w:rPr>
        <w:t>面。培训业务快速增长，在课程研发上，</w:t>
      </w:r>
      <w:r>
        <w:rPr/>
        <w:t> 新增多门课程，不断以客户需求为导向，提升学员的实际动手能力。</w:t>
      </w:r>
      <w:r>
        <w:rPr>
          <w:rFonts w:ascii="Times New Roman" w:hAnsi="Times New Roman" w:cs="Times New Roman" w:eastAsia="Times New Roman" w:hint="default"/>
        </w:rPr>
        <w:t>2011</w:t>
      </w:r>
      <w:r>
        <w:rPr>
          <w:rFonts w:ascii="Times New Roman" w:hAnsi="Times New Roman" w:cs="Times New Roman" w:eastAsia="Times New Roman" w:hint="default"/>
          <w:spacing w:val="-20"/>
        </w:rPr>
        <w:t> </w:t>
      </w:r>
      <w:r>
        <w:rPr/>
        <w:t>年共编写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0"/>
        </w:rPr>
        <w:t> </w:t>
      </w:r>
      <w:r>
        <w:rPr>
          <w:spacing w:val="-2"/>
        </w:rPr>
        <w:t>本教材，其中和中国公安大学共同编著的《电子数据勘查取证与鉴定》系列教材</w:t>
      </w:r>
    </w:p>
    <w:p>
      <w:pPr>
        <w:pStyle w:val="BodyText"/>
        <w:spacing w:line="345" w:lineRule="auto" w:before="25"/>
        <w:ind w:left="119" w:right="236"/>
        <w:jc w:val="both"/>
      </w:pPr>
      <w:r>
        <w:rPr>
          <w:rFonts w:ascii="Times New Roman" w:hAnsi="Times New Roman" w:cs="Times New Roman" w:eastAsia="Times New Roman" w:hint="default"/>
        </w:rPr>
        <w:t>(</w:t>
      </w:r>
      <w:r>
        <w:rPr/>
        <w:t>共</w:t>
      </w:r>
      <w:r>
        <w:rPr>
          <w:spacing w:val="-81"/>
        </w:rPr>
        <w:t> </w:t>
      </w:r>
      <w:r>
        <w:rPr>
          <w:rFonts w:ascii="Times New Roman" w:hAnsi="Times New Roman" w:cs="Times New Roman" w:eastAsia="Times New Roman" w:hint="default"/>
        </w:rPr>
        <w:t>10</w:t>
      </w:r>
      <w:r>
        <w:rPr>
          <w:rFonts w:ascii="Times New Roman" w:hAnsi="Times New Roman" w:cs="Times New Roman" w:eastAsia="Times New Roman" w:hint="default"/>
          <w:spacing w:val="-21"/>
        </w:rPr>
        <w:t> </w:t>
      </w:r>
      <w:r>
        <w:rPr/>
        <w:t>本</w:t>
      </w:r>
      <w:r>
        <w:rPr>
          <w:rFonts w:ascii="Times New Roman" w:hAnsi="Times New Roman" w:cs="Times New Roman" w:eastAsia="Times New Roman" w:hint="default"/>
        </w:rPr>
        <w:t>)</w:t>
      </w:r>
      <w:r>
        <w:rPr/>
        <w:t>已正式出版，成为中国首套完整的电子数据勘查取证与鉴定教材。此外研</w:t>
      </w:r>
      <w:r>
        <w:rPr>
          <w:w w:val="99"/>
        </w:rPr>
        <w:t> </w:t>
      </w:r>
      <w:r>
        <w:rPr/>
        <w:t>发面向社会的信息安全培训课程，扩大业务范围，已联合外部资源在杭州建立培训</w:t>
      </w:r>
      <w:r>
        <w:rPr>
          <w:w w:val="99"/>
        </w:rPr>
        <w:t> </w:t>
      </w:r>
      <w:r>
        <w:rPr/>
        <w:t>分校点共同拓展信息安全领域的培训业务。公司推出的取证行业权威 </w:t>
      </w:r>
      <w:r>
        <w:rPr>
          <w:rFonts w:ascii="Times New Roman" w:hAnsi="Times New Roman" w:cs="Times New Roman" w:eastAsia="Times New Roman" w:hint="default"/>
        </w:rPr>
        <w:t>MCE</w:t>
      </w:r>
      <w:r>
        <w:rPr>
          <w:rFonts w:ascii="Times New Roman" w:hAnsi="Times New Roman" w:cs="Times New Roman" w:eastAsia="Times New Roman" w:hint="default"/>
          <w:spacing w:val="15"/>
        </w:rPr>
        <w:t> </w:t>
      </w:r>
      <w:r>
        <w:rPr/>
        <w:t>认证进</w:t>
      </w:r>
      <w:r>
        <w:rPr>
          <w:w w:val="99"/>
        </w:rPr>
        <w:t> </w:t>
      </w:r>
      <w:r>
        <w:rPr/>
        <w:t>一步得到巩固，通过认证人数达</w:t>
      </w:r>
      <w:r>
        <w:rPr>
          <w:spacing w:val="-61"/>
        </w:rPr>
        <w:t> </w:t>
      </w:r>
      <w:r>
        <w:rPr>
          <w:rFonts w:ascii="Times New Roman" w:hAnsi="Times New Roman" w:cs="Times New Roman" w:eastAsia="Times New Roman" w:hint="default"/>
        </w:rPr>
        <w:t>380</w:t>
      </w:r>
      <w:r>
        <w:rPr>
          <w:rFonts w:ascii="Times New Roman" w:hAnsi="Times New Roman" w:cs="Times New Roman" w:eastAsia="Times New Roman" w:hint="default"/>
          <w:spacing w:val="-1"/>
        </w:rPr>
        <w:t> </w:t>
      </w:r>
      <w:r>
        <w:rPr/>
        <w:t>人，在司法机关发挥越来越重要的影响力。国</w:t>
      </w:r>
      <w:r>
        <w:rPr>
          <w:w w:val="99"/>
        </w:rPr>
        <w:t> </w:t>
      </w:r>
      <w:r>
        <w:rPr>
          <w:spacing w:val="-7"/>
          <w:w w:val="99"/>
        </w:rPr>
        <w:t>务委员、公安部部长孟建柱来公司视察时评价说：“教材很前瞻，教育和科技相结合</w:t>
      </w:r>
      <w:r>
        <w:rPr>
          <w:spacing w:val="-101"/>
          <w:w w:val="99"/>
        </w:rPr>
        <w:t> </w:t>
      </w:r>
      <w:r>
        <w:rPr>
          <w:spacing w:val="-101"/>
          <w:w w:val="99"/>
        </w:rPr>
      </w:r>
      <w:r>
        <w:rPr>
          <w:spacing w:val="-18"/>
          <w:w w:val="99"/>
        </w:rPr>
        <w:t>很有生命力。”</w:t>
      </w:r>
      <w:r>
        <w:rPr>
          <w:spacing w:val="-18"/>
        </w:rPr>
      </w:r>
    </w:p>
    <w:p>
      <w:pPr>
        <w:pStyle w:val="BodyText"/>
        <w:spacing w:line="352" w:lineRule="auto" w:before="47"/>
        <w:ind w:left="119" w:right="234" w:firstLine="420"/>
        <w:jc w:val="both"/>
      </w:pPr>
      <w:r>
        <w:rPr/>
        <w:t>中证司法鉴定中心是国内四大主要的电子数据司法鉴定中心之一，也是全国第</w:t>
      </w:r>
      <w:r>
        <w:rPr>
          <w:spacing w:val="1"/>
        </w:rPr>
        <w:t> </w:t>
      </w:r>
      <w:r>
        <w:rPr/>
        <w:t>一个通过</w:t>
      </w:r>
      <w:r>
        <w:rPr>
          <w:spacing w:val="-63"/>
        </w:rPr>
        <w:t> </w:t>
      </w:r>
      <w:r>
        <w:rPr>
          <w:rFonts w:ascii="Times New Roman" w:hAnsi="Times New Roman" w:cs="Times New Roman" w:eastAsia="Times New Roman" w:hint="default"/>
        </w:rPr>
        <w:t>CNAS</w:t>
      </w:r>
      <w:r>
        <w:rPr>
          <w:rFonts w:ascii="Times New Roman" w:hAnsi="Times New Roman" w:cs="Times New Roman" w:eastAsia="Times New Roman" w:hint="default"/>
          <w:spacing w:val="-4"/>
        </w:rPr>
        <w:t> </w:t>
      </w:r>
      <w:r>
        <w:rPr>
          <w:spacing w:val="-6"/>
        </w:rPr>
        <w:t>认可的非公电子数据鉴定机构。</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3"/>
        </w:rPr>
        <w:t> </w:t>
      </w:r>
      <w:r>
        <w:rPr/>
        <w:t>年不断增加新研发的电子数据</w:t>
      </w:r>
      <w:r>
        <w:rPr>
          <w:spacing w:val="-1"/>
        </w:rPr>
        <w:t> </w:t>
      </w:r>
      <w:r>
        <w:rPr/>
        <w:t>鉴定设备及网络方面的投入，将各地分支机构连接在一个取证工作云平台，使得中</w:t>
      </w:r>
      <w:r>
        <w:rPr/>
        <w:t> 心及分支机构在鉴定处理能力方面得到进一步提升，同时也有效管理公司的鉴定人 员、鉴定设备。电子数据鉴定业务收入源于民事诉讼的比例不断增加。</w:t>
      </w:r>
    </w:p>
    <w:p>
      <w:pPr>
        <w:pStyle w:val="BodyText"/>
        <w:spacing w:line="240" w:lineRule="auto" w:before="40"/>
        <w:ind w:left="539" w:right="221"/>
        <w:jc w:val="left"/>
      </w:pPr>
      <w:r>
        <w:rPr/>
        <w:t>数字知识产权保护方面，公司升级了公司的知识产权保护平台，随着公司云计</w:t>
      </w:r>
    </w:p>
    <w:p>
      <w:pPr>
        <w:spacing w:after="0" w:line="240" w:lineRule="auto"/>
        <w:jc w:val="left"/>
        <w:sectPr>
          <w:pgSz w:w="12240" w:h="15840"/>
          <w:pgMar w:header="0" w:footer="688" w:top="1400" w:bottom="900" w:left="1680" w:right="1560"/>
        </w:sectPr>
      </w:pPr>
    </w:p>
    <w:p>
      <w:pPr>
        <w:pStyle w:val="BodyText"/>
        <w:spacing w:line="338" w:lineRule="auto" w:before="1"/>
        <w:ind w:left="120" w:right="100"/>
        <w:jc w:val="left"/>
      </w:pPr>
      <w:r>
        <w:rPr>
          <w:spacing w:val="-7"/>
        </w:rPr>
        <w:t>算中心投入使用，平台的监测能力将进一步提高，</w:t>
      </w:r>
      <w:r>
        <w:rPr>
          <w:rFonts w:ascii="Times New Roman" w:hAnsi="Times New Roman" w:cs="Times New Roman" w:eastAsia="Times New Roman" w:hint="default"/>
          <w:spacing w:val="-7"/>
        </w:rPr>
        <w:t>2011</w:t>
      </w:r>
      <w:r>
        <w:rPr>
          <w:rFonts w:ascii="Times New Roman" w:hAnsi="Times New Roman" w:cs="Times New Roman" w:eastAsia="Times New Roman" w:hint="default"/>
          <w:spacing w:val="-10"/>
        </w:rPr>
        <w:t> </w:t>
      </w:r>
      <w:r>
        <w:rPr/>
        <w:t>影视维权业务继续稳步发展，</w:t>
      </w:r>
      <w:r>
        <w:rPr>
          <w:spacing w:val="-1"/>
        </w:rPr>
        <w:t> </w:t>
      </w:r>
      <w:r>
        <w:rPr>
          <w:spacing w:val="-3"/>
        </w:rPr>
        <w:t>所有档期均有影片委托维权，已覆盖</w:t>
      </w:r>
      <w:r>
        <w:rPr>
          <w:spacing w:val="-56"/>
        </w:rPr>
        <w:t> </w:t>
      </w:r>
      <w:r>
        <w:rPr>
          <w:rFonts w:ascii="Times New Roman" w:hAnsi="Times New Roman" w:cs="Times New Roman" w:eastAsia="Times New Roman" w:hint="default"/>
          <w:spacing w:val="-4"/>
        </w:rPr>
        <w:t>80%</w:t>
      </w:r>
      <w:r>
        <w:rPr>
          <w:spacing w:val="-4"/>
        </w:rPr>
        <w:t>的国内大片。</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4"/>
        </w:rPr>
        <w:t> </w:t>
      </w:r>
      <w:r>
        <w:rPr/>
        <w:t>年平台吸引了为数不少</w:t>
      </w:r>
      <w:r>
        <w:rPr>
          <w:spacing w:val="-111"/>
        </w:rPr>
        <w:t> </w:t>
      </w:r>
      <w:r>
        <w:rPr>
          <w:spacing w:val="-2"/>
        </w:rPr>
        <w:t>的新客户，包括国家知名的海外影视公司也慕名而来。</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19"/>
        </w:rPr>
        <w:t> </w:t>
      </w:r>
      <w:r>
        <w:rPr>
          <w:spacing w:val="-13"/>
        </w:rPr>
        <w:t>年先后为《让子弹飞》、</w:t>
      </w:r>
    </w:p>
    <w:p>
      <w:pPr>
        <w:pStyle w:val="BodyText"/>
        <w:spacing w:line="350" w:lineRule="auto" w:before="25"/>
        <w:ind w:left="120" w:right="105"/>
        <w:jc w:val="left"/>
      </w:pPr>
      <w:r>
        <w:rPr/>
        <w:t>《窃听风云</w:t>
      </w:r>
      <w:r>
        <w:rPr>
          <w:spacing w:val="-57"/>
        </w:rPr>
        <w:t> </w:t>
      </w:r>
      <w:r>
        <w:rPr>
          <w:rFonts w:ascii="Times New Roman" w:hAnsi="Times New Roman" w:cs="Times New Roman" w:eastAsia="Times New Roman" w:hint="default"/>
          <w:spacing w:val="-28"/>
        </w:rPr>
        <w:t>2</w:t>
      </w:r>
      <w:r>
        <w:rPr>
          <w:spacing w:val="-28"/>
        </w:rPr>
        <w:t>》、《金陵十三钗》、《龙门飞甲》等共计</w:t>
      </w:r>
      <w:r>
        <w:rPr>
          <w:spacing w:val="-57"/>
        </w:rPr>
        <w:t> </w:t>
      </w:r>
      <w:r>
        <w:rPr>
          <w:rFonts w:ascii="Times New Roman" w:hAnsi="Times New Roman" w:cs="Times New Roman" w:eastAsia="Times New Roman" w:hint="default"/>
        </w:rPr>
        <w:t>20</w:t>
      </w:r>
      <w:r>
        <w:rPr>
          <w:rFonts w:ascii="Times New Roman" w:hAnsi="Times New Roman" w:cs="Times New Roman" w:eastAsia="Times New Roman" w:hint="default"/>
          <w:spacing w:val="3"/>
        </w:rPr>
        <w:t> </w:t>
      </w:r>
      <w:r>
        <w:rPr/>
        <w:t>余部档期热门影片提供了网</w:t>
      </w:r>
      <w:r>
        <w:rPr>
          <w:spacing w:val="-114"/>
        </w:rPr>
        <w:t> </w:t>
      </w:r>
      <w:r>
        <w:rPr/>
        <w:t>络维权服务。网游维权已从日常侵权监测深入到针对重点侵权案件的发现，代理维 </w:t>
      </w:r>
      <w:r>
        <w:rPr>
          <w:spacing w:val="-4"/>
        </w:rPr>
        <w:t>权的几个侵权案例均列入“亮剑”行动，为部委督办案件。同时业务领域已从影视、</w:t>
      </w:r>
      <w:r>
        <w:rPr>
          <w:spacing w:val="-92"/>
        </w:rPr>
        <w:t> </w:t>
      </w:r>
      <w:r>
        <w:rPr>
          <w:spacing w:val="-92"/>
        </w:rPr>
      </w:r>
      <w:r>
        <w:rPr/>
        <w:t>游戏，拓展到商标网络维权，目前为数十个品牌提供商标维权服务。</w:t>
      </w:r>
    </w:p>
    <w:p>
      <w:pPr>
        <w:spacing w:line="240" w:lineRule="auto" w:before="8"/>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4</w:t>
      </w:r>
      <w:r>
        <w:rPr/>
        <w:t>、公司管理方面</w:t>
      </w:r>
      <w:r>
        <w:rPr>
          <w:b w:val="0"/>
          <w:bCs w:val="0"/>
        </w:rPr>
      </w:r>
    </w:p>
    <w:p>
      <w:pPr>
        <w:spacing w:line="240" w:lineRule="auto" w:before="9"/>
        <w:rPr>
          <w:rFonts w:ascii="宋体" w:hAnsi="宋体" w:cs="宋体" w:eastAsia="宋体" w:hint="default"/>
          <w:b/>
          <w:bCs/>
          <w:sz w:val="28"/>
          <w:szCs w:val="28"/>
        </w:rPr>
      </w:pPr>
    </w:p>
    <w:p>
      <w:pPr>
        <w:pStyle w:val="BodyText"/>
        <w:spacing w:line="350" w:lineRule="auto"/>
        <w:ind w:left="119" w:right="236" w:firstLine="480"/>
        <w:jc w:val="both"/>
      </w:pPr>
      <w:r>
        <w:rPr/>
        <w:t>根据公司发展规划以及各中心业务需求，拟定信息化建设推进表，目前新投入 使用并完善优化的系统有：</w:t>
      </w:r>
      <w:r>
        <w:rPr>
          <w:rFonts w:ascii="Times New Roman" w:hAnsi="Times New Roman" w:cs="Times New Roman" w:eastAsia="Times New Roman" w:hint="default"/>
        </w:rPr>
        <w:t>CMMI</w:t>
      </w:r>
      <w:r>
        <w:rPr>
          <w:rFonts w:ascii="Times New Roman" w:hAnsi="Times New Roman" w:cs="Times New Roman" w:eastAsia="Times New Roman" w:hint="default"/>
          <w:spacing w:val="-9"/>
        </w:rPr>
        <w:t> </w:t>
      </w:r>
      <w:r>
        <w:rPr/>
        <w:t>的过程管理系统，代理商信息交流平台、人力资 源管理系统、问卷调查系统、知识产权管理系统、新产品发布系统、内部在线考试 系统。其中，新产品发布系统正式上线运行，统一产品发布接口，使得公司的市场 营销部门相关人员能更方便、更快捷地获得产品的最新资料和信息。代理商信息交 </w:t>
      </w:r>
      <w:r>
        <w:rPr>
          <w:spacing w:val="-2"/>
        </w:rPr>
        <w:t>流平台使代理商能够及时了解公司情况，并能及时更新产品的资料。</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6"/>
        </w:rPr>
        <w:t> </w:t>
      </w:r>
      <w:r>
        <w:rPr/>
        <w:t>下半年投 入使用的人力资源管理系统也在人员信息管理方面发挥了良好的作用。</w:t>
      </w:r>
    </w:p>
    <w:p>
      <w:pPr>
        <w:pStyle w:val="BodyText"/>
        <w:spacing w:line="357" w:lineRule="auto" w:before="42"/>
        <w:ind w:left="119" w:right="239" w:firstLine="480"/>
        <w:jc w:val="both"/>
      </w:pPr>
      <w:r>
        <w:rPr/>
        <w:t>为防范企业风险、规范企业管理、全面提升企业经营管理水平、增强企业国际 竞争力、促进企业可持续发展，审计部在董事会的部署下开展了内控管理工作。对 公司的内部管理体系进行了全面的诊断，并形成诊断报告。做了大量细致的资料收 集和数据整理、分析、测算工作，为股权激励方案的实施奠定基础。按照证监会、 深交所的要求对货币资金、募集资金、季度</w:t>
      </w:r>
      <w:r>
        <w:rPr>
          <w:rFonts w:ascii="Times New Roman" w:hAnsi="Times New Roman" w:cs="Times New Roman" w:eastAsia="Times New Roman" w:hint="default"/>
        </w:rPr>
        <w:t>/</w:t>
      </w:r>
      <w:r>
        <w:rPr/>
        <w:t>年度报告进行例行审计工作。</w:t>
      </w:r>
    </w:p>
    <w:p>
      <w:pPr>
        <w:spacing w:line="240" w:lineRule="auto" w:before="9"/>
        <w:rPr>
          <w:rFonts w:ascii="宋体" w:hAnsi="宋体" w:cs="宋体" w:eastAsia="宋体" w:hint="default"/>
          <w:sz w:val="18"/>
          <w:szCs w:val="18"/>
        </w:rPr>
      </w:pPr>
    </w:p>
    <w:p>
      <w:pPr>
        <w:pStyle w:val="Heading3"/>
        <w:spacing w:line="240" w:lineRule="auto"/>
        <w:ind w:right="221"/>
        <w:jc w:val="left"/>
        <w:rPr>
          <w:b w:val="0"/>
          <w:bCs w:val="0"/>
        </w:rPr>
      </w:pPr>
      <w:r>
        <w:rPr>
          <w:rFonts w:ascii="Times New Roman" w:hAnsi="Times New Roman" w:cs="Times New Roman" w:eastAsia="Times New Roman" w:hint="default"/>
        </w:rPr>
        <w:t>5</w:t>
      </w:r>
      <w:r>
        <w:rPr/>
        <w:t>、人力资源方面</w:t>
      </w:r>
      <w:r>
        <w:rPr>
          <w:b w:val="0"/>
          <w:bCs w:val="0"/>
        </w:rPr>
      </w:r>
    </w:p>
    <w:p>
      <w:pPr>
        <w:spacing w:line="240" w:lineRule="auto" w:before="8"/>
        <w:rPr>
          <w:rFonts w:ascii="宋体" w:hAnsi="宋体" w:cs="宋体" w:eastAsia="宋体" w:hint="default"/>
          <w:b/>
          <w:bCs/>
          <w:sz w:val="28"/>
          <w:szCs w:val="28"/>
        </w:rPr>
      </w:pPr>
    </w:p>
    <w:p>
      <w:pPr>
        <w:pStyle w:val="BodyText"/>
        <w:spacing w:line="352" w:lineRule="auto"/>
        <w:ind w:left="119" w:right="105" w:firstLine="480"/>
        <w:jc w:val="left"/>
      </w:pPr>
      <w:r>
        <w:rPr>
          <w:spacing w:val="-4"/>
        </w:rPr>
        <w:t>公司不断完善人力资源方面的各项规章制度，加强制度化管理，加强执行力度。</w:t>
      </w:r>
      <w:r>
        <w:rPr/>
        <w:t> 绩效考核方面，除了继续沿用 </w:t>
      </w:r>
      <w:r>
        <w:rPr>
          <w:rFonts w:ascii="Times New Roman" w:hAnsi="Times New Roman" w:cs="Times New Roman" w:eastAsia="Times New Roman" w:hint="default"/>
        </w:rPr>
        <w:t>2010 </w:t>
      </w:r>
      <w:r>
        <w:rPr/>
        <w:t>年的一对一、双重、多重的考核模式，</w:t>
      </w:r>
      <w:r>
        <w:rPr>
          <w:rFonts w:ascii="Times New Roman" w:hAnsi="Times New Roman" w:cs="Times New Roman" w:eastAsia="Times New Roman" w:hint="default"/>
        </w:rPr>
        <w:t>2011 </w:t>
      </w:r>
      <w:r>
        <w:rPr/>
        <w:t>年 针对部分晋升人员首次采用了目标管理法来进行考核，强化关键绩效导向，使得在 选拔人才上更加得具有公平性。为了对表现突出的员工给予即时肯定，增加了即时 奖励，进一步提高了员工的工作积极性。</w:t>
      </w:r>
    </w:p>
    <w:p>
      <w:pPr>
        <w:spacing w:after="0" w:line="352" w:lineRule="auto"/>
        <w:jc w:val="left"/>
        <w:sectPr>
          <w:pgSz w:w="12240" w:h="15840"/>
          <w:pgMar w:header="0" w:footer="688" w:top="1400" w:bottom="900" w:left="1680" w:right="1560"/>
        </w:sectPr>
      </w:pPr>
    </w:p>
    <w:p>
      <w:pPr>
        <w:pStyle w:val="BodyText"/>
        <w:spacing w:line="357" w:lineRule="auto" w:before="1"/>
        <w:ind w:left="120" w:right="110" w:firstLine="480"/>
        <w:jc w:val="left"/>
      </w:pPr>
      <w:r>
        <w:rPr/>
        <w:t>在人才招聘方面，采用多种招聘渠道，鼓励员工推荐优秀的人才，保质保量地 完成了</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年招聘工作，有效满足公司因业务发展而带来人才大幅度增长的需求。</w:t>
      </w:r>
    </w:p>
    <w:p>
      <w:pPr>
        <w:pStyle w:val="BodyText"/>
        <w:spacing w:line="240" w:lineRule="auto" w:before="4"/>
        <w:ind w:left="119" w:right="0"/>
        <w:jc w:val="both"/>
      </w:pPr>
      <w:r>
        <w:rPr/>
        <w:t>截止</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年底公司员工</w:t>
      </w:r>
      <w:r>
        <w:rPr>
          <w:spacing w:val="-60"/>
        </w:rPr>
        <w:t> </w:t>
      </w:r>
      <w:r>
        <w:rPr>
          <w:rFonts w:ascii="Times New Roman" w:hAnsi="Times New Roman" w:cs="Times New Roman" w:eastAsia="Times New Roman" w:hint="default"/>
        </w:rPr>
        <w:t>600 </w:t>
      </w:r>
      <w:r>
        <w:rPr/>
        <w:t>余人，增加</w:t>
      </w:r>
      <w:r>
        <w:rPr>
          <w:spacing w:val="-60"/>
        </w:rPr>
        <w:t> </w:t>
      </w:r>
      <w:r>
        <w:rPr>
          <w:rFonts w:ascii="Times New Roman" w:hAnsi="Times New Roman" w:cs="Times New Roman" w:eastAsia="Times New Roman" w:hint="default"/>
        </w:rPr>
        <w:t>200 </w:t>
      </w:r>
      <w:r>
        <w:rPr/>
        <w:t>多人。</w:t>
      </w:r>
    </w:p>
    <w:p>
      <w:pPr>
        <w:spacing w:line="240" w:lineRule="auto" w:before="6"/>
        <w:rPr>
          <w:rFonts w:ascii="宋体" w:hAnsi="宋体" w:cs="宋体" w:eastAsia="宋体" w:hint="default"/>
          <w:sz w:val="19"/>
          <w:szCs w:val="19"/>
        </w:rPr>
      </w:pPr>
    </w:p>
    <w:p>
      <w:pPr>
        <w:pStyle w:val="BodyText"/>
        <w:spacing w:line="350" w:lineRule="auto"/>
        <w:ind w:left="120" w:right="105" w:firstLine="480"/>
        <w:jc w:val="left"/>
      </w:pPr>
      <w:r>
        <w:rPr>
          <w:spacing w:val="-3"/>
        </w:rPr>
        <w:t>在员工福利方面，</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年落实企业年金计划，出台更加人性化的交通及通讯福 利政策，大大提高员工的满意度，增强员工对企业的归属感。成立了薪酬与考核项 </w:t>
      </w:r>
      <w:r>
        <w:rPr>
          <w:spacing w:val="-4"/>
        </w:rPr>
        <w:t>目小组，筹划股权激励方案，有效稳定公司的人才团队，目前方案已经上报证监会，</w:t>
      </w:r>
      <w:r>
        <w:rPr>
          <w:spacing w:val="-92"/>
        </w:rPr>
        <w:t> </w:t>
      </w:r>
      <w:r>
        <w:rPr>
          <w:spacing w:val="-92"/>
        </w:rPr>
      </w:r>
      <w:r>
        <w:rPr/>
        <w:t>获批后将于</w:t>
      </w:r>
      <w:r>
        <w:rPr>
          <w:spacing w:val="-60"/>
        </w:rPr>
        <w:t> </w:t>
      </w:r>
      <w:r>
        <w:rPr>
          <w:rFonts w:ascii="Times New Roman" w:hAnsi="Times New Roman" w:cs="Times New Roman" w:eastAsia="Times New Roman" w:hint="default"/>
        </w:rPr>
        <w:t>2012 </w:t>
      </w:r>
      <w:r>
        <w:rPr/>
        <w:t>年正式启动。</w:t>
      </w:r>
    </w:p>
    <w:p>
      <w:pPr>
        <w:pStyle w:val="BodyText"/>
        <w:spacing w:line="343" w:lineRule="auto" w:before="132"/>
        <w:ind w:left="120" w:right="237" w:firstLine="480"/>
        <w:jc w:val="both"/>
      </w:pPr>
      <w:r>
        <w:rPr/>
        <w:t>用人方面，公司继续实施员工导师制度，提高新员工对公司文化及环境的认可 </w:t>
      </w:r>
      <w:r>
        <w:rPr>
          <w:spacing w:val="-6"/>
        </w:rPr>
        <w:t>度和适应能力。</w:t>
      </w:r>
      <w:r>
        <w:rPr>
          <w:rFonts w:ascii="Times New Roman" w:hAnsi="Times New Roman" w:cs="Times New Roman" w:eastAsia="Times New Roman" w:hint="default"/>
          <w:spacing w:val="-6"/>
        </w:rPr>
        <w:t>2011</w:t>
      </w:r>
      <w:r>
        <w:rPr>
          <w:rFonts w:ascii="Times New Roman" w:hAnsi="Times New Roman" w:cs="Times New Roman" w:eastAsia="Times New Roman" w:hint="default"/>
          <w:spacing w:val="4"/>
        </w:rPr>
        <w:t> </w:t>
      </w:r>
      <w:r>
        <w:rPr/>
        <w:t>年度培训工作主要以重点提高公司人员整体职业化素质及岗位 技能，掌握现代管理知识与能力，为工作开展提供支持并注入活力。针对管理层开 展 </w:t>
      </w:r>
      <w:r>
        <w:rPr>
          <w:rFonts w:ascii="Times New Roman" w:hAnsi="Times New Roman" w:cs="Times New Roman" w:eastAsia="Times New Roman" w:hint="default"/>
        </w:rPr>
        <w:t>MTP</w:t>
      </w:r>
      <w:r>
        <w:rPr>
          <w:rFonts w:ascii="Times New Roman" w:hAnsi="Times New Roman" w:cs="Times New Roman" w:eastAsia="Times New Roman" w:hint="default"/>
          <w:spacing w:val="43"/>
        </w:rPr>
        <w:t> </w:t>
      </w:r>
      <w:r>
        <w:rPr/>
        <w:t>管理人员基本管理技能训练、突破思维的技巧、沟通与执行的培训，针对 全员开展工作技能、职业化素养等培训。同时，借助于 </w:t>
      </w:r>
      <w:r>
        <w:rPr>
          <w:rFonts w:ascii="Times New Roman" w:hAnsi="Times New Roman" w:cs="Times New Roman" w:eastAsia="Times New Roman" w:hint="default"/>
        </w:rPr>
        <w:t>CMMI3</w:t>
      </w:r>
      <w:r>
        <w:rPr>
          <w:rFonts w:ascii="Times New Roman" w:hAnsi="Times New Roman" w:cs="Times New Roman" w:eastAsia="Times New Roman" w:hint="default"/>
          <w:spacing w:val="-16"/>
        </w:rPr>
        <w:t> </w:t>
      </w:r>
      <w:r>
        <w:rPr/>
        <w:t>认证契机，培训工</w:t>
      </w:r>
      <w:r>
        <w:rPr>
          <w:spacing w:val="-1"/>
        </w:rPr>
        <w:t> </w:t>
      </w:r>
      <w:r>
        <w:rPr/>
        <w:t>作也适时引入 </w:t>
      </w:r>
      <w:r>
        <w:rPr>
          <w:rFonts w:ascii="Times New Roman" w:hAnsi="Times New Roman" w:cs="Times New Roman" w:eastAsia="Times New Roman" w:hint="default"/>
        </w:rPr>
        <w:t>CMMI3</w:t>
      </w:r>
      <w:r>
        <w:rPr>
          <w:rFonts w:ascii="Times New Roman" w:hAnsi="Times New Roman" w:cs="Times New Roman" w:eastAsia="Times New Roman" w:hint="default"/>
          <w:spacing w:val="-9"/>
        </w:rPr>
        <w:t> </w:t>
      </w:r>
      <w:r>
        <w:rPr/>
        <w:t>体系知识，建立和完善员工培训效果评估体系，使培训管理 制度和工作程序标准化。</w:t>
      </w:r>
    </w:p>
    <w:p>
      <w:pPr>
        <w:spacing w:line="706" w:lineRule="exact" w:before="5"/>
        <w:ind w:left="540" w:right="221" w:firstLine="6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、企业文化建设方面</w:t>
      </w:r>
      <w:r>
        <w:rPr>
          <w:rFonts w:ascii="宋体" w:hAnsi="宋体" w:cs="宋体" w:eastAsia="宋体" w:hint="default"/>
          <w:b/>
          <w:bCs/>
          <w:spacing w:val="1"/>
          <w:w w:val="99"/>
          <w:sz w:val="24"/>
          <w:szCs w:val="24"/>
        </w:rPr>
        <w:t> </w:t>
      </w:r>
      <w:r>
        <w:rPr>
          <w:rFonts w:ascii="宋体" w:hAnsi="宋体" w:cs="宋体" w:eastAsia="宋体" w:hint="default"/>
          <w:sz w:val="24"/>
          <w:szCs w:val="24"/>
        </w:rPr>
        <w:t>公司工会自正式成立以来，本着构建企业和谐劳动关系、促进企业健康发展、</w:t>
      </w:r>
    </w:p>
    <w:p>
      <w:pPr>
        <w:pStyle w:val="BodyText"/>
        <w:spacing w:line="338" w:lineRule="auto" w:before="45"/>
        <w:ind w:left="120" w:right="239"/>
        <w:jc w:val="both"/>
      </w:pPr>
      <w:r>
        <w:rPr>
          <w:spacing w:val="-7"/>
        </w:rPr>
        <w:t>维护职工合法权益的原则。</w:t>
      </w:r>
      <w:r>
        <w:rPr>
          <w:rFonts w:ascii="Times New Roman" w:hAnsi="Times New Roman" w:cs="Times New Roman" w:eastAsia="Times New Roman" w:hint="default"/>
          <w:spacing w:val="-7"/>
        </w:rPr>
        <w:t>2011</w:t>
      </w:r>
      <w:r>
        <w:rPr>
          <w:spacing w:val="-7"/>
        </w:rPr>
        <w:t>年公司先后荣获“厦门市先进职工小家称号”、“工</w:t>
      </w:r>
      <w:r>
        <w:rPr>
          <w:spacing w:val="-87"/>
        </w:rPr>
        <w:t> </w:t>
      </w:r>
      <w:r>
        <w:rPr>
          <w:spacing w:val="-87"/>
        </w:rPr>
      </w:r>
      <w:r>
        <w:rPr/>
        <w:t>人先锋号”、“合格职工之家” 、“女职工保健达标单位” 、“</w:t>
      </w:r>
      <w:r>
        <w:rPr>
          <w:rFonts w:ascii="Times New Roman" w:hAnsi="Times New Roman" w:cs="Times New Roman" w:eastAsia="Times New Roman" w:hint="default"/>
        </w:rPr>
        <w:t>2011</w:t>
      </w:r>
      <w:r>
        <w:rPr/>
        <w:t>厦门打工者 最信赖十佳雇主”。</w:t>
      </w:r>
    </w:p>
    <w:p>
      <w:pPr>
        <w:pStyle w:val="BodyText"/>
        <w:spacing w:line="338" w:lineRule="auto" w:before="54"/>
        <w:ind w:left="120" w:right="238" w:firstLine="420"/>
        <w:jc w:val="both"/>
      </w:pPr>
      <w:r>
        <w:rPr>
          <w:spacing w:val="-1"/>
        </w:rPr>
        <w:t>团总支荣获“</w:t>
      </w:r>
      <w:r>
        <w:rPr>
          <w:rFonts w:ascii="Times New Roman" w:hAnsi="Times New Roman" w:cs="Times New Roman" w:eastAsia="Times New Roman" w:hint="default"/>
          <w:spacing w:val="-1"/>
        </w:rPr>
        <w:t>2009-2010</w:t>
      </w:r>
      <w:r>
        <w:rPr>
          <w:spacing w:val="-1"/>
        </w:rPr>
        <w:t>年度厦门市五四红旗团（总）支部”、“厦门市党群共</w:t>
      </w:r>
      <w:r>
        <w:rPr/>
        <w:t> 建创先争优先进‘两新’基层团组织”</w:t>
      </w:r>
      <w:r>
        <w:rPr>
          <w:spacing w:val="29"/>
        </w:rPr>
        <w:t> </w:t>
      </w:r>
      <w:r>
        <w:rPr/>
        <w:t>。党支部荣获“厦门市直机关</w:t>
      </w:r>
      <w:r>
        <w:rPr>
          <w:rFonts w:ascii="Times New Roman" w:hAnsi="Times New Roman" w:cs="Times New Roman" w:eastAsia="Times New Roman" w:hint="default"/>
        </w:rPr>
        <w:t>2009-2010</w:t>
      </w:r>
      <w:r>
        <w:rPr/>
        <w:t>年</w:t>
      </w:r>
      <w:r>
        <w:rPr>
          <w:spacing w:val="-118"/>
        </w:rPr>
        <w:t> </w:t>
      </w:r>
      <w:r>
        <w:rPr>
          <w:spacing w:val="-3"/>
        </w:rPr>
        <w:t>度先进基层党组织”、“厦门市司法局优秀党务工作者”、“</w:t>
      </w:r>
      <w:r>
        <w:rPr>
          <w:rFonts w:ascii="Times New Roman" w:hAnsi="Times New Roman" w:cs="Times New Roman" w:eastAsia="Times New Roman" w:hint="default"/>
          <w:spacing w:val="-3"/>
        </w:rPr>
        <w:t>2006-2010</w:t>
      </w:r>
      <w:r>
        <w:rPr>
          <w:spacing w:val="-3"/>
        </w:rPr>
        <w:t>年度‘厦门</w:t>
      </w:r>
      <w:r>
        <w:rPr>
          <w:spacing w:val="-80"/>
        </w:rPr>
        <w:t> </w:t>
      </w:r>
      <w:r>
        <w:rPr>
          <w:spacing w:val="-80"/>
        </w:rPr>
      </w:r>
      <w:r>
        <w:rPr/>
        <w:t>火炬高新区优秀共产党员’”等荣誉称号。</w:t>
      </w:r>
    </w:p>
    <w:p>
      <w:pPr>
        <w:pStyle w:val="BodyText"/>
        <w:spacing w:line="338" w:lineRule="auto" w:before="54"/>
        <w:ind w:left="120" w:right="239" w:firstLine="42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月公司向“美亚柏科爱心基金”注入善款，用于支持社会各项公益事业</w:t>
      </w:r>
      <w:r>
        <w:rPr/>
        <w:t> 以及困难人群。截止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月，我们共定向捐助了</w:t>
      </w:r>
      <w:r>
        <w:rPr>
          <w:rFonts w:ascii="Times New Roman" w:hAnsi="Times New Roman" w:cs="Times New Roman" w:eastAsia="Times New Roman" w:hint="default"/>
        </w:rPr>
        <w:t>11</w:t>
      </w:r>
      <w:r>
        <w:rPr/>
        <w:t>笔善款。</w:t>
      </w:r>
    </w:p>
    <w:p>
      <w:pPr>
        <w:spacing w:after="0" w:line="338" w:lineRule="auto"/>
        <w:jc w:val="both"/>
        <w:sectPr>
          <w:pgSz w:w="12240" w:h="15840"/>
          <w:pgMar w:header="0" w:footer="688" w:top="1400" w:bottom="900" w:left="1680" w:right="1560"/>
        </w:sectPr>
      </w:pPr>
    </w:p>
    <w:p>
      <w:pPr>
        <w:pStyle w:val="Heading3"/>
        <w:spacing w:line="240" w:lineRule="auto" w:before="1"/>
        <w:ind w:left="582" w:right="114"/>
        <w:jc w:val="left"/>
        <w:rPr>
          <w:b w:val="0"/>
          <w:bCs w:val="0"/>
        </w:rPr>
      </w:pPr>
      <w:r>
        <w:rPr>
          <w:rFonts w:ascii="Times New Roman" w:hAnsi="Times New Roman" w:cs="Times New Roman" w:eastAsia="Times New Roman" w:hint="default"/>
        </w:rPr>
        <w:t>7</w:t>
      </w:r>
      <w:r>
        <w:rPr/>
        <w:t>、知识产权方面</w:t>
      </w:r>
      <w:r>
        <w:rPr>
          <w:b w:val="0"/>
          <w:bCs w:val="0"/>
        </w:rPr>
      </w:r>
    </w:p>
    <w:p>
      <w:pPr>
        <w:spacing w:line="240" w:lineRule="auto" w:before="8"/>
        <w:rPr>
          <w:rFonts w:ascii="宋体" w:hAnsi="宋体" w:cs="宋体" w:eastAsia="宋体" w:hint="default"/>
          <w:b/>
          <w:bCs/>
          <w:sz w:val="28"/>
          <w:szCs w:val="28"/>
        </w:rPr>
      </w:pPr>
    </w:p>
    <w:p>
      <w:pPr>
        <w:pStyle w:val="BodyText"/>
        <w:spacing w:line="340" w:lineRule="auto"/>
        <w:ind w:right="114" w:firstLine="420"/>
        <w:jc w:val="left"/>
      </w:pPr>
      <w:r>
        <w:rPr>
          <w:rFonts w:ascii="Times New Roman" w:hAnsi="Times New Roman" w:cs="Times New Roman" w:eastAsia="Times New Roman" w:hint="default"/>
          <w:spacing w:val="-2"/>
        </w:rPr>
        <w:t>2011</w:t>
      </w:r>
      <w:r>
        <w:rPr>
          <w:spacing w:val="-2"/>
        </w:rPr>
        <w:t>年公司在产品研发过程中，不断强调知识产权保护的意识，做到积极防范、</w:t>
      </w:r>
      <w:r>
        <w:rPr/>
        <w:t> 积极保护。公司在极参与各项知识产权申报工作的同时，对提出发明专利的同事给 予奖励和表扬。</w:t>
      </w:r>
      <w:r>
        <w:rPr>
          <w:rFonts w:ascii="Times New Roman" w:hAnsi="Times New Roman" w:cs="Times New Roman" w:eastAsia="Times New Roman" w:hint="default"/>
        </w:rPr>
        <w:t>2011</w:t>
      </w:r>
      <w:r>
        <w:rPr/>
        <w:t>年度，公司新增授权专利</w:t>
      </w:r>
      <w:r>
        <w:rPr>
          <w:rFonts w:ascii="Times New Roman" w:hAnsi="Times New Roman" w:cs="Times New Roman" w:eastAsia="Times New Roman" w:hint="default"/>
        </w:rPr>
        <w:t>7</w:t>
      </w:r>
      <w:r>
        <w:rPr/>
        <w:t>项，其中发明专利</w:t>
      </w:r>
      <w:r>
        <w:rPr>
          <w:rFonts w:ascii="Times New Roman" w:hAnsi="Times New Roman" w:cs="Times New Roman" w:eastAsia="Times New Roman" w:hint="default"/>
        </w:rPr>
        <w:t>3</w:t>
      </w:r>
      <w:r>
        <w:rPr/>
        <w:t>项，实用新型专 利</w:t>
      </w:r>
      <w:r>
        <w:rPr>
          <w:rFonts w:ascii="Times New Roman" w:hAnsi="Times New Roman" w:cs="Times New Roman" w:eastAsia="Times New Roman" w:hint="default"/>
        </w:rPr>
        <w:t>4</w:t>
      </w:r>
      <w:r>
        <w:rPr/>
        <w:t>项；新提交申请的专利</w:t>
      </w:r>
      <w:r>
        <w:rPr>
          <w:rFonts w:ascii="Times New Roman" w:hAnsi="Times New Roman" w:cs="Times New Roman" w:eastAsia="Times New Roman" w:hint="default"/>
        </w:rPr>
        <w:t>21</w:t>
      </w:r>
      <w:r>
        <w:rPr/>
        <w:t>项，其中发明专利</w:t>
      </w:r>
      <w:r>
        <w:rPr>
          <w:rFonts w:ascii="Times New Roman" w:hAnsi="Times New Roman" w:cs="Times New Roman" w:eastAsia="Times New Roman" w:hint="default"/>
        </w:rPr>
        <w:t>16</w:t>
      </w:r>
      <w:r>
        <w:rPr/>
        <w:t>项，实用新型专利</w:t>
      </w:r>
      <w:r>
        <w:rPr>
          <w:rFonts w:ascii="Times New Roman" w:hAnsi="Times New Roman" w:cs="Times New Roman" w:eastAsia="Times New Roman" w:hint="default"/>
        </w:rPr>
        <w:t>5</w:t>
      </w:r>
      <w:r>
        <w:rPr/>
        <w:t>项；新增软件 著作权</w:t>
      </w:r>
      <w:r>
        <w:rPr>
          <w:rFonts w:ascii="Times New Roman" w:hAnsi="Times New Roman" w:cs="Times New Roman" w:eastAsia="Times New Roman" w:hint="default"/>
        </w:rPr>
        <w:t>16</w:t>
      </w:r>
      <w:r>
        <w:rPr/>
        <w:t>项；新增产品登记申请</w:t>
      </w:r>
      <w:r>
        <w:rPr>
          <w:rFonts w:ascii="Times New Roman" w:hAnsi="Times New Roman" w:cs="Times New Roman" w:eastAsia="Times New Roman" w:hint="default"/>
        </w:rPr>
        <w:t>25</w:t>
      </w:r>
      <w:r>
        <w:rPr/>
        <w:t>项，取得证书</w:t>
      </w:r>
      <w:r>
        <w:rPr>
          <w:rFonts w:ascii="Times New Roman" w:hAnsi="Times New Roman" w:cs="Times New Roman" w:eastAsia="Times New Roman" w:hint="default"/>
        </w:rPr>
        <w:t>20</w:t>
      </w:r>
      <w:r>
        <w:rPr/>
        <w:t>项；截至报告期末，公司已取得 注册商标</w:t>
      </w:r>
      <w:r>
        <w:rPr>
          <w:rFonts w:ascii="Times New Roman" w:hAnsi="Times New Roman" w:cs="Times New Roman" w:eastAsia="Times New Roman" w:hint="default"/>
        </w:rPr>
        <w:t>15</w:t>
      </w:r>
      <w:r>
        <w:rPr/>
        <w:t>项，正在申请注册的商标</w:t>
      </w:r>
      <w:r>
        <w:rPr>
          <w:rFonts w:ascii="Times New Roman" w:hAnsi="Times New Roman" w:cs="Times New Roman" w:eastAsia="Times New Roman" w:hint="default"/>
        </w:rPr>
        <w:t>10</w:t>
      </w:r>
      <w:r>
        <w:rPr/>
        <w:t>项。</w:t>
      </w:r>
      <w:r>
        <w:rPr>
          <w:rFonts w:ascii="Times New Roman" w:hAnsi="Times New Roman" w:cs="Times New Roman" w:eastAsia="Times New Roman" w:hint="default"/>
        </w:rPr>
        <w:t>2011</w:t>
      </w:r>
      <w:r>
        <w:rPr/>
        <w:t>年度，公司还获得“福建省知识产 权优势企业”“厦门市知识产权示范单位”荣誉称号。</w:t>
      </w:r>
    </w:p>
    <w:p>
      <w:pPr>
        <w:spacing w:line="240" w:lineRule="auto" w:before="5"/>
        <w:rPr>
          <w:rFonts w:ascii="宋体" w:hAnsi="宋体" w:cs="宋体" w:eastAsia="宋体" w:hint="default"/>
          <w:sz w:val="22"/>
          <w:szCs w:val="22"/>
        </w:rPr>
      </w:pPr>
    </w:p>
    <w:p>
      <w:pPr>
        <w:pStyle w:val="Heading3"/>
        <w:spacing w:line="240" w:lineRule="auto"/>
        <w:ind w:left="582" w:right="114"/>
        <w:jc w:val="left"/>
        <w:rPr>
          <w:b w:val="0"/>
          <w:bCs w:val="0"/>
        </w:rPr>
      </w:pPr>
      <w:r>
        <w:rPr>
          <w:rFonts w:ascii="Times New Roman" w:hAnsi="Times New Roman" w:cs="Times New Roman" w:eastAsia="Times New Roman" w:hint="default"/>
        </w:rPr>
        <w:t>8</w:t>
      </w:r>
      <w:r>
        <w:rPr/>
        <w:t>、募集资金使用方面</w:t>
      </w:r>
      <w:r>
        <w:rPr>
          <w:b w:val="0"/>
          <w:bCs w:val="0"/>
        </w:rPr>
      </w:r>
    </w:p>
    <w:p>
      <w:pPr>
        <w:spacing w:line="240" w:lineRule="auto" w:before="8"/>
        <w:rPr>
          <w:rFonts w:ascii="宋体" w:hAnsi="宋体" w:cs="宋体" w:eastAsia="宋体" w:hint="default"/>
          <w:b/>
          <w:bCs/>
          <w:sz w:val="28"/>
          <w:szCs w:val="28"/>
        </w:rPr>
      </w:pPr>
    </w:p>
    <w:p>
      <w:pPr>
        <w:pStyle w:val="BodyText"/>
        <w:spacing w:line="338" w:lineRule="auto"/>
        <w:ind w:right="221" w:firstLine="480"/>
        <w:jc w:val="left"/>
      </w:pPr>
      <w:r>
        <w:rPr/>
        <w:t>经中国证券监督管理委员会证监许可</w:t>
      </w:r>
      <w:r>
        <w:rPr>
          <w:rFonts w:ascii="Times New Roman" w:hAnsi="Times New Roman" w:cs="Times New Roman" w:eastAsia="Times New Roman" w:hint="default"/>
        </w:rPr>
        <w:t>[2011]263</w:t>
      </w:r>
      <w:r>
        <w:rPr>
          <w:rFonts w:ascii="Times New Roman" w:hAnsi="Times New Roman" w:cs="Times New Roman" w:eastAsia="Times New Roman" w:hint="default"/>
          <w:spacing w:val="-10"/>
        </w:rPr>
        <w:t> </w:t>
      </w:r>
      <w:r>
        <w:rPr>
          <w:spacing w:val="-7"/>
        </w:rPr>
        <w:t>号文核准，公司首次公开发行人</w:t>
      </w:r>
      <w:r>
        <w:rPr/>
        <w:t> 民币普通股</w:t>
      </w:r>
      <w:r>
        <w:rPr>
          <w:spacing w:val="-62"/>
        </w:rPr>
        <w:t> </w:t>
      </w:r>
      <w:r>
        <w:rPr>
          <w:rFonts w:ascii="Times New Roman" w:hAnsi="Times New Roman" w:cs="Times New Roman" w:eastAsia="Times New Roman" w:hint="default"/>
        </w:rPr>
        <w:t>1,350.00</w:t>
      </w:r>
      <w:r>
        <w:rPr>
          <w:rFonts w:ascii="Times New Roman" w:hAnsi="Times New Roman" w:cs="Times New Roman" w:eastAsia="Times New Roman" w:hint="default"/>
          <w:spacing w:val="-2"/>
        </w:rPr>
        <w:t> </w:t>
      </w:r>
      <w:r>
        <w:rPr/>
        <w:t>万股，发行价格为人民币</w:t>
      </w:r>
      <w:r>
        <w:rPr>
          <w:spacing w:val="-62"/>
        </w:rPr>
        <w:t> </w:t>
      </w:r>
      <w:r>
        <w:rPr>
          <w:rFonts w:ascii="Times New Roman" w:hAnsi="Times New Roman" w:cs="Times New Roman" w:eastAsia="Times New Roman" w:hint="default"/>
        </w:rPr>
        <w:t>40.00</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股，本次公开发行股票募集</w:t>
      </w:r>
    </w:p>
    <w:p>
      <w:pPr>
        <w:pStyle w:val="BodyText"/>
        <w:spacing w:line="240" w:lineRule="auto" w:before="25"/>
        <w:ind w:right="0"/>
        <w:jc w:val="both"/>
      </w:pPr>
      <w:r>
        <w:rPr/>
        <w:t>资金总额为</w:t>
      </w:r>
      <w:r>
        <w:rPr>
          <w:spacing w:val="-60"/>
        </w:rPr>
        <w:t> </w:t>
      </w:r>
      <w:r>
        <w:rPr>
          <w:rFonts w:ascii="Times New Roman" w:hAnsi="Times New Roman" w:cs="Times New Roman" w:eastAsia="Times New Roman" w:hint="default"/>
        </w:rPr>
        <w:t>540,000,000.00 </w:t>
      </w:r>
      <w:r>
        <w:rPr/>
        <w:t>元，扣除各项发行费用人民币</w:t>
      </w:r>
      <w:r>
        <w:rPr>
          <w:spacing w:val="-60"/>
        </w:rPr>
        <w:t> </w:t>
      </w:r>
      <w:r>
        <w:rPr>
          <w:rFonts w:ascii="Times New Roman" w:hAnsi="Times New Roman" w:cs="Times New Roman" w:eastAsia="Times New Roman" w:hint="default"/>
        </w:rPr>
        <w:t>38,593,965.00 </w:t>
      </w:r>
      <w:r>
        <w:rPr/>
        <w:t>元，募集资</w:t>
      </w:r>
    </w:p>
    <w:p>
      <w:pPr>
        <w:pStyle w:val="BodyText"/>
        <w:spacing w:line="240" w:lineRule="auto" w:before="134"/>
        <w:ind w:right="0"/>
        <w:jc w:val="both"/>
        <w:rPr>
          <w:rFonts w:ascii="Times New Roman" w:hAnsi="Times New Roman" w:cs="Times New Roman" w:eastAsia="Times New Roman" w:hint="default"/>
        </w:rPr>
      </w:pPr>
      <w:r>
        <w:rPr/>
        <w:t>金净额为人民币</w:t>
      </w:r>
      <w:r>
        <w:rPr>
          <w:spacing w:val="-59"/>
        </w:rPr>
        <w:t> </w:t>
      </w:r>
      <w:r>
        <w:rPr>
          <w:rFonts w:ascii="Times New Roman" w:hAnsi="Times New Roman" w:cs="Times New Roman" w:eastAsia="Times New Roman" w:hint="default"/>
        </w:rPr>
        <w:t>501,406,035.00</w:t>
      </w:r>
      <w:r>
        <w:rPr>
          <w:rFonts w:ascii="Times New Roman" w:hAnsi="Times New Roman" w:cs="Times New Roman" w:eastAsia="Times New Roman" w:hint="default"/>
          <w:spacing w:val="1"/>
        </w:rPr>
        <w:t> </w:t>
      </w:r>
      <w:r>
        <w:rPr/>
        <w:t>元。天健正信会计师事务所有限公司已于</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rPr>
        <w:t>3</w:t>
      </w:r>
    </w:p>
    <w:p>
      <w:pPr>
        <w:pStyle w:val="BodyText"/>
        <w:spacing w:line="240" w:lineRule="auto" w:before="134"/>
        <w:ind w:right="0"/>
        <w:jc w:val="both"/>
      </w:pPr>
      <w:r>
        <w:rPr/>
        <w:t>月</w:t>
      </w:r>
      <w:r>
        <w:rPr>
          <w:spacing w:val="-49"/>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spacing w:val="-4"/>
        </w:rPr>
        <w:t>日对上述募集资金到位情况进行了审验，并出具了“天健正信验（</w:t>
      </w:r>
      <w:r>
        <w:rPr>
          <w:rFonts w:ascii="Times New Roman" w:hAnsi="Times New Roman" w:cs="Times New Roman" w:eastAsia="Times New Roman" w:hint="default"/>
          <w:spacing w:val="-4"/>
        </w:rPr>
        <w:t>2011</w:t>
      </w:r>
      <w:r>
        <w:rPr>
          <w:spacing w:val="-4"/>
        </w:rPr>
        <w:t>）综字</w:t>
      </w:r>
    </w:p>
    <w:p>
      <w:pPr>
        <w:pStyle w:val="BodyText"/>
        <w:spacing w:line="240" w:lineRule="auto" w:before="134"/>
        <w:ind w:right="0"/>
        <w:jc w:val="both"/>
      </w:pPr>
      <w:r>
        <w:rPr/>
        <w:t>第</w:t>
      </w:r>
      <w:r>
        <w:rPr>
          <w:spacing w:val="-60"/>
        </w:rPr>
        <w:t> </w:t>
      </w:r>
      <w:r>
        <w:rPr>
          <w:rFonts w:ascii="Times New Roman" w:hAnsi="Times New Roman" w:cs="Times New Roman" w:eastAsia="Times New Roman" w:hint="default"/>
        </w:rPr>
        <w:t>020022 </w:t>
      </w:r>
      <w:r>
        <w:rPr/>
        <w:t>号</w:t>
      </w:r>
      <w:r>
        <w:rPr>
          <w:spacing w:val="-120"/>
        </w:rPr>
        <w:t>”</w:t>
      </w:r>
      <w:r>
        <w:rPr/>
        <w:t>《验资报告</w:t>
      </w:r>
      <w:r>
        <w:rPr>
          <w:spacing w:val="-120"/>
        </w:rPr>
        <w:t>》</w:t>
      </w:r>
      <w:r>
        <w:rPr/>
        <w:t>。</w:t>
      </w:r>
    </w:p>
    <w:p>
      <w:pPr>
        <w:spacing w:line="240" w:lineRule="auto" w:before="6"/>
        <w:rPr>
          <w:rFonts w:ascii="宋体" w:hAnsi="宋体" w:cs="宋体" w:eastAsia="宋体" w:hint="default"/>
          <w:sz w:val="19"/>
          <w:szCs w:val="19"/>
        </w:rPr>
      </w:pPr>
    </w:p>
    <w:p>
      <w:pPr>
        <w:pStyle w:val="BodyText"/>
        <w:spacing w:line="240" w:lineRule="auto"/>
        <w:ind w:left="580" w:right="114"/>
        <w:jc w:val="left"/>
      </w:pPr>
      <w:r>
        <w:rPr/>
        <w:t>根据公司发展战略和规划</w:t>
      </w:r>
      <w:r>
        <w:rPr>
          <w:spacing w:val="-120"/>
        </w:rPr>
        <w:t>，</w:t>
      </w:r>
      <w:r>
        <w:rPr/>
        <w:t>自</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1 </w:t>
      </w:r>
      <w:r>
        <w:rPr/>
        <w:t>月公司已陆续启动三个募集资金投资项</w:t>
      </w:r>
    </w:p>
    <w:p>
      <w:pPr>
        <w:pStyle w:val="BodyText"/>
        <w:spacing w:line="348" w:lineRule="auto" w:before="134"/>
        <w:ind w:right="218"/>
        <w:jc w:val="both"/>
      </w:pPr>
      <w:r>
        <w:rPr/>
        <w:t>目的建设。</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w:t>
      </w:r>
      <w:r>
        <w:rPr>
          <w:spacing w:val="-49"/>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49"/>
        </w:rPr>
        <w:t> </w:t>
      </w:r>
      <w:r>
        <w:rPr>
          <w:rFonts w:ascii="Times New Roman" w:hAnsi="Times New Roman" w:cs="Times New Roman" w:eastAsia="Times New Roman" w:hint="default"/>
        </w:rPr>
        <w:t>22</w:t>
      </w:r>
      <w:r>
        <w:rPr>
          <w:rFonts w:ascii="Times New Roman" w:hAnsi="Times New Roman" w:cs="Times New Roman" w:eastAsia="Times New Roman" w:hint="default"/>
          <w:spacing w:val="11"/>
        </w:rPr>
        <w:t> </w:t>
      </w:r>
      <w:r>
        <w:rPr/>
        <w:t>日公司第一届董事会第十二次会议审议通过了《关于使 </w:t>
      </w:r>
      <w:r>
        <w:rPr>
          <w:spacing w:val="-7"/>
        </w:rPr>
        <w:t>用募集资金置换先期投入募集资金投资项目的自筹资金的议案》，拟以募集资金置换</w:t>
      </w:r>
      <w:r>
        <w:rPr>
          <w:spacing w:val="-101"/>
        </w:rPr>
        <w:t> </w:t>
      </w:r>
      <w:r>
        <w:rPr>
          <w:spacing w:val="-101"/>
        </w:rPr>
      </w:r>
      <w:r>
        <w:rPr>
          <w:spacing w:val="10"/>
        </w:rPr>
        <w:t>截至 </w:t>
      </w:r>
      <w:r>
        <w:rPr>
          <w:rFonts w:ascii="Times New Roman" w:hAnsi="Times New Roman" w:cs="Times New Roman" w:eastAsia="Times New Roman" w:hint="default"/>
          <w:spacing w:val="-3"/>
        </w:rPr>
        <w:t>2011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31    </w:t>
      </w:r>
      <w:r>
        <w:rPr>
          <w:spacing w:val="21"/>
        </w:rPr>
        <w:t>日止公司以自筹资金预先投入募投项目的资金人民币</w:t>
      </w:r>
      <w:r>
        <w:rPr/>
      </w:r>
    </w:p>
    <w:p>
      <w:pPr>
        <w:pStyle w:val="BodyText"/>
        <w:spacing w:line="240" w:lineRule="auto" w:before="15"/>
        <w:ind w:right="0"/>
        <w:jc w:val="both"/>
      </w:pPr>
      <w:r>
        <w:rPr>
          <w:rFonts w:ascii="Times New Roman" w:hAnsi="Times New Roman" w:cs="Times New Roman" w:eastAsia="Times New Roman" w:hint="default"/>
        </w:rPr>
        <w:t>64,759,485.59 </w:t>
      </w:r>
      <w:r>
        <w:rPr/>
        <w:t>元</w:t>
      </w:r>
      <w:r>
        <w:rPr>
          <w:spacing w:val="-112"/>
        </w:rPr>
        <w:t>，</w:t>
      </w:r>
      <w:r>
        <w:rPr/>
        <w:t>以上事项公司已于</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24 </w:t>
      </w:r>
      <w:r>
        <w:rPr/>
        <w:t>日在深圳证券交易所进行公告。</w:t>
      </w:r>
    </w:p>
    <w:p>
      <w:pPr>
        <w:pStyle w:val="BodyText"/>
        <w:spacing w:line="424" w:lineRule="auto" w:before="134"/>
        <w:ind w:left="580" w:right="114" w:hanging="480"/>
        <w:jc w:val="left"/>
      </w:pPr>
      <w:r>
        <w:rPr/>
        <w:t>截止</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6 </w:t>
      </w:r>
      <w:r>
        <w:rPr/>
        <w:t>月</w:t>
      </w:r>
      <w:r>
        <w:rPr>
          <w:spacing w:val="-60"/>
        </w:rPr>
        <w:t> </w:t>
      </w:r>
      <w:r>
        <w:rPr>
          <w:rFonts w:ascii="Times New Roman" w:hAnsi="Times New Roman" w:cs="Times New Roman" w:eastAsia="Times New Roman" w:hint="default"/>
        </w:rPr>
        <w:t>30 </w:t>
      </w:r>
      <w:r>
        <w:rPr/>
        <w:t>日，公司已办理完募集资金置换手续。</w:t>
      </w:r>
      <w:r>
        <w:rPr>
          <w:spacing w:val="-118"/>
        </w:rPr>
        <w:t> </w:t>
      </w:r>
      <w:r>
        <w:rPr>
          <w:spacing w:val="3"/>
        </w:rPr>
        <w:t>为合理利用超募资金，公司制定了超募资金使用计划：（</w:t>
      </w:r>
      <w:r>
        <w:rPr>
          <w:rFonts w:ascii="Times New Roman" w:hAnsi="Times New Roman" w:cs="Times New Roman" w:eastAsia="Times New Roman" w:hint="default"/>
          <w:spacing w:val="3"/>
        </w:rPr>
        <w:t>1</w:t>
      </w:r>
      <w:r>
        <w:rPr>
          <w:spacing w:val="3"/>
        </w:rPr>
        <w:t>）拟用超募集资金</w:t>
      </w:r>
      <w:r>
        <w:rPr/>
      </w:r>
    </w:p>
    <w:p>
      <w:pPr>
        <w:pStyle w:val="BodyText"/>
        <w:spacing w:line="262" w:lineRule="exact"/>
        <w:ind w:right="0"/>
        <w:jc w:val="both"/>
      </w:pPr>
      <w:r>
        <w:rPr>
          <w:rFonts w:ascii="Times New Roman" w:hAnsi="Times New Roman" w:cs="Times New Roman" w:eastAsia="Times New Roman" w:hint="default"/>
        </w:rPr>
        <w:t>3,012.49 </w:t>
      </w:r>
      <w:r>
        <w:rPr/>
        <w:t>万元追加投资建设超算中</w:t>
      </w:r>
      <w:r>
        <w:rPr>
          <w:spacing w:val="-21"/>
        </w:rPr>
        <w:t>心</w:t>
      </w:r>
      <w:r>
        <w:rPr/>
        <w:t>（云计算</w:t>
      </w:r>
      <w:r>
        <w:rPr>
          <w:spacing w:val="-120"/>
        </w:rPr>
        <w:t>）</w:t>
      </w:r>
      <w:r>
        <w:rPr>
          <w:spacing w:val="-141"/>
        </w:rPr>
        <w:t>；</w:t>
      </w:r>
      <w:r>
        <w:rPr/>
        <w:t>（</w:t>
      </w:r>
      <w:r>
        <w:rPr>
          <w:rFonts w:ascii="Times New Roman" w:hAnsi="Times New Roman" w:cs="Times New Roman" w:eastAsia="Times New Roman" w:hint="default"/>
        </w:rPr>
        <w:t>2</w:t>
      </w:r>
      <w:r>
        <w:rPr>
          <w:spacing w:val="-21"/>
        </w:rPr>
        <w:t>）</w:t>
      </w:r>
      <w:r>
        <w:rPr>
          <w:spacing w:val="1"/>
        </w:rPr>
        <w:t>拟</w:t>
      </w:r>
      <w:r>
        <w:rPr/>
        <w:t>用超募资金</w:t>
      </w:r>
      <w:r>
        <w:rPr>
          <w:spacing w:val="-60"/>
        </w:rPr>
        <w:t> </w:t>
      </w:r>
      <w:r>
        <w:rPr>
          <w:rFonts w:ascii="Times New Roman" w:hAnsi="Times New Roman" w:cs="Times New Roman" w:eastAsia="Times New Roman" w:hint="default"/>
        </w:rPr>
        <w:t>1,363.15 </w:t>
      </w:r>
      <w:r>
        <w:rPr/>
        <w:t>万元投</w:t>
      </w:r>
    </w:p>
    <w:p>
      <w:pPr>
        <w:pStyle w:val="BodyText"/>
        <w:spacing w:line="357" w:lineRule="auto" w:before="134"/>
        <w:ind w:right="239"/>
        <w:jc w:val="both"/>
      </w:pPr>
      <w:r>
        <w:rPr/>
        <w:t>资建设电子数据公证云项目，目前两个项目已经通过董事会审议，并开始实施，相 关信息已在中国证监会指定创业板信息披露网站公告。公司剩余超募资金将主要用 </w:t>
      </w:r>
      <w:r>
        <w:rPr>
          <w:spacing w:val="-7"/>
        </w:rPr>
        <w:t>于以下几方面：（</w:t>
      </w:r>
      <w:r>
        <w:rPr>
          <w:rFonts w:ascii="Times New Roman" w:hAnsi="Times New Roman" w:cs="Times New Roman" w:eastAsia="Times New Roman" w:hint="default"/>
          <w:spacing w:val="-7"/>
        </w:rPr>
        <w:t>1</w:t>
      </w:r>
      <w:r>
        <w:rPr>
          <w:spacing w:val="-7"/>
        </w:rPr>
        <w:t>）购置研发生产办公用房；（</w:t>
      </w:r>
      <w:r>
        <w:rPr>
          <w:rFonts w:ascii="Times New Roman" w:hAnsi="Times New Roman" w:cs="Times New Roman" w:eastAsia="Times New Roman" w:hint="default"/>
          <w:spacing w:val="-7"/>
        </w:rPr>
        <w:t>2</w:t>
      </w:r>
      <w:r>
        <w:rPr>
          <w:spacing w:val="-7"/>
        </w:rPr>
        <w:t>）增加在电子数据取证和网络信息</w:t>
      </w:r>
    </w:p>
    <w:p>
      <w:pPr>
        <w:spacing w:after="0" w:line="357" w:lineRule="auto"/>
        <w:jc w:val="both"/>
        <w:sectPr>
          <w:pgSz w:w="12240" w:h="15840"/>
          <w:pgMar w:header="0" w:footer="688" w:top="1400" w:bottom="900" w:left="1700" w:right="1560"/>
        </w:sectPr>
      </w:pPr>
    </w:p>
    <w:p>
      <w:pPr>
        <w:pStyle w:val="BodyText"/>
        <w:spacing w:line="338" w:lineRule="auto" w:before="1"/>
        <w:ind w:left="160" w:right="140"/>
        <w:jc w:val="left"/>
      </w:pPr>
      <w:r>
        <w:rPr/>
        <w:t>安全产品研发销售方面的投入</w:t>
      </w:r>
      <w:r>
        <w:rPr>
          <w:spacing w:val="-120"/>
        </w:rPr>
        <w:t>；</w:t>
      </w:r>
      <w:r>
        <w:rPr/>
        <w:t>（</w:t>
      </w:r>
      <w:r>
        <w:rPr>
          <w:rFonts w:ascii="Times New Roman" w:hAnsi="Times New Roman" w:cs="Times New Roman" w:eastAsia="Times New Roman" w:hint="default"/>
        </w:rPr>
        <w:t>3</w:t>
      </w:r>
      <w:r>
        <w:rPr/>
        <w:t>）根据公司战略发展目标，适度并购有利于提升 公司综合研发能力和开拓新市场的同行或上下游企业</w:t>
      </w:r>
      <w:r>
        <w:rPr>
          <w:spacing w:val="-120"/>
        </w:rPr>
        <w:t>；</w:t>
      </w:r>
      <w:r>
        <w:rPr/>
        <w:t>（</w:t>
      </w:r>
      <w:r>
        <w:rPr>
          <w:rFonts w:ascii="Times New Roman" w:hAnsi="Times New Roman" w:cs="Times New Roman" w:eastAsia="Times New Roman" w:hint="default"/>
        </w:rPr>
        <w:t>4</w:t>
      </w:r>
      <w:r>
        <w:rPr/>
        <w:t>）补充公司流动资金。</w:t>
      </w:r>
    </w:p>
    <w:p>
      <w:pPr>
        <w:spacing w:line="240" w:lineRule="auto" w:before="1"/>
        <w:rPr>
          <w:rFonts w:ascii="宋体" w:hAnsi="宋体" w:cs="宋体" w:eastAsia="宋体" w:hint="default"/>
          <w:sz w:val="33"/>
          <w:szCs w:val="33"/>
        </w:rPr>
      </w:pPr>
    </w:p>
    <w:p>
      <w:pPr>
        <w:pStyle w:val="Heading3"/>
        <w:spacing w:line="240" w:lineRule="auto"/>
        <w:ind w:left="642" w:right="140"/>
        <w:jc w:val="left"/>
        <w:rPr>
          <w:b w:val="0"/>
          <w:bCs w:val="0"/>
        </w:rPr>
      </w:pPr>
      <w:r>
        <w:rPr/>
        <w:t>（二）主营业务产品和服务情况</w:t>
      </w:r>
      <w:r>
        <w:rPr>
          <w:b w:val="0"/>
          <w:bCs w:val="0"/>
        </w:rPr>
      </w:r>
    </w:p>
    <w:p>
      <w:pPr>
        <w:spacing w:line="240" w:lineRule="auto" w:before="4"/>
        <w:rPr>
          <w:rFonts w:ascii="宋体" w:hAnsi="宋体" w:cs="宋体" w:eastAsia="宋体" w:hint="default"/>
          <w:b/>
          <w:bCs/>
          <w:sz w:val="18"/>
          <w:szCs w:val="18"/>
        </w:rPr>
      </w:pPr>
    </w:p>
    <w:p>
      <w:pPr>
        <w:spacing w:before="0"/>
        <w:ind w:left="642" w:right="14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、主营业务分行业</w:t>
      </w:r>
      <w:r>
        <w:rPr>
          <w:rFonts w:ascii="宋体" w:hAnsi="宋体" w:cs="宋体" w:eastAsia="宋体" w:hint="default"/>
          <w:sz w:val="24"/>
          <w:szCs w:val="24"/>
        </w:rPr>
      </w:r>
    </w:p>
    <w:p>
      <w:pPr>
        <w:spacing w:line="240" w:lineRule="auto" w:before="12"/>
        <w:rPr>
          <w:rFonts w:ascii="宋体" w:hAnsi="宋体" w:cs="宋体" w:eastAsia="宋体" w:hint="default"/>
          <w:b/>
          <w:bCs/>
          <w:sz w:val="28"/>
          <w:szCs w:val="28"/>
        </w:rPr>
      </w:pPr>
    </w:p>
    <w:p>
      <w:pPr>
        <w:spacing w:before="0"/>
        <w:ind w:left="0" w:right="15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27" w:type="dxa"/>
        <w:tblLayout w:type="fixed"/>
        <w:tblCellMar>
          <w:top w:w="0" w:type="dxa"/>
          <w:left w:w="0" w:type="dxa"/>
          <w:bottom w:w="0" w:type="dxa"/>
          <w:right w:w="0" w:type="dxa"/>
        </w:tblCellMar>
        <w:tblLook w:val="01E0"/>
      </w:tblPr>
      <w:tblGrid>
        <w:gridCol w:w="1724"/>
        <w:gridCol w:w="1151"/>
        <w:gridCol w:w="1152"/>
        <w:gridCol w:w="1151"/>
        <w:gridCol w:w="1151"/>
        <w:gridCol w:w="1151"/>
        <w:gridCol w:w="1216"/>
      </w:tblGrid>
      <w:tr>
        <w:trPr>
          <w:trHeight w:val="1069" w:hRule="exact"/>
        </w:trPr>
        <w:tc>
          <w:tcPr>
            <w:tcW w:w="17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1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15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1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15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22" w:right="0"/>
              <w:jc w:val="left"/>
              <w:rPr>
                <w:rFonts w:ascii="Times New Roman" w:hAnsi="Times New Roman" w:cs="Times New Roman" w:eastAsia="Times New Roman" w:hint="default"/>
                <w:sz w:val="21"/>
                <w:szCs w:val="21"/>
              </w:rPr>
            </w:pPr>
            <w:r>
              <w:rPr>
                <w:rFonts w:ascii="宋体" w:hAnsi="宋体" w:cs="宋体" w:eastAsia="宋体" w:hint="default"/>
                <w:spacing w:val="-6"/>
                <w:sz w:val="21"/>
                <w:szCs w:val="21"/>
              </w:rPr>
              <w:t>毛利率（</w:t>
            </w:r>
            <w:r>
              <w:rPr>
                <w:rFonts w:ascii="Times New Roman" w:hAnsi="Times New Roman" w:cs="Times New Roman" w:eastAsia="Times New Roman" w:hint="default"/>
                <w:spacing w:val="-6"/>
                <w:sz w:val="21"/>
                <w:szCs w:val="21"/>
              </w:rPr>
              <w:t>%</w:t>
            </w:r>
          </w:p>
        </w:tc>
        <w:tc>
          <w:tcPr>
            <w:tcW w:w="11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332" w:lineRule="exact"/>
              <w:ind w:left="-139" w:right="0"/>
              <w:jc w:val="left"/>
              <w:rPr>
                <w:rFonts w:ascii="宋体" w:hAnsi="宋体" w:cs="宋体" w:eastAsia="宋体" w:hint="default"/>
                <w:sz w:val="21"/>
                <w:szCs w:val="21"/>
              </w:rPr>
            </w:pPr>
            <w:r>
              <w:rPr>
                <w:rFonts w:ascii="宋体" w:hAnsi="宋体" w:cs="宋体" w:eastAsia="宋体" w:hint="default"/>
                <w:position w:val="-11"/>
                <w:sz w:val="21"/>
                <w:szCs w:val="21"/>
              </w:rPr>
              <w:t>）</w:t>
            </w:r>
            <w:r>
              <w:rPr>
                <w:rFonts w:ascii="宋体" w:hAnsi="宋体" w:cs="宋体" w:eastAsia="宋体" w:hint="default"/>
                <w:spacing w:val="-27"/>
                <w:position w:val="-11"/>
                <w:sz w:val="21"/>
                <w:szCs w:val="21"/>
              </w:rPr>
              <w:t> </w:t>
            </w:r>
            <w:r>
              <w:rPr>
                <w:rFonts w:ascii="宋体" w:hAnsi="宋体" w:cs="宋体" w:eastAsia="宋体" w:hint="default"/>
                <w:sz w:val="21"/>
                <w:szCs w:val="21"/>
              </w:rPr>
              <w:t>上年增减</w:t>
            </w:r>
          </w:p>
          <w:p>
            <w:pPr>
              <w:pStyle w:val="TableParagraph"/>
              <w:spacing w:line="229" w:lineRule="exact"/>
              <w:ind w:right="1"/>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112"/>
              <w:ind w:left="45" w:right="43"/>
              <w:jc w:val="center"/>
              <w:rPr>
                <w:rFonts w:ascii="宋体" w:hAnsi="宋体" w:cs="宋体" w:eastAsia="宋体" w:hint="default"/>
                <w:sz w:val="21"/>
                <w:szCs w:val="21"/>
              </w:rPr>
            </w:pPr>
            <w:r>
              <w:rPr>
                <w:rFonts w:ascii="宋体" w:hAnsi="宋体" w:cs="宋体" w:eastAsia="宋体" w:hint="default"/>
                <w:sz w:val="21"/>
                <w:szCs w:val="21"/>
              </w:rPr>
              <w:t>营业成本比 上年增减</w:t>
            </w:r>
          </w:p>
          <w:p>
            <w:pPr>
              <w:pStyle w:val="TableParagraph"/>
              <w:spacing w:line="263" w:lineRule="exact"/>
              <w:ind w:right="1"/>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2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9"/>
                <w:szCs w:val="19"/>
              </w:rPr>
            </w:pPr>
          </w:p>
          <w:p>
            <w:pPr>
              <w:pStyle w:val="TableParagraph"/>
              <w:spacing w:line="272" w:lineRule="exact"/>
              <w:ind w:left="22" w:right="-42" w:firstLine="55"/>
              <w:jc w:val="left"/>
              <w:rPr>
                <w:rFonts w:ascii="宋体" w:hAnsi="宋体" w:cs="宋体" w:eastAsia="宋体" w:hint="default"/>
                <w:sz w:val="21"/>
                <w:szCs w:val="21"/>
              </w:rPr>
            </w:pPr>
            <w:r>
              <w:rPr>
                <w:rFonts w:ascii="宋体" w:hAnsi="宋体" w:cs="宋体" w:eastAsia="宋体" w:hint="default"/>
                <w:sz w:val="21"/>
                <w:szCs w:val="21"/>
              </w:rPr>
              <w:t>毛利率比上 年增减（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司法机关</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18,123.38</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6,765.43</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62.67%</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28.53%</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10.96%</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5.91%</w:t>
            </w:r>
          </w:p>
        </w:tc>
      </w:tr>
      <w:tr>
        <w:trPr>
          <w:trHeight w:val="4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行政执法部门</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1,325.61</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451.90</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65.91%</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2"/>
                <w:sz w:val="21"/>
              </w:rPr>
              <w:t>51.11%</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61.20%</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-2.13%</w:t>
            </w:r>
          </w:p>
        </w:tc>
      </w:tr>
      <w:tr>
        <w:trPr>
          <w:trHeight w:val="4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企业单位</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4,452.42</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1,522.02</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8"/>
              <w:jc w:val="right"/>
              <w:rPr>
                <w:rFonts w:ascii="Times New Roman" w:hAnsi="Times New Roman" w:cs="Times New Roman" w:eastAsia="Times New Roman" w:hint="default"/>
                <w:sz w:val="21"/>
                <w:szCs w:val="21"/>
              </w:rPr>
            </w:pPr>
            <w:r>
              <w:rPr>
                <w:rFonts w:ascii="Times New Roman"/>
                <w:spacing w:val="-1"/>
                <w:sz w:val="21"/>
              </w:rPr>
              <w:t>65.82%</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8"/>
              <w:jc w:val="right"/>
              <w:rPr>
                <w:rFonts w:ascii="Times New Roman" w:hAnsi="Times New Roman" w:cs="Times New Roman" w:eastAsia="Times New Roman" w:hint="default"/>
                <w:sz w:val="21"/>
                <w:szCs w:val="21"/>
              </w:rPr>
            </w:pPr>
            <w:r>
              <w:rPr>
                <w:rFonts w:ascii="Times New Roman"/>
                <w:spacing w:val="-1"/>
                <w:sz w:val="21"/>
              </w:rPr>
              <w:t>90.28%</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8"/>
              <w:jc w:val="right"/>
              <w:rPr>
                <w:rFonts w:ascii="Times New Roman" w:hAnsi="Times New Roman" w:cs="Times New Roman" w:eastAsia="Times New Roman" w:hint="default"/>
                <w:sz w:val="21"/>
                <w:szCs w:val="21"/>
              </w:rPr>
            </w:pPr>
            <w:r>
              <w:rPr>
                <w:rFonts w:ascii="Times New Roman"/>
                <w:spacing w:val="-1"/>
                <w:sz w:val="21"/>
              </w:rPr>
              <w:t>37.09%</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8"/>
              <w:jc w:val="right"/>
              <w:rPr>
                <w:rFonts w:ascii="Times New Roman" w:hAnsi="Times New Roman" w:cs="Times New Roman" w:eastAsia="Times New Roman" w:hint="default"/>
                <w:sz w:val="21"/>
                <w:szCs w:val="21"/>
              </w:rPr>
            </w:pPr>
            <w:r>
              <w:rPr>
                <w:rFonts w:ascii="Times New Roman"/>
                <w:spacing w:val="-1"/>
                <w:sz w:val="21"/>
              </w:rPr>
              <w:t>13.26%</w:t>
            </w:r>
          </w:p>
        </w:tc>
      </w:tr>
      <w:tr>
        <w:trPr>
          <w:trHeight w:val="4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部队</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369.36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151.87</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58.88%</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10.44%</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-28.27%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22.18%</w:t>
            </w:r>
          </w:p>
        </w:tc>
      </w:tr>
      <w:tr>
        <w:trPr>
          <w:trHeight w:val="4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2,580.79</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915.95</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64.51%</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124.94%</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2"/>
                <w:sz w:val="21"/>
              </w:rPr>
              <w:t>114.47%</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1.73%</w:t>
            </w:r>
          </w:p>
        </w:tc>
      </w:tr>
      <w:tr>
        <w:trPr>
          <w:trHeight w:val="40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left="22" w:right="0"/>
              <w:jc w:val="left"/>
              <w:rPr>
                <w:rFonts w:ascii="宋体" w:hAnsi="宋体" w:cs="宋体" w:eastAsia="宋体" w:hint="default"/>
                <w:sz w:val="21"/>
                <w:szCs w:val="21"/>
              </w:rPr>
            </w:pPr>
            <w:r>
              <w:rPr>
                <w:rFonts w:ascii="宋体" w:hAnsi="宋体" w:cs="宋体" w:eastAsia="宋体" w:hint="default"/>
                <w:sz w:val="21"/>
                <w:szCs w:val="21"/>
              </w:rPr>
              <w:t>总计</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26,851.56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21"/>
                <w:szCs w:val="21"/>
              </w:rPr>
            </w:pPr>
            <w:r>
              <w:rPr>
                <w:rFonts w:ascii="Times New Roman"/>
                <w:spacing w:val="-1"/>
                <w:sz w:val="21"/>
              </w:rPr>
              <w:t>9,807.17</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63.48%</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42.83%</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9"/>
              <w:jc w:val="right"/>
              <w:rPr>
                <w:rFonts w:ascii="Times New Roman" w:hAnsi="Times New Roman" w:cs="Times New Roman" w:eastAsia="Times New Roman" w:hint="default"/>
                <w:sz w:val="21"/>
                <w:szCs w:val="21"/>
              </w:rPr>
            </w:pPr>
            <w:r>
              <w:rPr>
                <w:rFonts w:ascii="Times New Roman"/>
                <w:spacing w:val="-1"/>
                <w:sz w:val="21"/>
              </w:rPr>
              <w:t>20.68%</w:t>
            </w:r>
          </w:p>
        </w:tc>
        <w:tc>
          <w:tcPr>
            <w:tcW w:w="1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20"/>
              <w:jc w:val="right"/>
              <w:rPr>
                <w:rFonts w:ascii="Times New Roman" w:hAnsi="Times New Roman" w:cs="Times New Roman" w:eastAsia="Times New Roman" w:hint="default"/>
                <w:sz w:val="21"/>
                <w:szCs w:val="21"/>
              </w:rPr>
            </w:pPr>
            <w:r>
              <w:rPr>
                <w:rFonts w:ascii="Times New Roman"/>
                <w:spacing w:val="-1"/>
                <w:sz w:val="21"/>
              </w:rPr>
              <w:t>6.70%</w:t>
            </w:r>
          </w:p>
        </w:tc>
      </w:tr>
    </w:tbl>
    <w:p>
      <w:pPr>
        <w:pStyle w:val="BodyText"/>
        <w:spacing w:line="350" w:lineRule="auto" w:before="81"/>
        <w:ind w:left="159" w:right="159"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spacing w:val="-2"/>
        </w:rPr>
        <w:t>年，公司加强的市场开拓力度，发展代理商体系，加强营销渠道建设。同</w:t>
      </w:r>
      <w:r>
        <w:rPr/>
        <w:t> 时加强研发投入力度，针对不同行业特点研发了不同产品，使得公司在传统的司法 机关和行政执法机关保持较快增长的同时，企业单位等其他行业的收入也取得了较 大的增长。</w:t>
      </w:r>
    </w:p>
    <w:p>
      <w:pPr>
        <w:spacing w:line="240" w:lineRule="auto" w:before="8"/>
        <w:rPr>
          <w:rFonts w:ascii="宋体" w:hAnsi="宋体" w:cs="宋体" w:eastAsia="宋体" w:hint="default"/>
          <w:sz w:val="21"/>
          <w:szCs w:val="21"/>
        </w:rPr>
      </w:pPr>
    </w:p>
    <w:p>
      <w:pPr>
        <w:pStyle w:val="Heading3"/>
        <w:spacing w:line="240" w:lineRule="auto"/>
        <w:ind w:left="642" w:right="140"/>
        <w:jc w:val="left"/>
        <w:rPr>
          <w:b w:val="0"/>
          <w:bCs w:val="0"/>
        </w:rPr>
      </w:pPr>
      <w:r>
        <w:rPr>
          <w:rFonts w:ascii="Times New Roman" w:hAnsi="Times New Roman" w:cs="Times New Roman" w:eastAsia="Times New Roman" w:hint="default"/>
        </w:rPr>
        <w:t>2</w:t>
      </w:r>
      <w:r>
        <w:rPr/>
        <w:t>、主营业务分产品</w:t>
      </w:r>
      <w:r>
        <w:rPr>
          <w:b w:val="0"/>
          <w:bCs w:val="0"/>
        </w:rPr>
      </w:r>
    </w:p>
    <w:p>
      <w:pPr>
        <w:spacing w:line="240" w:lineRule="auto" w:before="12"/>
        <w:rPr>
          <w:rFonts w:ascii="宋体" w:hAnsi="宋体" w:cs="宋体" w:eastAsia="宋体" w:hint="default"/>
          <w:b/>
          <w:bCs/>
          <w:sz w:val="28"/>
          <w:szCs w:val="28"/>
        </w:rPr>
      </w:pPr>
    </w:p>
    <w:p>
      <w:pPr>
        <w:spacing w:before="0"/>
        <w:ind w:left="0" w:right="15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796"/>
        <w:gridCol w:w="1151"/>
        <w:gridCol w:w="1150"/>
        <w:gridCol w:w="1150"/>
        <w:gridCol w:w="1151"/>
        <w:gridCol w:w="1150"/>
        <w:gridCol w:w="1149"/>
      </w:tblGrid>
      <w:tr>
        <w:trPr>
          <w:trHeight w:val="837" w:hRule="exact"/>
        </w:trPr>
        <w:tc>
          <w:tcPr>
            <w:tcW w:w="1796" w:type="dxa"/>
            <w:tcBorders>
              <w:top w:val="single" w:sz="12" w:space="0" w:color="000000"/>
              <w:left w:val="single" w:sz="12"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分产品或服务</w:t>
            </w:r>
          </w:p>
        </w:tc>
        <w:tc>
          <w:tcPr>
            <w:tcW w:w="1151"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150"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4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50"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97"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毛利率</w:t>
            </w:r>
            <w:r>
              <w:rPr>
                <w:rFonts w:ascii="Times New Roman" w:hAnsi="Times New Roman" w:cs="Times New Roman" w:eastAsia="Times New Roman" w:hint="default"/>
                <w:sz w:val="21"/>
                <w:szCs w:val="21"/>
              </w:rPr>
              <w:t>(%)</w:t>
            </w:r>
          </w:p>
        </w:tc>
        <w:tc>
          <w:tcPr>
            <w:tcW w:w="1151"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5" w:right="0"/>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272" w:lineRule="exact" w:before="26"/>
              <w:ind w:left="167" w:right="43" w:hanging="123"/>
              <w:jc w:val="left"/>
              <w:rPr>
                <w:rFonts w:ascii="宋体" w:hAnsi="宋体" w:cs="宋体" w:eastAsia="宋体" w:hint="default"/>
                <w:sz w:val="21"/>
                <w:szCs w:val="21"/>
              </w:rPr>
            </w:pPr>
            <w:r>
              <w:rPr>
                <w:rFonts w:ascii="宋体" w:hAnsi="宋体" w:cs="宋体" w:eastAsia="宋体" w:hint="default"/>
                <w:sz w:val="21"/>
                <w:szCs w:val="21"/>
              </w:rPr>
              <w:t>上年同期增 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50"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44" w:right="0"/>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272" w:lineRule="exact" w:before="26"/>
              <w:ind w:left="166" w:right="43" w:hanging="123"/>
              <w:jc w:val="left"/>
              <w:rPr>
                <w:rFonts w:ascii="宋体" w:hAnsi="宋体" w:cs="宋体" w:eastAsia="宋体" w:hint="default"/>
                <w:sz w:val="21"/>
                <w:szCs w:val="21"/>
              </w:rPr>
            </w:pPr>
            <w:r>
              <w:rPr>
                <w:rFonts w:ascii="宋体" w:hAnsi="宋体" w:cs="宋体" w:eastAsia="宋体" w:hint="default"/>
                <w:sz w:val="21"/>
                <w:szCs w:val="21"/>
              </w:rPr>
              <w:t>上年同期增 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49" w:type="dxa"/>
            <w:tcBorders>
              <w:top w:val="single" w:sz="12" w:space="0" w:color="000000"/>
              <w:left w:val="single" w:sz="4" w:space="0" w:color="000000"/>
              <w:bottom w:val="single" w:sz="4" w:space="0" w:color="000000"/>
              <w:right w:val="single" w:sz="12" w:space="0" w:color="000000"/>
            </w:tcBorders>
            <w:shd w:val="clear" w:color="auto" w:fill="DCDCDC"/>
          </w:tcPr>
          <w:p>
            <w:pPr>
              <w:pStyle w:val="TableParagraph"/>
              <w:spacing w:line="238" w:lineRule="exact"/>
              <w:ind w:left="9" w:right="0"/>
              <w:jc w:val="center"/>
              <w:rPr>
                <w:rFonts w:ascii="宋体" w:hAnsi="宋体" w:cs="宋体" w:eastAsia="宋体" w:hint="default"/>
                <w:sz w:val="21"/>
                <w:szCs w:val="21"/>
              </w:rPr>
            </w:pPr>
            <w:r>
              <w:rPr>
                <w:rFonts w:ascii="宋体" w:hAnsi="宋体" w:cs="宋体" w:eastAsia="宋体" w:hint="default"/>
                <w:sz w:val="21"/>
                <w:szCs w:val="21"/>
              </w:rPr>
              <w:t>毛利率比上</w:t>
            </w:r>
          </w:p>
          <w:p>
            <w:pPr>
              <w:pStyle w:val="TableParagraph"/>
              <w:spacing w:line="272" w:lineRule="exact"/>
              <w:ind w:left="9" w:right="0"/>
              <w:jc w:val="center"/>
              <w:rPr>
                <w:rFonts w:ascii="宋体" w:hAnsi="宋体" w:cs="宋体" w:eastAsia="宋体" w:hint="default"/>
                <w:sz w:val="21"/>
                <w:szCs w:val="21"/>
              </w:rPr>
            </w:pPr>
            <w:r>
              <w:rPr>
                <w:rFonts w:ascii="宋体" w:hAnsi="宋体" w:cs="宋体" w:eastAsia="宋体" w:hint="default"/>
                <w:sz w:val="21"/>
                <w:szCs w:val="21"/>
              </w:rPr>
              <w:t>年同期增减</w:t>
            </w:r>
          </w:p>
          <w:p>
            <w:pPr>
              <w:pStyle w:val="TableParagraph"/>
              <w:spacing w:line="289" w:lineRule="exact"/>
              <w:ind w:left="10"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22" w:hRule="exact"/>
        </w:trPr>
        <w:tc>
          <w:tcPr>
            <w:tcW w:w="17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4"/>
              <w:ind w:right="67"/>
              <w:jc w:val="center"/>
              <w:rPr>
                <w:rFonts w:ascii="宋体" w:hAnsi="宋体" w:cs="宋体" w:eastAsia="宋体" w:hint="default"/>
                <w:sz w:val="21"/>
                <w:szCs w:val="21"/>
              </w:rPr>
            </w:pPr>
            <w:r>
              <w:rPr>
                <w:rFonts w:ascii="宋体" w:hAnsi="宋体" w:cs="宋体" w:eastAsia="宋体" w:hint="default"/>
                <w:sz w:val="21"/>
                <w:szCs w:val="21"/>
              </w:rPr>
              <w:t>电子数据取证产品</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9"/>
              <w:jc w:val="right"/>
              <w:rPr>
                <w:rFonts w:ascii="Times New Roman" w:hAnsi="Times New Roman" w:cs="Times New Roman" w:eastAsia="Times New Roman" w:hint="default"/>
                <w:sz w:val="21"/>
                <w:szCs w:val="21"/>
              </w:rPr>
            </w:pPr>
            <w:r>
              <w:rPr>
                <w:rFonts w:ascii="Times New Roman"/>
                <w:spacing w:val="-1"/>
                <w:sz w:val="21"/>
              </w:rPr>
              <w:t>20,332.50</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1"/>
              <w:jc w:val="right"/>
              <w:rPr>
                <w:rFonts w:ascii="Times New Roman" w:hAnsi="Times New Roman" w:cs="Times New Roman" w:eastAsia="Times New Roman" w:hint="default"/>
                <w:sz w:val="21"/>
                <w:szCs w:val="21"/>
              </w:rPr>
            </w:pPr>
            <w:r>
              <w:rPr>
                <w:rFonts w:ascii="Times New Roman"/>
                <w:spacing w:val="-1"/>
                <w:sz w:val="21"/>
              </w:rPr>
              <w:t>7,431.38</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9"/>
              <w:jc w:val="right"/>
              <w:rPr>
                <w:rFonts w:ascii="Times New Roman" w:hAnsi="Times New Roman" w:cs="Times New Roman" w:eastAsia="Times New Roman" w:hint="default"/>
                <w:sz w:val="21"/>
                <w:szCs w:val="21"/>
              </w:rPr>
            </w:pPr>
            <w:r>
              <w:rPr>
                <w:rFonts w:ascii="Times New Roman"/>
                <w:spacing w:val="-1"/>
                <w:sz w:val="21"/>
              </w:rPr>
              <w:t>63.45%</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9"/>
              <w:jc w:val="right"/>
              <w:rPr>
                <w:rFonts w:ascii="Times New Roman" w:hAnsi="Times New Roman" w:cs="Times New Roman" w:eastAsia="Times New Roman" w:hint="default"/>
                <w:sz w:val="21"/>
                <w:szCs w:val="21"/>
              </w:rPr>
            </w:pPr>
            <w:r>
              <w:rPr>
                <w:rFonts w:ascii="Times New Roman"/>
                <w:spacing w:val="-1"/>
                <w:sz w:val="21"/>
              </w:rPr>
              <w:t>56.89%</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0"/>
              <w:jc w:val="right"/>
              <w:rPr>
                <w:rFonts w:ascii="Times New Roman" w:hAnsi="Times New Roman" w:cs="Times New Roman" w:eastAsia="Times New Roman" w:hint="default"/>
                <w:sz w:val="21"/>
                <w:szCs w:val="21"/>
              </w:rPr>
            </w:pPr>
            <w:r>
              <w:rPr>
                <w:rFonts w:ascii="Times New Roman"/>
                <w:spacing w:val="-1"/>
                <w:sz w:val="21"/>
              </w:rPr>
              <w:t>2.04%</w:t>
            </w:r>
          </w:p>
        </w:tc>
        <w:tc>
          <w:tcPr>
            <w:tcW w:w="11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4"/>
              <w:ind w:right="8"/>
              <w:jc w:val="right"/>
              <w:rPr>
                <w:rFonts w:ascii="Times New Roman" w:hAnsi="Times New Roman" w:cs="Times New Roman" w:eastAsia="Times New Roman" w:hint="default"/>
                <w:sz w:val="21"/>
                <w:szCs w:val="21"/>
              </w:rPr>
            </w:pPr>
            <w:r>
              <w:rPr>
                <w:rFonts w:ascii="Times New Roman"/>
                <w:spacing w:val="-1"/>
                <w:sz w:val="21"/>
              </w:rPr>
              <w:t>19.64%</w:t>
            </w:r>
          </w:p>
        </w:tc>
      </w:tr>
      <w:tr>
        <w:trPr>
          <w:trHeight w:val="523" w:hRule="exact"/>
        </w:trPr>
        <w:tc>
          <w:tcPr>
            <w:tcW w:w="1796"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4"/>
              <w:ind w:right="67"/>
              <w:jc w:val="center"/>
              <w:rPr>
                <w:rFonts w:ascii="宋体" w:hAnsi="宋体" w:cs="宋体" w:eastAsia="宋体" w:hint="default"/>
                <w:sz w:val="21"/>
                <w:szCs w:val="21"/>
              </w:rPr>
            </w:pPr>
            <w:r>
              <w:rPr>
                <w:rFonts w:ascii="宋体" w:hAnsi="宋体" w:cs="宋体" w:eastAsia="宋体" w:hint="default"/>
                <w:sz w:val="21"/>
                <w:szCs w:val="21"/>
              </w:rPr>
              <w:t>网络信息安全产品</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2"/>
              <w:jc w:val="right"/>
              <w:rPr>
                <w:rFonts w:ascii="Times New Roman" w:hAnsi="Times New Roman" w:cs="Times New Roman" w:eastAsia="Times New Roman" w:hint="default"/>
                <w:sz w:val="21"/>
                <w:szCs w:val="21"/>
              </w:rPr>
            </w:pPr>
            <w:r>
              <w:rPr>
                <w:rFonts w:ascii="Times New Roman"/>
                <w:spacing w:val="-1"/>
                <w:sz w:val="21"/>
              </w:rPr>
              <w:t>4,183.21</w:t>
            </w:r>
            <w:r>
              <w:rPr>
                <w:rFonts w:ascii="Times New Roman"/>
                <w:sz w:val="21"/>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2"/>
              <w:jc w:val="right"/>
              <w:rPr>
                <w:rFonts w:ascii="Times New Roman" w:hAnsi="Times New Roman" w:cs="Times New Roman" w:eastAsia="Times New Roman" w:hint="default"/>
                <w:sz w:val="21"/>
                <w:szCs w:val="21"/>
              </w:rPr>
            </w:pPr>
            <w:r>
              <w:rPr>
                <w:rFonts w:ascii="Times New Roman"/>
                <w:spacing w:val="-1"/>
                <w:sz w:val="21"/>
              </w:rPr>
              <w:t>1,693.47</w:t>
            </w:r>
            <w:r>
              <w:rPr>
                <w:rFonts w:ascii="Times New Roman"/>
                <w:sz w:val="21"/>
              </w:rPr>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0"/>
              <w:jc w:val="right"/>
              <w:rPr>
                <w:rFonts w:ascii="Times New Roman" w:hAnsi="Times New Roman" w:cs="Times New Roman" w:eastAsia="Times New Roman" w:hint="default"/>
                <w:sz w:val="21"/>
                <w:szCs w:val="21"/>
              </w:rPr>
            </w:pPr>
            <w:r>
              <w:rPr>
                <w:rFonts w:ascii="Times New Roman"/>
                <w:spacing w:val="-1"/>
                <w:sz w:val="21"/>
              </w:rPr>
              <w:t>59.52%</w:t>
            </w:r>
          </w:p>
        </w:tc>
        <w:tc>
          <w:tcPr>
            <w:tcW w:w="1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19"/>
              <w:jc w:val="right"/>
              <w:rPr>
                <w:rFonts w:ascii="Times New Roman" w:hAnsi="Times New Roman" w:cs="Times New Roman" w:eastAsia="Times New Roman" w:hint="default"/>
                <w:sz w:val="21"/>
                <w:szCs w:val="21"/>
              </w:rPr>
            </w:pPr>
            <w:r>
              <w:rPr>
                <w:rFonts w:ascii="Times New Roman"/>
                <w:spacing w:val="-1"/>
                <w:sz w:val="21"/>
              </w:rPr>
              <w:t>26.45%</w:t>
            </w:r>
          </w:p>
        </w:tc>
        <w:tc>
          <w:tcPr>
            <w:tcW w:w="11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20"/>
              <w:jc w:val="right"/>
              <w:rPr>
                <w:rFonts w:ascii="Times New Roman" w:hAnsi="Times New Roman" w:cs="Times New Roman" w:eastAsia="Times New Roman" w:hint="default"/>
                <w:sz w:val="21"/>
                <w:szCs w:val="21"/>
              </w:rPr>
            </w:pPr>
            <w:r>
              <w:rPr>
                <w:rFonts w:ascii="Times New Roman"/>
                <w:spacing w:val="-1"/>
                <w:sz w:val="21"/>
              </w:rPr>
              <w:t>492.33%</w:t>
            </w:r>
          </w:p>
        </w:tc>
        <w:tc>
          <w:tcPr>
            <w:tcW w:w="114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4"/>
              <w:ind w:right="10"/>
              <w:jc w:val="right"/>
              <w:rPr>
                <w:rFonts w:ascii="Times New Roman" w:hAnsi="Times New Roman" w:cs="Times New Roman" w:eastAsia="Times New Roman" w:hint="default"/>
                <w:sz w:val="21"/>
                <w:szCs w:val="21"/>
              </w:rPr>
            </w:pPr>
            <w:r>
              <w:rPr>
                <w:rFonts w:ascii="Times New Roman"/>
                <w:spacing w:val="-1"/>
                <w:sz w:val="21"/>
              </w:rPr>
              <w:t>-31.84%</w:t>
            </w:r>
          </w:p>
        </w:tc>
      </w:tr>
      <w:tr>
        <w:trPr>
          <w:trHeight w:val="1077" w:hRule="exact"/>
        </w:trPr>
        <w:tc>
          <w:tcPr>
            <w:tcW w:w="1796" w:type="dxa"/>
            <w:tcBorders>
              <w:top w:val="single" w:sz="4" w:space="0" w:color="000000"/>
              <w:left w:val="single" w:sz="12" w:space="0" w:color="000000"/>
              <w:bottom w:val="single" w:sz="12" w:space="0" w:color="000000"/>
              <w:right w:val="single" w:sz="4" w:space="0" w:color="000000"/>
            </w:tcBorders>
          </w:tcPr>
          <w:p>
            <w:pPr>
              <w:pStyle w:val="TableParagraph"/>
              <w:spacing w:line="272" w:lineRule="exact" w:before="112"/>
              <w:ind w:left="13" w:right="80"/>
              <w:jc w:val="both"/>
              <w:rPr>
                <w:rFonts w:ascii="宋体" w:hAnsi="宋体" w:cs="宋体" w:eastAsia="宋体" w:hint="default"/>
                <w:sz w:val="21"/>
                <w:szCs w:val="21"/>
              </w:rPr>
            </w:pPr>
            <w:r>
              <w:rPr>
                <w:rFonts w:ascii="宋体" w:hAnsi="宋体" w:cs="宋体" w:eastAsia="宋体" w:hint="default"/>
                <w:sz w:val="21"/>
                <w:szCs w:val="21"/>
              </w:rPr>
              <w:t>电子数据鉴定、互 联网数字知识产权 保护等服务</w:t>
            </w:r>
          </w:p>
        </w:tc>
        <w:tc>
          <w:tcPr>
            <w:tcW w:w="11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2,335.85</w:t>
            </w:r>
          </w:p>
        </w:tc>
        <w:tc>
          <w:tcPr>
            <w:tcW w:w="11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spacing w:val="-1"/>
                <w:sz w:val="21"/>
              </w:rPr>
              <w:t>682.32</w:t>
            </w:r>
          </w:p>
        </w:tc>
        <w:tc>
          <w:tcPr>
            <w:tcW w:w="11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pacing w:val="-1"/>
                <w:sz w:val="21"/>
              </w:rPr>
              <w:t>70.79%</w:t>
            </w:r>
          </w:p>
        </w:tc>
        <w:tc>
          <w:tcPr>
            <w:tcW w:w="11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21"/>
              <w:jc w:val="right"/>
              <w:rPr>
                <w:rFonts w:ascii="Times New Roman" w:hAnsi="Times New Roman" w:cs="Times New Roman" w:eastAsia="Times New Roman" w:hint="default"/>
                <w:sz w:val="21"/>
                <w:szCs w:val="21"/>
              </w:rPr>
            </w:pPr>
            <w:r>
              <w:rPr>
                <w:rFonts w:ascii="Times New Roman"/>
                <w:w w:val="95"/>
                <w:sz w:val="21"/>
              </w:rPr>
              <w:t>-7.72%</w:t>
            </w:r>
            <w:r>
              <w:rPr>
                <w:rFonts w:ascii="Times New Roman"/>
                <w:sz w:val="21"/>
              </w:rPr>
            </w:r>
          </w:p>
        </w:tc>
        <w:tc>
          <w:tcPr>
            <w:tcW w:w="11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8"/>
              <w:jc w:val="right"/>
              <w:rPr>
                <w:rFonts w:ascii="Times New Roman" w:hAnsi="Times New Roman" w:cs="Times New Roman" w:eastAsia="Times New Roman" w:hint="default"/>
                <w:sz w:val="21"/>
                <w:szCs w:val="21"/>
              </w:rPr>
            </w:pPr>
            <w:r>
              <w:rPr>
                <w:rFonts w:ascii="Times New Roman"/>
                <w:spacing w:val="-1"/>
                <w:sz w:val="21"/>
              </w:rPr>
              <w:t>22.29%</w:t>
            </w:r>
          </w:p>
        </w:tc>
        <w:tc>
          <w:tcPr>
            <w:tcW w:w="114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0"/>
              <w:jc w:val="right"/>
              <w:rPr>
                <w:rFonts w:ascii="Times New Roman" w:hAnsi="Times New Roman" w:cs="Times New Roman" w:eastAsia="Times New Roman" w:hint="default"/>
                <w:sz w:val="21"/>
                <w:szCs w:val="21"/>
              </w:rPr>
            </w:pPr>
            <w:r>
              <w:rPr>
                <w:rFonts w:ascii="Times New Roman"/>
                <w:w w:val="95"/>
                <w:sz w:val="21"/>
              </w:rPr>
              <w:t>-7.17%</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400" w:bottom="900" w:left="1640" w:right="1640"/>
        </w:sectPr>
      </w:pPr>
    </w:p>
    <w:p>
      <w:pPr>
        <w:spacing w:line="240" w:lineRule="auto" w:before="1"/>
        <w:rPr>
          <w:rFonts w:ascii="宋体" w:hAnsi="宋体" w:cs="宋体" w:eastAsia="宋体" w:hint="default"/>
          <w:sz w:val="6"/>
          <w:szCs w:val="6"/>
        </w:rPr>
      </w:pPr>
    </w:p>
    <w:tbl>
      <w:tblPr>
        <w:tblW w:w="0" w:type="auto"/>
        <w:jc w:val="left"/>
        <w:tblInd w:w="196" w:type="dxa"/>
        <w:tblLayout w:type="fixed"/>
        <w:tblCellMar>
          <w:top w:w="0" w:type="dxa"/>
          <w:left w:w="0" w:type="dxa"/>
          <w:bottom w:w="0" w:type="dxa"/>
          <w:right w:w="0" w:type="dxa"/>
        </w:tblCellMar>
        <w:tblLook w:val="01E0"/>
      </w:tblPr>
      <w:tblGrid>
        <w:gridCol w:w="1796"/>
        <w:gridCol w:w="1151"/>
        <w:gridCol w:w="1150"/>
        <w:gridCol w:w="1150"/>
        <w:gridCol w:w="1151"/>
        <w:gridCol w:w="1150"/>
        <w:gridCol w:w="1149"/>
      </w:tblGrid>
      <w:tr>
        <w:trPr>
          <w:trHeight w:val="542" w:hRule="exact"/>
        </w:trPr>
        <w:tc>
          <w:tcPr>
            <w:tcW w:w="1796"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84"/>
              <w:ind w:left="1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5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34"/>
              <w:ind w:left="278" w:right="0"/>
              <w:jc w:val="left"/>
              <w:rPr>
                <w:rFonts w:ascii="Times New Roman" w:hAnsi="Times New Roman" w:cs="Times New Roman" w:eastAsia="Times New Roman" w:hint="default"/>
                <w:sz w:val="21"/>
                <w:szCs w:val="21"/>
              </w:rPr>
            </w:pPr>
            <w:r>
              <w:rPr>
                <w:rFonts w:ascii="Times New Roman"/>
                <w:sz w:val="21"/>
              </w:rPr>
              <w:t>26,851.56</w:t>
            </w:r>
          </w:p>
        </w:tc>
        <w:tc>
          <w:tcPr>
            <w:tcW w:w="115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34"/>
              <w:ind w:left="381" w:right="0"/>
              <w:jc w:val="left"/>
              <w:rPr>
                <w:rFonts w:ascii="Times New Roman" w:hAnsi="Times New Roman" w:cs="Times New Roman" w:eastAsia="Times New Roman" w:hint="default"/>
                <w:sz w:val="21"/>
                <w:szCs w:val="21"/>
              </w:rPr>
            </w:pPr>
            <w:r>
              <w:rPr>
                <w:rFonts w:ascii="Times New Roman"/>
                <w:sz w:val="21"/>
              </w:rPr>
              <w:t>9,807.17</w:t>
            </w:r>
          </w:p>
        </w:tc>
        <w:tc>
          <w:tcPr>
            <w:tcW w:w="115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34"/>
              <w:ind w:left="469" w:right="0"/>
              <w:jc w:val="left"/>
              <w:rPr>
                <w:rFonts w:ascii="Times New Roman" w:hAnsi="Times New Roman" w:cs="Times New Roman" w:eastAsia="Times New Roman" w:hint="default"/>
                <w:sz w:val="21"/>
                <w:szCs w:val="21"/>
              </w:rPr>
            </w:pPr>
            <w:r>
              <w:rPr>
                <w:rFonts w:ascii="Times New Roman"/>
                <w:sz w:val="21"/>
              </w:rPr>
              <w:t>63.48%</w:t>
            </w:r>
          </w:p>
        </w:tc>
        <w:tc>
          <w:tcPr>
            <w:tcW w:w="115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34"/>
              <w:ind w:left="470" w:right="0"/>
              <w:jc w:val="left"/>
              <w:rPr>
                <w:rFonts w:ascii="Times New Roman" w:hAnsi="Times New Roman" w:cs="Times New Roman" w:eastAsia="Times New Roman" w:hint="default"/>
                <w:sz w:val="21"/>
                <w:szCs w:val="21"/>
              </w:rPr>
            </w:pPr>
            <w:r>
              <w:rPr>
                <w:rFonts w:ascii="Times New Roman"/>
                <w:sz w:val="21"/>
              </w:rPr>
              <w:t>42.83%</w:t>
            </w:r>
          </w:p>
        </w:tc>
        <w:tc>
          <w:tcPr>
            <w:tcW w:w="115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34"/>
              <w:ind w:left="469" w:right="0"/>
              <w:jc w:val="left"/>
              <w:rPr>
                <w:rFonts w:ascii="Times New Roman" w:hAnsi="Times New Roman" w:cs="Times New Roman" w:eastAsia="Times New Roman" w:hint="default"/>
                <w:sz w:val="21"/>
                <w:szCs w:val="21"/>
              </w:rPr>
            </w:pPr>
            <w:r>
              <w:rPr>
                <w:rFonts w:ascii="Times New Roman"/>
                <w:sz w:val="21"/>
              </w:rPr>
              <w:t>20.68%</w:t>
            </w:r>
          </w:p>
        </w:tc>
        <w:tc>
          <w:tcPr>
            <w:tcW w:w="1149"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134"/>
              <w:ind w:left="573" w:right="0"/>
              <w:jc w:val="left"/>
              <w:rPr>
                <w:rFonts w:ascii="Times New Roman" w:hAnsi="Times New Roman" w:cs="Times New Roman" w:eastAsia="Times New Roman" w:hint="default"/>
                <w:sz w:val="21"/>
                <w:szCs w:val="21"/>
              </w:rPr>
            </w:pPr>
            <w:r>
              <w:rPr>
                <w:rFonts w:ascii="Times New Roman"/>
                <w:sz w:val="21"/>
              </w:rPr>
              <w:t>6.70%</w:t>
            </w:r>
          </w:p>
        </w:tc>
      </w:tr>
    </w:tbl>
    <w:p>
      <w:pPr>
        <w:pStyle w:val="BodyText"/>
        <w:spacing w:line="240" w:lineRule="auto" w:before="81"/>
        <w:ind w:left="720" w:right="133"/>
        <w:jc w:val="left"/>
      </w:pPr>
      <w:r>
        <w:rPr>
          <w:spacing w:val="-4"/>
        </w:rPr>
        <w:t>报告期内，公司的营业收入保持高速增长，其中：电子数据取证产品</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年度</w:t>
      </w:r>
    </w:p>
    <w:p>
      <w:pPr>
        <w:pStyle w:val="BodyText"/>
        <w:spacing w:line="240" w:lineRule="auto" w:before="134"/>
        <w:ind w:left="240" w:right="0"/>
        <w:jc w:val="both"/>
      </w:pPr>
      <w:r>
        <w:rPr/>
        <w:t>比</w:t>
      </w:r>
      <w:r>
        <w:rPr>
          <w:spacing w:val="-60"/>
        </w:rPr>
        <w:t> </w:t>
      </w:r>
      <w:r>
        <w:rPr>
          <w:rFonts w:ascii="Times New Roman" w:hAnsi="Times New Roman" w:cs="Times New Roman" w:eastAsia="Times New Roman" w:hint="default"/>
        </w:rPr>
        <w:t>2010 </w:t>
      </w:r>
      <w:r>
        <w:rPr/>
        <w:t>年度增长</w:t>
      </w:r>
      <w:r>
        <w:rPr>
          <w:spacing w:val="-60"/>
        </w:rPr>
        <w:t> </w:t>
      </w:r>
      <w:r>
        <w:rPr>
          <w:rFonts w:ascii="Times New Roman" w:hAnsi="Times New Roman" w:cs="Times New Roman" w:eastAsia="Times New Roman" w:hint="default"/>
        </w:rPr>
        <w:t>56.89%</w:t>
      </w:r>
      <w:r>
        <w:rPr/>
        <w:t>，网络信息安全产品</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年度比</w:t>
      </w:r>
      <w:r>
        <w:rPr>
          <w:spacing w:val="-60"/>
        </w:rPr>
        <w:t> </w:t>
      </w:r>
      <w:r>
        <w:rPr>
          <w:rFonts w:ascii="Times New Roman" w:hAnsi="Times New Roman" w:cs="Times New Roman" w:eastAsia="Times New Roman" w:hint="default"/>
        </w:rPr>
        <w:t>2010 </w:t>
      </w:r>
      <w:r>
        <w:rPr/>
        <w:t>年度增长</w:t>
      </w:r>
      <w:r>
        <w:rPr>
          <w:spacing w:val="-60"/>
        </w:rPr>
        <w:t> </w:t>
      </w:r>
      <w:r>
        <w:rPr>
          <w:rFonts w:ascii="Times New Roman" w:hAnsi="Times New Roman" w:cs="Times New Roman" w:eastAsia="Times New Roman" w:hint="default"/>
        </w:rPr>
        <w:t>26.45%</w:t>
      </w:r>
      <w:r>
        <w:rPr/>
        <w:t>，</w:t>
      </w:r>
    </w:p>
    <w:p>
      <w:pPr>
        <w:pStyle w:val="BodyText"/>
        <w:spacing w:line="240" w:lineRule="auto" w:before="134"/>
        <w:ind w:left="239" w:right="0"/>
        <w:jc w:val="both"/>
      </w:pPr>
      <w:r>
        <w:rPr/>
        <w:t>电子数据鉴定、互联网数字知识产权保护等服务</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年度比</w:t>
      </w:r>
      <w:r>
        <w:rPr>
          <w:spacing w:val="-60"/>
        </w:rPr>
        <w:t> </w:t>
      </w:r>
      <w:r>
        <w:rPr>
          <w:rFonts w:ascii="Times New Roman" w:hAnsi="Times New Roman" w:cs="Times New Roman" w:eastAsia="Times New Roman" w:hint="default"/>
        </w:rPr>
        <w:t>2010 </w:t>
      </w:r>
      <w:r>
        <w:rPr/>
        <w:t>年度略有下降。</w:t>
      </w:r>
    </w:p>
    <w:p>
      <w:pPr>
        <w:spacing w:line="240" w:lineRule="auto" w:before="6"/>
        <w:rPr>
          <w:rFonts w:ascii="宋体" w:hAnsi="宋体" w:cs="宋体" w:eastAsia="宋体" w:hint="default"/>
          <w:sz w:val="19"/>
          <w:szCs w:val="19"/>
        </w:rPr>
      </w:pPr>
    </w:p>
    <w:p>
      <w:pPr>
        <w:pStyle w:val="BodyText"/>
        <w:spacing w:line="240" w:lineRule="auto"/>
        <w:ind w:left="719" w:right="133"/>
        <w:jc w:val="left"/>
      </w:pPr>
      <w:r>
        <w:rPr/>
        <w:t>营业成本增幅：电子数据取证产品成本</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年度比</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年度增长</w:t>
      </w:r>
      <w:r>
        <w:rPr>
          <w:spacing w:val="-51"/>
        </w:rPr>
        <w:t> </w:t>
      </w:r>
      <w:r>
        <w:rPr>
          <w:rFonts w:ascii="Times New Roman" w:hAnsi="Times New Roman" w:cs="Times New Roman" w:eastAsia="Times New Roman" w:hint="default"/>
        </w:rPr>
        <w:t>2.04%</w:t>
      </w:r>
      <w:r>
        <w:rPr/>
        <w:t>，网</w:t>
      </w:r>
    </w:p>
    <w:p>
      <w:pPr>
        <w:pStyle w:val="BodyText"/>
        <w:spacing w:line="240" w:lineRule="auto" w:before="134"/>
        <w:ind w:left="239" w:right="0"/>
        <w:jc w:val="both"/>
      </w:pPr>
      <w:r>
        <w:rPr/>
        <w:t>络信息安全产品成本</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年度比</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年度增长</w:t>
      </w:r>
      <w:r>
        <w:rPr>
          <w:spacing w:val="-51"/>
        </w:rPr>
        <w:t> </w:t>
      </w:r>
      <w:r>
        <w:rPr>
          <w:rFonts w:ascii="Times New Roman" w:hAnsi="Times New Roman" w:cs="Times New Roman" w:eastAsia="Times New Roman" w:hint="default"/>
        </w:rPr>
        <w:t>492.33%</w:t>
      </w:r>
      <w:r>
        <w:rPr/>
        <w:t>，电子数据鉴定、互联网</w:t>
      </w:r>
    </w:p>
    <w:p>
      <w:pPr>
        <w:pStyle w:val="BodyText"/>
        <w:spacing w:line="348" w:lineRule="auto" w:before="134"/>
        <w:ind w:left="239" w:right="237"/>
        <w:jc w:val="both"/>
      </w:pPr>
      <w:r>
        <w:rPr/>
        <w:t>数字知识产权保护等服务成本</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年度比</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年度增长</w:t>
      </w:r>
      <w:r>
        <w:rPr>
          <w:spacing w:val="-58"/>
        </w:rPr>
        <w:t> </w:t>
      </w:r>
      <w:r>
        <w:rPr>
          <w:rFonts w:ascii="Times New Roman" w:hAnsi="Times New Roman" w:cs="Times New Roman" w:eastAsia="Times New Roman" w:hint="default"/>
          <w:spacing w:val="-6"/>
        </w:rPr>
        <w:t>22.29%</w:t>
      </w:r>
      <w:r>
        <w:rPr>
          <w:spacing w:val="-6"/>
        </w:rPr>
        <w:t>，其中，网络信息</w:t>
      </w:r>
      <w:r>
        <w:rPr/>
        <w:t> 安全产品成本增加较快，主要是公司为增加产品易用性，改变以软件产品为主更多 生产软硬件结合的装备化产品。</w:t>
      </w:r>
    </w:p>
    <w:p>
      <w:pPr>
        <w:pStyle w:val="BodyText"/>
        <w:spacing w:line="348" w:lineRule="auto" w:before="164"/>
        <w:ind w:left="239" w:right="133" w:firstLine="48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年综合毛利率为</w:t>
      </w:r>
      <w:r>
        <w:rPr>
          <w:spacing w:val="-60"/>
        </w:rPr>
        <w:t> </w:t>
      </w:r>
      <w:r>
        <w:rPr>
          <w:rFonts w:ascii="Times New Roman" w:hAnsi="Times New Roman" w:cs="Times New Roman" w:eastAsia="Times New Roman" w:hint="default"/>
        </w:rPr>
        <w:t>63.48%</w:t>
      </w:r>
      <w:r>
        <w:rPr/>
        <w:t>，较</w:t>
      </w:r>
      <w:r>
        <w:rPr>
          <w:spacing w:val="-60"/>
        </w:rPr>
        <w:t> </w:t>
      </w:r>
      <w:r>
        <w:rPr>
          <w:rFonts w:ascii="Times New Roman" w:hAnsi="Times New Roman" w:cs="Times New Roman" w:eastAsia="Times New Roman" w:hint="default"/>
        </w:rPr>
        <w:t>2010 </w:t>
      </w:r>
      <w:r>
        <w:rPr/>
        <w:t>年综合毛利率</w:t>
      </w:r>
      <w:r>
        <w:rPr>
          <w:spacing w:val="-60"/>
        </w:rPr>
        <w:t> </w:t>
      </w:r>
      <w:r>
        <w:rPr>
          <w:rFonts w:ascii="Times New Roman" w:hAnsi="Times New Roman" w:cs="Times New Roman" w:eastAsia="Times New Roman" w:hint="default"/>
        </w:rPr>
        <w:t>56.77%</w:t>
      </w:r>
      <w:r>
        <w:rPr/>
        <w:t>有较大幅度上升， 综合毛利率大幅上升主要是报告期内，公司加大研发力度，研发出更多附加值更高 的新产品，综合毛利率大幅增加提升了公司产品的核心竞争力。</w:t>
      </w:r>
    </w:p>
    <w:p>
      <w:pPr>
        <w:spacing w:line="240" w:lineRule="auto" w:before="10"/>
        <w:rPr>
          <w:rFonts w:ascii="宋体" w:hAnsi="宋体" w:cs="宋体" w:eastAsia="宋体" w:hint="default"/>
          <w:sz w:val="21"/>
          <w:szCs w:val="21"/>
        </w:rPr>
      </w:pPr>
    </w:p>
    <w:p>
      <w:pPr>
        <w:pStyle w:val="Heading3"/>
        <w:spacing w:line="240" w:lineRule="auto"/>
        <w:ind w:left="722" w:right="133"/>
        <w:jc w:val="left"/>
        <w:rPr>
          <w:b w:val="0"/>
          <w:bCs w:val="0"/>
        </w:rPr>
      </w:pPr>
      <w:r>
        <w:rPr>
          <w:rFonts w:ascii="Times New Roman" w:hAnsi="Times New Roman" w:cs="Times New Roman" w:eastAsia="Times New Roman" w:hint="default"/>
        </w:rPr>
        <w:t>3</w:t>
      </w:r>
      <w:r>
        <w:rPr/>
        <w:t>、主营业务分地区</w:t>
      </w:r>
      <w:r>
        <w:rPr>
          <w:b w:val="0"/>
          <w:bCs w:val="0"/>
        </w:rPr>
      </w:r>
    </w:p>
    <w:p>
      <w:pPr>
        <w:spacing w:line="240" w:lineRule="auto" w:before="12"/>
        <w:rPr>
          <w:rFonts w:ascii="宋体" w:hAnsi="宋体" w:cs="宋体" w:eastAsia="宋体" w:hint="default"/>
          <w:b/>
          <w:bCs/>
          <w:sz w:val="28"/>
          <w:szCs w:val="28"/>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744"/>
        <w:gridCol w:w="1900"/>
        <w:gridCol w:w="1727"/>
        <w:gridCol w:w="2128"/>
        <w:gridCol w:w="1358"/>
      </w:tblGrid>
      <w:tr>
        <w:trPr>
          <w:trHeight w:val="502" w:hRule="exact"/>
        </w:trPr>
        <w:tc>
          <w:tcPr>
            <w:tcW w:w="1744" w:type="dxa"/>
            <w:tcBorders>
              <w:top w:val="single" w:sz="12" w:space="0" w:color="000000"/>
              <w:left w:val="single" w:sz="12" w:space="0" w:color="000000"/>
              <w:bottom w:val="single" w:sz="6" w:space="0" w:color="000000"/>
              <w:right w:val="single" w:sz="6" w:space="0" w:color="000000"/>
            </w:tcBorders>
            <w:shd w:val="clear" w:color="auto" w:fill="C0C0C0"/>
          </w:tcPr>
          <w:p>
            <w:pPr>
              <w:pStyle w:val="TableParagraph"/>
              <w:spacing w:line="240" w:lineRule="auto" w:before="67"/>
              <w:ind w:right="6"/>
              <w:jc w:val="center"/>
              <w:rPr>
                <w:rFonts w:ascii="宋体" w:hAnsi="宋体" w:cs="宋体" w:eastAsia="宋体" w:hint="default"/>
                <w:sz w:val="21"/>
                <w:szCs w:val="21"/>
              </w:rPr>
            </w:pPr>
            <w:r>
              <w:rPr>
                <w:rFonts w:ascii="宋体" w:hAnsi="宋体" w:cs="宋体" w:eastAsia="宋体" w:hint="default"/>
                <w:sz w:val="21"/>
                <w:szCs w:val="21"/>
              </w:rPr>
              <w:t>地区名称</w:t>
            </w:r>
          </w:p>
        </w:tc>
        <w:tc>
          <w:tcPr>
            <w:tcW w:w="1900"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67"/>
              <w:ind w:left="417"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727"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67"/>
              <w:ind w:left="331" w:right="0"/>
              <w:jc w:val="left"/>
              <w:rPr>
                <w:rFonts w:ascii="宋体" w:hAnsi="宋体" w:cs="宋体" w:eastAsia="宋体" w:hint="default"/>
                <w:sz w:val="21"/>
                <w:szCs w:val="21"/>
              </w:rPr>
            </w:pPr>
            <w:r>
              <w:rPr>
                <w:rFonts w:ascii="宋体" w:hAnsi="宋体" w:cs="宋体" w:eastAsia="宋体" w:hint="default"/>
                <w:sz w:val="21"/>
                <w:szCs w:val="21"/>
              </w:rPr>
              <w:t>上年发生额</w:t>
            </w:r>
          </w:p>
        </w:tc>
        <w:tc>
          <w:tcPr>
            <w:tcW w:w="2128"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67"/>
              <w:ind w:right="109"/>
              <w:jc w:val="right"/>
              <w:rPr>
                <w:rFonts w:ascii="宋体" w:hAnsi="宋体" w:cs="宋体" w:eastAsia="宋体" w:hint="default"/>
                <w:sz w:val="21"/>
                <w:szCs w:val="21"/>
              </w:rPr>
            </w:pPr>
            <w:r>
              <w:rPr>
                <w:rFonts w:ascii="宋体" w:hAnsi="宋体" w:cs="宋体" w:eastAsia="宋体" w:hint="default"/>
                <w:sz w:val="21"/>
                <w:szCs w:val="21"/>
              </w:rPr>
              <w:t>营业收入比上年增减</w:t>
            </w:r>
          </w:p>
        </w:tc>
        <w:tc>
          <w:tcPr>
            <w:tcW w:w="1358" w:type="dxa"/>
            <w:tcBorders>
              <w:top w:val="single" w:sz="12" w:space="0" w:color="000000"/>
              <w:left w:val="single" w:sz="6" w:space="0" w:color="000000"/>
              <w:bottom w:val="single" w:sz="6" w:space="0" w:color="000000"/>
              <w:right w:val="single" w:sz="12" w:space="0" w:color="000000"/>
            </w:tcBorders>
            <w:shd w:val="clear" w:color="auto" w:fill="C0C0C0"/>
          </w:tcPr>
          <w:p>
            <w:pPr>
              <w:pStyle w:val="TableParagraph"/>
              <w:spacing w:line="240" w:lineRule="auto" w:before="67"/>
              <w:ind w:left="251" w:right="0"/>
              <w:jc w:val="left"/>
              <w:rPr>
                <w:rFonts w:ascii="宋体" w:hAnsi="宋体" w:cs="宋体" w:eastAsia="宋体" w:hint="default"/>
                <w:sz w:val="21"/>
                <w:szCs w:val="21"/>
              </w:rPr>
            </w:pPr>
            <w:r>
              <w:rPr>
                <w:rFonts w:ascii="宋体" w:hAnsi="宋体" w:cs="宋体" w:eastAsia="宋体" w:hint="default"/>
                <w:sz w:val="21"/>
                <w:szCs w:val="21"/>
              </w:rPr>
              <w:t>变动幅度</w:t>
            </w:r>
          </w:p>
        </w:tc>
      </w:tr>
      <w:tr>
        <w:trPr>
          <w:trHeight w:val="494"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华东</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7,769.55</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5,750.05</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2,019.50</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35.12%</w:t>
            </w:r>
          </w:p>
        </w:tc>
      </w:tr>
      <w:tr>
        <w:trPr>
          <w:trHeight w:val="496"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华南</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2,556.72</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1,856.93</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699.79</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37.69%</w:t>
            </w:r>
          </w:p>
        </w:tc>
      </w:tr>
      <w:tr>
        <w:trPr>
          <w:trHeight w:val="494"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东北</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Times New Roman" w:hAnsi="Times New Roman" w:cs="Times New Roman" w:eastAsia="Times New Roman" w:hint="default"/>
                <w:sz w:val="21"/>
                <w:szCs w:val="21"/>
              </w:rPr>
            </w:pPr>
            <w:r>
              <w:rPr>
                <w:rFonts w:ascii="Times New Roman"/>
                <w:spacing w:val="-1"/>
                <w:sz w:val="21"/>
              </w:rPr>
              <w:t>1,446.37</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Times New Roman" w:hAnsi="Times New Roman" w:cs="Times New Roman" w:eastAsia="Times New Roman" w:hint="default"/>
                <w:sz w:val="21"/>
                <w:szCs w:val="21"/>
              </w:rPr>
            </w:pPr>
            <w:r>
              <w:rPr>
                <w:rFonts w:ascii="Times New Roman"/>
                <w:spacing w:val="-1"/>
                <w:sz w:val="21"/>
              </w:rPr>
              <w:t>1,752.87</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-306.50</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9"/>
              <w:jc w:val="right"/>
              <w:rPr>
                <w:rFonts w:ascii="Times New Roman" w:hAnsi="Times New Roman" w:cs="Times New Roman" w:eastAsia="Times New Roman" w:hint="default"/>
                <w:sz w:val="21"/>
                <w:szCs w:val="21"/>
              </w:rPr>
            </w:pPr>
            <w:r>
              <w:rPr>
                <w:rFonts w:ascii="Times New Roman"/>
                <w:spacing w:val="-1"/>
                <w:sz w:val="21"/>
              </w:rPr>
              <w:t>-17.49%</w:t>
            </w:r>
          </w:p>
        </w:tc>
      </w:tr>
      <w:tr>
        <w:trPr>
          <w:trHeight w:val="496"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华北</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5,879.88</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2,967.14</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2,912.74</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98.17%</w:t>
            </w:r>
          </w:p>
        </w:tc>
      </w:tr>
      <w:tr>
        <w:trPr>
          <w:trHeight w:val="494"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华中</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1,210.75</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1,018.09</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192.66</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18.92%</w:t>
            </w:r>
          </w:p>
        </w:tc>
      </w:tr>
      <w:tr>
        <w:trPr>
          <w:trHeight w:val="496"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西南</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5,299.52</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2,220.29</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3,079.23</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9"/>
              <w:jc w:val="right"/>
              <w:rPr>
                <w:rFonts w:ascii="Times New Roman" w:hAnsi="Times New Roman" w:cs="Times New Roman" w:eastAsia="Times New Roman" w:hint="default"/>
                <w:sz w:val="21"/>
                <w:szCs w:val="21"/>
              </w:rPr>
            </w:pPr>
            <w:r>
              <w:rPr>
                <w:rFonts w:ascii="Times New Roman"/>
                <w:spacing w:val="-1"/>
                <w:sz w:val="21"/>
              </w:rPr>
              <w:t>138.69%</w:t>
            </w:r>
          </w:p>
        </w:tc>
      </w:tr>
      <w:tr>
        <w:trPr>
          <w:trHeight w:val="494" w:hRule="exact"/>
        </w:trPr>
        <w:tc>
          <w:tcPr>
            <w:tcW w:w="174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西北</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Times New Roman" w:hAnsi="Times New Roman" w:cs="Times New Roman" w:eastAsia="Times New Roman" w:hint="default"/>
                <w:sz w:val="21"/>
                <w:szCs w:val="21"/>
              </w:rPr>
            </w:pPr>
            <w:r>
              <w:rPr>
                <w:rFonts w:ascii="Times New Roman"/>
                <w:spacing w:val="-1"/>
                <w:sz w:val="21"/>
              </w:rPr>
              <w:t>2,688.77</w:t>
            </w:r>
          </w:p>
        </w:tc>
        <w:tc>
          <w:tcPr>
            <w:tcW w:w="1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Times New Roman" w:hAnsi="Times New Roman" w:cs="Times New Roman" w:eastAsia="Times New Roman" w:hint="default"/>
                <w:sz w:val="21"/>
                <w:szCs w:val="21"/>
              </w:rPr>
            </w:pPr>
            <w:r>
              <w:rPr>
                <w:rFonts w:ascii="Times New Roman"/>
                <w:spacing w:val="-1"/>
                <w:sz w:val="21"/>
              </w:rPr>
              <w:t>3,234.23</w:t>
            </w:r>
          </w:p>
        </w:tc>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-545.46</w:t>
            </w:r>
          </w:p>
        </w:tc>
        <w:tc>
          <w:tcPr>
            <w:tcW w:w="13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9"/>
              <w:jc w:val="right"/>
              <w:rPr>
                <w:rFonts w:ascii="Times New Roman" w:hAnsi="Times New Roman" w:cs="Times New Roman" w:eastAsia="Times New Roman" w:hint="default"/>
                <w:sz w:val="21"/>
                <w:szCs w:val="21"/>
              </w:rPr>
            </w:pPr>
            <w:r>
              <w:rPr>
                <w:rFonts w:ascii="Times New Roman"/>
                <w:spacing w:val="-1"/>
                <w:sz w:val="21"/>
              </w:rPr>
              <w:t>-16.87%</w:t>
            </w:r>
          </w:p>
        </w:tc>
      </w:tr>
      <w:tr>
        <w:trPr>
          <w:trHeight w:val="503" w:hRule="exact"/>
        </w:trPr>
        <w:tc>
          <w:tcPr>
            <w:tcW w:w="1744" w:type="dxa"/>
            <w:tcBorders>
              <w:top w:val="single" w:sz="6" w:space="0" w:color="000000"/>
              <w:left w:val="single" w:sz="12" w:space="0" w:color="000000"/>
              <w:bottom w:val="single" w:sz="12" w:space="0" w:color="000000"/>
              <w:right w:val="single" w:sz="6" w:space="0" w:color="000000"/>
            </w:tcBorders>
          </w:tcPr>
          <w:p>
            <w:pPr>
              <w:pStyle w:val="TableParagraph"/>
              <w:tabs>
                <w:tab w:pos="421" w:val="left" w:leader="none"/>
              </w:tabs>
              <w:spacing w:line="240" w:lineRule="auto" w:before="69"/>
              <w:ind w:right="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26,851.56</w:t>
            </w:r>
          </w:p>
        </w:tc>
        <w:tc>
          <w:tcPr>
            <w:tcW w:w="17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18,799.60</w:t>
            </w:r>
          </w:p>
        </w:tc>
        <w:tc>
          <w:tcPr>
            <w:tcW w:w="21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8,051.96</w:t>
            </w:r>
          </w:p>
        </w:tc>
        <w:tc>
          <w:tcPr>
            <w:tcW w:w="135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42.83%</w:t>
            </w:r>
          </w:p>
        </w:tc>
      </w:tr>
    </w:tbl>
    <w:p>
      <w:pPr>
        <w:pStyle w:val="BodyText"/>
        <w:spacing w:line="338" w:lineRule="auto" w:before="81"/>
        <w:ind w:left="239" w:right="224" w:firstLine="48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3"/>
        </w:rPr>
        <w:t> </w:t>
      </w:r>
      <w:r>
        <w:rPr>
          <w:spacing w:val="-2"/>
        </w:rPr>
        <w:t>年公司加强了业务拓展，在大部分区域的收入都有不同程度的增长，在传</w:t>
      </w:r>
      <w:r>
        <w:rPr/>
        <w:t> 统经济发达地区仍保持业务高速增长。</w:t>
      </w:r>
    </w:p>
    <w:p>
      <w:pPr>
        <w:spacing w:after="0" w:line="338" w:lineRule="auto"/>
        <w:jc w:val="left"/>
        <w:sectPr>
          <w:pgSz w:w="12240" w:h="15840"/>
          <w:pgMar w:header="0" w:footer="688" w:top="1360" w:bottom="900" w:left="1560" w:right="1560"/>
        </w:sectPr>
      </w:pPr>
    </w:p>
    <w:p>
      <w:pPr>
        <w:pStyle w:val="Heading3"/>
        <w:spacing w:line="240" w:lineRule="auto" w:before="1"/>
        <w:ind w:left="722" w:right="0"/>
        <w:jc w:val="left"/>
        <w:rPr>
          <w:b w:val="0"/>
          <w:bCs w:val="0"/>
        </w:rPr>
      </w:pPr>
      <w:r>
        <w:rPr>
          <w:rFonts w:ascii="Times New Roman" w:hAnsi="Times New Roman" w:cs="Times New Roman" w:eastAsia="Times New Roman" w:hint="default"/>
        </w:rPr>
        <w:t>4</w:t>
      </w:r>
      <w:r>
        <w:rPr/>
        <w:t>、前五大供应商</w:t>
      </w:r>
      <w:r>
        <w:rPr>
          <w:b w:val="0"/>
          <w:bCs w:val="0"/>
        </w:rPr>
      </w:r>
    </w:p>
    <w:p>
      <w:pPr>
        <w:spacing w:line="240" w:lineRule="auto" w:before="3"/>
        <w:rPr>
          <w:rFonts w:ascii="宋体" w:hAnsi="宋体" w:cs="宋体" w:eastAsia="宋体" w:hint="default"/>
          <w:b/>
          <w:bCs/>
          <w:sz w:val="26"/>
          <w:szCs w:val="26"/>
        </w:rPr>
      </w:pPr>
    </w:p>
    <w:p>
      <w:pPr>
        <w:spacing w:before="35"/>
        <w:ind w:left="0" w:right="41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482"/>
        <w:gridCol w:w="1830"/>
        <w:gridCol w:w="1589"/>
        <w:gridCol w:w="1367"/>
        <w:gridCol w:w="1588"/>
      </w:tblGrid>
      <w:tr>
        <w:trPr>
          <w:trHeight w:val="564" w:hRule="exact"/>
        </w:trPr>
        <w:tc>
          <w:tcPr>
            <w:tcW w:w="2482"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0"/>
              <w:ind w:left="700" w:right="0"/>
              <w:jc w:val="left"/>
              <w:rPr>
                <w:rFonts w:ascii="宋体" w:hAnsi="宋体" w:cs="宋体" w:eastAsia="宋体" w:hint="default"/>
                <w:sz w:val="21"/>
                <w:szCs w:val="21"/>
              </w:rPr>
            </w:pPr>
            <w:r>
              <w:rPr>
                <w:rFonts w:ascii="宋体" w:hAnsi="宋体" w:cs="宋体" w:eastAsia="宋体" w:hint="default"/>
                <w:sz w:val="21"/>
                <w:szCs w:val="21"/>
              </w:rPr>
              <w:t>前五大客户</w:t>
            </w:r>
          </w:p>
        </w:tc>
        <w:tc>
          <w:tcPr>
            <w:tcW w:w="183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0"/>
              <w:ind w:left="466"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r>
          </w:p>
        </w:tc>
        <w:tc>
          <w:tcPr>
            <w:tcW w:w="1589"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0"/>
              <w:ind w:left="3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367"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本年度比上</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年度增减</w:t>
            </w:r>
          </w:p>
        </w:tc>
        <w:tc>
          <w:tcPr>
            <w:tcW w:w="1588"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100"/>
              <w:ind w:left="3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407" w:hRule="exact"/>
        </w:trPr>
        <w:tc>
          <w:tcPr>
            <w:tcW w:w="248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9"/>
              <w:ind w:left="93" w:right="0"/>
              <w:jc w:val="left"/>
              <w:rPr>
                <w:rFonts w:ascii="宋体" w:hAnsi="宋体" w:cs="宋体" w:eastAsia="宋体" w:hint="default"/>
                <w:sz w:val="21"/>
                <w:szCs w:val="21"/>
              </w:rPr>
            </w:pPr>
            <w:r>
              <w:rPr>
                <w:rFonts w:ascii="宋体" w:hAnsi="宋体" w:cs="宋体" w:eastAsia="宋体" w:hint="default"/>
                <w:sz w:val="21"/>
                <w:szCs w:val="21"/>
              </w:rPr>
              <w:t>采购金额</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41,526,860.05</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22,165,351.33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87.35%</w:t>
            </w:r>
          </w:p>
        </w:tc>
        <w:tc>
          <w:tcPr>
            <w:tcW w:w="158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6"/>
              <w:ind w:right="90"/>
              <w:jc w:val="right"/>
              <w:rPr>
                <w:rFonts w:ascii="Times New Roman" w:hAnsi="Times New Roman" w:cs="Times New Roman" w:eastAsia="Times New Roman" w:hint="default"/>
                <w:sz w:val="21"/>
                <w:szCs w:val="21"/>
              </w:rPr>
            </w:pPr>
            <w:r>
              <w:rPr>
                <w:rFonts w:ascii="Times New Roman"/>
                <w:spacing w:val="-1"/>
                <w:sz w:val="21"/>
              </w:rPr>
              <w:t>12,365,860.05</w:t>
            </w:r>
          </w:p>
        </w:tc>
      </w:tr>
      <w:tr>
        <w:trPr>
          <w:trHeight w:val="407" w:hRule="exact"/>
        </w:trPr>
        <w:tc>
          <w:tcPr>
            <w:tcW w:w="248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9"/>
              <w:ind w:left="93" w:right="0"/>
              <w:jc w:val="left"/>
              <w:rPr>
                <w:rFonts w:ascii="宋体" w:hAnsi="宋体" w:cs="宋体" w:eastAsia="宋体" w:hint="default"/>
                <w:sz w:val="21"/>
                <w:szCs w:val="21"/>
              </w:rPr>
            </w:pPr>
            <w:r>
              <w:rPr>
                <w:rFonts w:ascii="宋体" w:hAnsi="宋体" w:cs="宋体" w:eastAsia="宋体" w:hint="default"/>
                <w:sz w:val="21"/>
                <w:szCs w:val="21"/>
              </w:rPr>
              <w:t>年度采购总额</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167,118,309.65</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97,284,748.74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71.78%</w:t>
            </w:r>
          </w:p>
        </w:tc>
        <w:tc>
          <w:tcPr>
            <w:tcW w:w="158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60,863,577.34</w:t>
            </w:r>
          </w:p>
        </w:tc>
      </w:tr>
      <w:tr>
        <w:trPr>
          <w:trHeight w:val="417" w:hRule="exact"/>
        </w:trPr>
        <w:tc>
          <w:tcPr>
            <w:tcW w:w="248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89"/>
              <w:ind w:left="93" w:right="0"/>
              <w:jc w:val="left"/>
              <w:rPr>
                <w:rFonts w:ascii="宋体" w:hAnsi="宋体" w:cs="宋体" w:eastAsia="宋体" w:hint="default"/>
                <w:sz w:val="21"/>
                <w:szCs w:val="21"/>
              </w:rPr>
            </w:pPr>
            <w:r>
              <w:rPr>
                <w:rFonts w:ascii="宋体" w:hAnsi="宋体" w:cs="宋体" w:eastAsia="宋体" w:hint="default"/>
                <w:sz w:val="21"/>
                <w:szCs w:val="21"/>
              </w:rPr>
              <w:t>占年度采购总额的比例</w:t>
            </w:r>
          </w:p>
        </w:tc>
        <w:tc>
          <w:tcPr>
            <w:tcW w:w="18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24.85%</w:t>
            </w:r>
          </w:p>
        </w:tc>
        <w:tc>
          <w:tcPr>
            <w:tcW w:w="15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22.78%</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2.07%</w:t>
            </w:r>
          </w:p>
        </w:tc>
        <w:tc>
          <w:tcPr>
            <w:tcW w:w="158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76"/>
              <w:ind w:right="88"/>
              <w:jc w:val="right"/>
              <w:rPr>
                <w:rFonts w:ascii="Times New Roman" w:hAnsi="Times New Roman" w:cs="Times New Roman" w:eastAsia="Times New Roman" w:hint="default"/>
                <w:sz w:val="21"/>
                <w:szCs w:val="21"/>
              </w:rPr>
            </w:pPr>
            <w:r>
              <w:rPr>
                <w:rFonts w:ascii="Times New Roman"/>
                <w:spacing w:val="-1"/>
                <w:sz w:val="21"/>
              </w:rPr>
              <w:t>20.32%</w:t>
            </w:r>
          </w:p>
        </w:tc>
      </w:tr>
    </w:tbl>
    <w:p>
      <w:pPr>
        <w:pStyle w:val="BodyText"/>
        <w:spacing w:line="338" w:lineRule="auto" w:before="81"/>
        <w:ind w:left="240" w:right="337" w:firstLine="480"/>
        <w:jc w:val="both"/>
      </w:pPr>
      <w:r>
        <w:rPr/>
        <w:t>报告期内，公司前五大供应商年度采购金额占全年采购金额的比重为</w:t>
      </w:r>
      <w:r>
        <w:rPr>
          <w:spacing w:val="-60"/>
        </w:rPr>
        <w:t> </w:t>
      </w:r>
      <w:r>
        <w:rPr>
          <w:rFonts w:ascii="Times New Roman" w:hAnsi="Times New Roman" w:cs="Times New Roman" w:eastAsia="Times New Roman" w:hint="default"/>
        </w:rPr>
        <w:t>24.85%</w:t>
      </w:r>
      <w:r>
        <w:rPr/>
        <w:t>， 比 </w:t>
      </w:r>
      <w:r>
        <w:rPr>
          <w:rFonts w:ascii="Times New Roman" w:hAnsi="Times New Roman" w:cs="Times New Roman" w:eastAsia="Times New Roman" w:hint="default"/>
        </w:rPr>
        <w:t>2010 </w:t>
      </w:r>
      <w:r>
        <w:rPr/>
        <w:t>年度的</w:t>
      </w:r>
      <w:r>
        <w:rPr>
          <w:spacing w:val="-81"/>
        </w:rPr>
        <w:t> </w:t>
      </w:r>
      <w:r>
        <w:rPr>
          <w:rFonts w:ascii="Times New Roman" w:hAnsi="Times New Roman" w:cs="Times New Roman" w:eastAsia="Times New Roman" w:hint="default"/>
        </w:rPr>
        <w:t>22.78%</w:t>
      </w:r>
      <w:r>
        <w:rPr/>
        <w:t>略有上升，这主要是公司对常用的物料采取批量竞价采购， 以降低采购成本。</w:t>
      </w:r>
    </w:p>
    <w:p>
      <w:pPr>
        <w:spacing w:line="240" w:lineRule="auto" w:before="6"/>
        <w:rPr>
          <w:rFonts w:ascii="宋体" w:hAnsi="宋体" w:cs="宋体" w:eastAsia="宋体" w:hint="default"/>
          <w:sz w:val="22"/>
          <w:szCs w:val="22"/>
        </w:rPr>
      </w:pPr>
    </w:p>
    <w:p>
      <w:pPr>
        <w:pStyle w:val="Heading3"/>
        <w:spacing w:line="240" w:lineRule="auto"/>
        <w:ind w:left="722" w:right="0"/>
        <w:jc w:val="left"/>
        <w:rPr>
          <w:b w:val="0"/>
          <w:bCs w:val="0"/>
        </w:rPr>
      </w:pPr>
      <w:r>
        <w:rPr>
          <w:rFonts w:ascii="Times New Roman" w:hAnsi="Times New Roman" w:cs="Times New Roman" w:eastAsia="Times New Roman" w:hint="default"/>
        </w:rPr>
        <w:t>5</w:t>
      </w:r>
      <w:r>
        <w:rPr/>
        <w:t>、前五大客户</w:t>
      </w:r>
      <w:r>
        <w:rPr>
          <w:b w:val="0"/>
          <w:bCs w:val="0"/>
        </w:rPr>
      </w:r>
    </w:p>
    <w:p>
      <w:pPr>
        <w:spacing w:line="240" w:lineRule="auto" w:before="12"/>
        <w:rPr>
          <w:rFonts w:ascii="宋体" w:hAnsi="宋体" w:cs="宋体" w:eastAsia="宋体" w:hint="default"/>
          <w:b/>
          <w:bCs/>
          <w:sz w:val="28"/>
          <w:szCs w:val="28"/>
        </w:rPr>
      </w:pPr>
    </w:p>
    <w:p>
      <w:pPr>
        <w:spacing w:before="0"/>
        <w:ind w:left="0" w:right="41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482"/>
        <w:gridCol w:w="1830"/>
        <w:gridCol w:w="1589"/>
        <w:gridCol w:w="1367"/>
        <w:gridCol w:w="1588"/>
      </w:tblGrid>
      <w:tr>
        <w:trPr>
          <w:trHeight w:val="564" w:hRule="exact"/>
        </w:trPr>
        <w:tc>
          <w:tcPr>
            <w:tcW w:w="2482"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0"/>
              <w:ind w:left="700" w:right="0"/>
              <w:jc w:val="left"/>
              <w:rPr>
                <w:rFonts w:ascii="宋体" w:hAnsi="宋体" w:cs="宋体" w:eastAsia="宋体" w:hint="default"/>
                <w:sz w:val="21"/>
                <w:szCs w:val="21"/>
              </w:rPr>
            </w:pPr>
            <w:r>
              <w:rPr>
                <w:rFonts w:ascii="宋体" w:hAnsi="宋体" w:cs="宋体" w:eastAsia="宋体" w:hint="default"/>
                <w:sz w:val="21"/>
                <w:szCs w:val="21"/>
              </w:rPr>
              <w:t>前五大客户</w:t>
            </w:r>
          </w:p>
        </w:tc>
        <w:tc>
          <w:tcPr>
            <w:tcW w:w="183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0"/>
              <w:ind w:left="466"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w:t>
            </w:r>
          </w:p>
        </w:tc>
        <w:tc>
          <w:tcPr>
            <w:tcW w:w="1589"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00"/>
              <w:ind w:left="3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367"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本年度比上</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年度增减</w:t>
            </w:r>
          </w:p>
        </w:tc>
        <w:tc>
          <w:tcPr>
            <w:tcW w:w="1588"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100"/>
              <w:ind w:left="34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r>
      <w:tr>
        <w:trPr>
          <w:trHeight w:val="407" w:hRule="exact"/>
        </w:trPr>
        <w:tc>
          <w:tcPr>
            <w:tcW w:w="248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7"/>
              <w:ind w:left="93" w:right="0"/>
              <w:jc w:val="left"/>
              <w:rPr>
                <w:rFonts w:ascii="宋体" w:hAnsi="宋体" w:cs="宋体" w:eastAsia="宋体" w:hint="default"/>
                <w:sz w:val="21"/>
                <w:szCs w:val="21"/>
              </w:rPr>
            </w:pPr>
            <w:r>
              <w:rPr>
                <w:rFonts w:ascii="宋体" w:hAnsi="宋体" w:cs="宋体" w:eastAsia="宋体" w:hint="default"/>
                <w:sz w:val="21"/>
                <w:szCs w:val="21"/>
              </w:rPr>
              <w:t>销售金额</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36,901,769.24</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26,440,991.36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50.59%</w:t>
            </w:r>
          </w:p>
        </w:tc>
        <w:tc>
          <w:tcPr>
            <w:tcW w:w="158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19,662,634.88</w:t>
            </w:r>
          </w:p>
        </w:tc>
      </w:tr>
      <w:tr>
        <w:trPr>
          <w:trHeight w:val="407" w:hRule="exact"/>
        </w:trPr>
        <w:tc>
          <w:tcPr>
            <w:tcW w:w="248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7"/>
              <w:ind w:left="93" w:right="0"/>
              <w:jc w:val="left"/>
              <w:rPr>
                <w:rFonts w:ascii="宋体" w:hAnsi="宋体" w:cs="宋体" w:eastAsia="宋体" w:hint="default"/>
                <w:sz w:val="21"/>
                <w:szCs w:val="21"/>
              </w:rPr>
            </w:pPr>
            <w:r>
              <w:rPr>
                <w:rFonts w:ascii="宋体" w:hAnsi="宋体" w:cs="宋体" w:eastAsia="宋体" w:hint="default"/>
                <w:sz w:val="21"/>
                <w:szCs w:val="21"/>
              </w:rPr>
              <w:t>年度营业收入</w:t>
            </w:r>
          </w:p>
        </w:tc>
        <w:tc>
          <w:tcPr>
            <w:tcW w:w="1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21"/>
                <w:szCs w:val="21"/>
              </w:rPr>
            </w:pPr>
            <w:r>
              <w:rPr>
                <w:rFonts w:ascii="Times New Roman"/>
                <w:spacing w:val="-1"/>
                <w:sz w:val="21"/>
              </w:rPr>
              <w:t>268,515,584.75</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3"/>
              <w:jc w:val="right"/>
              <w:rPr>
                <w:rFonts w:ascii="Times New Roman" w:hAnsi="Times New Roman" w:cs="Times New Roman" w:eastAsia="Times New Roman" w:hint="default"/>
                <w:sz w:val="21"/>
                <w:szCs w:val="21"/>
              </w:rPr>
            </w:pPr>
            <w:r>
              <w:rPr>
                <w:rFonts w:ascii="Times New Roman"/>
                <w:spacing w:val="-1"/>
                <w:sz w:val="21"/>
              </w:rPr>
              <w:t>187,996,001.19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42.83%</w:t>
            </w:r>
          </w:p>
        </w:tc>
        <w:tc>
          <w:tcPr>
            <w:tcW w:w="158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6"/>
              <w:ind w:right="91"/>
              <w:jc w:val="right"/>
              <w:rPr>
                <w:rFonts w:ascii="Times New Roman" w:hAnsi="Times New Roman" w:cs="Times New Roman" w:eastAsia="Times New Roman" w:hint="default"/>
                <w:sz w:val="21"/>
                <w:szCs w:val="21"/>
              </w:rPr>
            </w:pPr>
            <w:r>
              <w:rPr>
                <w:rFonts w:ascii="Times New Roman"/>
                <w:spacing w:val="-1"/>
                <w:sz w:val="21"/>
              </w:rPr>
              <w:t>123,149,605.21</w:t>
            </w:r>
          </w:p>
        </w:tc>
      </w:tr>
      <w:tr>
        <w:trPr>
          <w:trHeight w:val="417" w:hRule="exact"/>
        </w:trPr>
        <w:tc>
          <w:tcPr>
            <w:tcW w:w="248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7"/>
              <w:ind w:left="93" w:right="0"/>
              <w:jc w:val="left"/>
              <w:rPr>
                <w:rFonts w:ascii="宋体" w:hAnsi="宋体" w:cs="宋体" w:eastAsia="宋体" w:hint="default"/>
                <w:sz w:val="21"/>
                <w:szCs w:val="21"/>
              </w:rPr>
            </w:pPr>
            <w:r>
              <w:rPr>
                <w:rFonts w:ascii="宋体" w:hAnsi="宋体" w:cs="宋体" w:eastAsia="宋体" w:hint="default"/>
                <w:sz w:val="21"/>
                <w:szCs w:val="21"/>
              </w:rPr>
              <w:t>占年度营业收入的比例</w:t>
            </w:r>
          </w:p>
        </w:tc>
        <w:tc>
          <w:tcPr>
            <w:tcW w:w="18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13.75%</w:t>
            </w:r>
          </w:p>
        </w:tc>
        <w:tc>
          <w:tcPr>
            <w:tcW w:w="15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14.06%</w:t>
            </w:r>
          </w:p>
        </w:tc>
        <w:tc>
          <w:tcPr>
            <w:tcW w:w="136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21"/>
                <w:szCs w:val="21"/>
              </w:rPr>
            </w:pPr>
            <w:r>
              <w:rPr>
                <w:rFonts w:ascii="Times New Roman"/>
                <w:spacing w:val="-1"/>
                <w:sz w:val="21"/>
              </w:rPr>
              <w:t>0.77%</w:t>
            </w:r>
          </w:p>
        </w:tc>
        <w:tc>
          <w:tcPr>
            <w:tcW w:w="158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76"/>
              <w:ind w:right="88"/>
              <w:jc w:val="right"/>
              <w:rPr>
                <w:rFonts w:ascii="Times New Roman" w:hAnsi="Times New Roman" w:cs="Times New Roman" w:eastAsia="Times New Roman" w:hint="default"/>
                <w:sz w:val="21"/>
                <w:szCs w:val="21"/>
              </w:rPr>
            </w:pPr>
            <w:r>
              <w:rPr>
                <w:rFonts w:ascii="Times New Roman"/>
                <w:spacing w:val="-1"/>
                <w:sz w:val="21"/>
              </w:rPr>
              <w:t>15.97%</w:t>
            </w:r>
          </w:p>
        </w:tc>
      </w:tr>
    </w:tbl>
    <w:p>
      <w:pPr>
        <w:pStyle w:val="BodyText"/>
        <w:spacing w:line="343" w:lineRule="auto" w:before="81"/>
        <w:ind w:left="239" w:right="0" w:firstLine="480"/>
        <w:jc w:val="left"/>
      </w:pPr>
      <w:r>
        <w:rPr/>
        <w:t>报告期内，公司前五大客户销售金额占公司年度营业收入的比重为</w:t>
      </w:r>
      <w:r>
        <w:rPr>
          <w:rFonts w:ascii="Times New Roman" w:hAnsi="Times New Roman" w:cs="Times New Roman" w:eastAsia="Times New Roman" w:hint="default"/>
          <w:sz w:val="21"/>
          <w:szCs w:val="21"/>
        </w:rPr>
        <w:t>13.75%</w:t>
      </w:r>
      <w:r>
        <w:rPr/>
        <w:t>，公</w:t>
      </w:r>
      <w:r>
        <w:rPr>
          <w:spacing w:val="2"/>
        </w:rPr>
        <w:t> </w:t>
      </w:r>
      <w:r>
        <w:rPr/>
        <w:t>司不存在过度依赖单一客户的情形。</w:t>
      </w:r>
    </w:p>
    <w:p>
      <w:pPr>
        <w:spacing w:line="240" w:lineRule="auto" w:before="11"/>
        <w:rPr>
          <w:rFonts w:ascii="宋体" w:hAnsi="宋体" w:cs="宋体" w:eastAsia="宋体" w:hint="default"/>
          <w:sz w:val="34"/>
          <w:szCs w:val="34"/>
        </w:rPr>
      </w:pPr>
    </w:p>
    <w:p>
      <w:pPr>
        <w:pStyle w:val="Heading3"/>
        <w:spacing w:line="240" w:lineRule="auto"/>
        <w:ind w:left="722" w:right="0"/>
        <w:jc w:val="left"/>
        <w:rPr>
          <w:b w:val="0"/>
          <w:bCs w:val="0"/>
        </w:rPr>
      </w:pPr>
      <w:r>
        <w:rPr/>
        <w:t>（三）主要财务数据分析</w:t>
      </w:r>
      <w:r>
        <w:rPr>
          <w:b w:val="0"/>
          <w:bCs w:val="0"/>
        </w:rPr>
      </w:r>
    </w:p>
    <w:p>
      <w:pPr>
        <w:spacing w:line="240" w:lineRule="auto" w:before="4"/>
        <w:rPr>
          <w:rFonts w:ascii="宋体" w:hAnsi="宋体" w:cs="宋体" w:eastAsia="宋体" w:hint="default"/>
          <w:b/>
          <w:bCs/>
          <w:sz w:val="18"/>
          <w:szCs w:val="18"/>
        </w:rPr>
      </w:pPr>
    </w:p>
    <w:p>
      <w:pPr>
        <w:spacing w:before="0"/>
        <w:ind w:left="722" w:right="0"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、资产构成情况</w:t>
      </w:r>
      <w:r>
        <w:rPr>
          <w:rFonts w:ascii="宋体" w:hAnsi="宋体" w:cs="宋体" w:eastAsia="宋体" w:hint="default"/>
          <w:sz w:val="24"/>
          <w:szCs w:val="24"/>
        </w:rPr>
      </w:r>
    </w:p>
    <w:p>
      <w:pPr>
        <w:spacing w:line="240" w:lineRule="auto" w:before="12"/>
        <w:rPr>
          <w:rFonts w:ascii="宋体" w:hAnsi="宋体" w:cs="宋体" w:eastAsia="宋体" w:hint="default"/>
          <w:b/>
          <w:bCs/>
          <w:sz w:val="28"/>
          <w:szCs w:val="28"/>
        </w:rPr>
      </w:pPr>
    </w:p>
    <w:p>
      <w:pPr>
        <w:spacing w:before="0"/>
        <w:ind w:left="0" w:right="41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208" w:type="dxa"/>
        <w:tblLayout w:type="fixed"/>
        <w:tblCellMar>
          <w:top w:w="0" w:type="dxa"/>
          <w:left w:w="0" w:type="dxa"/>
          <w:bottom w:w="0" w:type="dxa"/>
          <w:right w:w="0" w:type="dxa"/>
        </w:tblCellMar>
        <w:tblLook w:val="01E0"/>
      </w:tblPr>
      <w:tblGrid>
        <w:gridCol w:w="2421"/>
        <w:gridCol w:w="1555"/>
        <w:gridCol w:w="1260"/>
        <w:gridCol w:w="1316"/>
        <w:gridCol w:w="1253"/>
        <w:gridCol w:w="1139"/>
      </w:tblGrid>
      <w:tr>
        <w:trPr>
          <w:trHeight w:val="442" w:hRule="exact"/>
        </w:trPr>
        <w:tc>
          <w:tcPr>
            <w:tcW w:w="2421" w:type="dxa"/>
            <w:vMerge w:val="restart"/>
            <w:tcBorders>
              <w:top w:val="single" w:sz="12" w:space="0" w:color="000000"/>
              <w:left w:val="single" w:sz="12" w:space="0" w:color="000000"/>
              <w:right w:val="single" w:sz="6" w:space="0" w:color="000000"/>
            </w:tcBorders>
            <w:shd w:val="clear" w:color="auto" w:fill="C0C0C0"/>
          </w:tcPr>
          <w:p>
            <w:pPr>
              <w:pStyle w:val="TableParagraph"/>
              <w:spacing w:line="240" w:lineRule="auto" w:before="5"/>
              <w:ind w:right="0"/>
              <w:jc w:val="left"/>
              <w:rPr>
                <w:rFonts w:ascii="宋体" w:hAnsi="宋体" w:cs="宋体" w:eastAsia="宋体" w:hint="default"/>
                <w:sz w:val="18"/>
                <w:szCs w:val="18"/>
              </w:rPr>
            </w:pPr>
          </w:p>
          <w:p>
            <w:pPr>
              <w:pStyle w:val="TableParagraph"/>
              <w:tabs>
                <w:tab w:pos="1564" w:val="left" w:leader="none"/>
              </w:tabs>
              <w:spacing w:line="240" w:lineRule="auto"/>
              <w:ind w:left="61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815" w:type="dxa"/>
            <w:gridSpan w:val="2"/>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7"/>
              <w:ind w:left="5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569" w:type="dxa"/>
            <w:gridSpan w:val="2"/>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7"/>
              <w:ind w:left="41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139" w:type="dxa"/>
            <w:vMerge w:val="restart"/>
            <w:tcBorders>
              <w:top w:val="single" w:sz="12" w:space="0" w:color="000000"/>
              <w:left w:val="single" w:sz="6" w:space="0" w:color="000000"/>
              <w:right w:val="single" w:sz="12" w:space="0" w:color="000000"/>
            </w:tcBorders>
            <w:shd w:val="clear" w:color="auto" w:fill="C0C0C0"/>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42" w:right="0"/>
              <w:jc w:val="left"/>
              <w:rPr>
                <w:rFonts w:ascii="宋体" w:hAnsi="宋体" w:cs="宋体" w:eastAsia="宋体" w:hint="default"/>
                <w:sz w:val="21"/>
                <w:szCs w:val="21"/>
              </w:rPr>
            </w:pPr>
            <w:r>
              <w:rPr>
                <w:rFonts w:ascii="宋体" w:hAnsi="宋体" w:cs="宋体" w:eastAsia="宋体" w:hint="default"/>
                <w:sz w:val="21"/>
                <w:szCs w:val="21"/>
              </w:rPr>
              <w:t>变动幅度</w:t>
            </w:r>
          </w:p>
        </w:tc>
      </w:tr>
      <w:tr>
        <w:trPr>
          <w:trHeight w:val="435" w:hRule="exact"/>
        </w:trPr>
        <w:tc>
          <w:tcPr>
            <w:tcW w:w="2421" w:type="dxa"/>
            <w:vMerge/>
            <w:tcBorders>
              <w:left w:val="single" w:sz="12" w:space="0" w:color="000000"/>
              <w:bottom w:val="single" w:sz="6" w:space="0" w:color="000000"/>
              <w:right w:val="single" w:sz="6" w:space="0" w:color="000000"/>
            </w:tcBorders>
            <w:shd w:val="clear" w:color="auto" w:fill="C0C0C0"/>
          </w:tcPr>
          <w:p>
            <w:pPr/>
          </w:p>
        </w:tc>
        <w:tc>
          <w:tcPr>
            <w:tcW w:w="155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left="412" w:right="0"/>
              <w:jc w:val="left"/>
              <w:rPr>
                <w:rFonts w:ascii="宋体" w:hAnsi="宋体" w:cs="宋体" w:eastAsia="宋体" w:hint="default"/>
                <w:sz w:val="21"/>
                <w:szCs w:val="21"/>
              </w:rPr>
            </w:pPr>
            <w:r>
              <w:rPr>
                <w:rFonts w:ascii="宋体" w:hAnsi="宋体" w:cs="宋体" w:eastAsia="宋体" w:hint="default"/>
                <w:sz w:val="21"/>
                <w:szCs w:val="21"/>
              </w:rPr>
              <w:t>比重</w:t>
            </w:r>
          </w:p>
        </w:tc>
        <w:tc>
          <w:tcPr>
            <w:tcW w:w="13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25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left="409" w:right="0"/>
              <w:jc w:val="left"/>
              <w:rPr>
                <w:rFonts w:ascii="宋体" w:hAnsi="宋体" w:cs="宋体" w:eastAsia="宋体" w:hint="default"/>
                <w:sz w:val="21"/>
                <w:szCs w:val="21"/>
              </w:rPr>
            </w:pPr>
            <w:r>
              <w:rPr>
                <w:rFonts w:ascii="宋体" w:hAnsi="宋体" w:cs="宋体" w:eastAsia="宋体" w:hint="default"/>
                <w:sz w:val="21"/>
                <w:szCs w:val="21"/>
              </w:rPr>
              <w:t>比重</w:t>
            </w:r>
          </w:p>
        </w:tc>
        <w:tc>
          <w:tcPr>
            <w:tcW w:w="1139" w:type="dxa"/>
            <w:vMerge/>
            <w:tcBorders>
              <w:left w:val="single" w:sz="6" w:space="0" w:color="000000"/>
              <w:bottom w:val="single" w:sz="6" w:space="0" w:color="000000"/>
              <w:right w:val="single" w:sz="12" w:space="0" w:color="000000"/>
            </w:tcBorders>
            <w:shd w:val="clear" w:color="auto" w:fill="C0C0C0"/>
          </w:tcPr>
          <w:p>
            <w:pPr/>
          </w:p>
        </w:tc>
      </w:tr>
      <w:tr>
        <w:trPr>
          <w:trHeight w:val="435"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55,128.06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67.16%</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9,970.70</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45.99%</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452.90%</w:t>
            </w: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8,563.78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10.43%</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4,172.45</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19.24%</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9"/>
              <w:jc w:val="right"/>
              <w:rPr>
                <w:rFonts w:ascii="Times New Roman" w:hAnsi="Times New Roman" w:cs="Times New Roman" w:eastAsia="Times New Roman" w:hint="default"/>
                <w:sz w:val="21"/>
                <w:szCs w:val="21"/>
              </w:rPr>
            </w:pPr>
            <w:r>
              <w:rPr>
                <w:rFonts w:ascii="Times New Roman"/>
                <w:spacing w:val="-1"/>
                <w:sz w:val="21"/>
              </w:rPr>
              <w:t>105.25%</w:t>
            </w:r>
          </w:p>
        </w:tc>
      </w:tr>
      <w:tr>
        <w:trPr>
          <w:trHeight w:val="442" w:hRule="exact"/>
        </w:trPr>
        <w:tc>
          <w:tcPr>
            <w:tcW w:w="242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5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987.40</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1.20%</w:t>
            </w:r>
          </w:p>
        </w:tc>
        <w:tc>
          <w:tcPr>
            <w:tcW w:w="13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416.83</w:t>
            </w:r>
          </w:p>
        </w:tc>
        <w:tc>
          <w:tcPr>
            <w:tcW w:w="12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1.92%</w:t>
            </w:r>
          </w:p>
        </w:tc>
        <w:tc>
          <w:tcPr>
            <w:tcW w:w="113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8"/>
              <w:ind w:right="89"/>
              <w:jc w:val="right"/>
              <w:rPr>
                <w:rFonts w:ascii="Times New Roman" w:hAnsi="Times New Roman" w:cs="Times New Roman" w:eastAsia="Times New Roman" w:hint="default"/>
                <w:sz w:val="21"/>
                <w:szCs w:val="21"/>
              </w:rPr>
            </w:pPr>
            <w:r>
              <w:rPr>
                <w:rFonts w:ascii="Times New Roman"/>
                <w:spacing w:val="-1"/>
                <w:sz w:val="21"/>
              </w:rPr>
              <w:t>136.89%</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400" w:bottom="900" w:left="1560" w:right="1380"/>
        </w:sectPr>
      </w:pPr>
    </w:p>
    <w:p>
      <w:pPr>
        <w:spacing w:line="240" w:lineRule="auto" w:before="1"/>
        <w:rPr>
          <w:rFonts w:ascii="宋体" w:hAnsi="宋体" w:cs="宋体" w:eastAsia="宋体" w:hint="default"/>
          <w:sz w:val="6"/>
          <w:szCs w:val="6"/>
        </w:rPr>
      </w:pPr>
    </w:p>
    <w:tbl>
      <w:tblPr>
        <w:tblW w:w="0" w:type="auto"/>
        <w:jc w:val="left"/>
        <w:tblInd w:w="108" w:type="dxa"/>
        <w:tblLayout w:type="fixed"/>
        <w:tblCellMar>
          <w:top w:w="0" w:type="dxa"/>
          <w:left w:w="0" w:type="dxa"/>
          <w:bottom w:w="0" w:type="dxa"/>
          <w:right w:w="0" w:type="dxa"/>
        </w:tblCellMar>
        <w:tblLook w:val="01E0"/>
      </w:tblPr>
      <w:tblGrid>
        <w:gridCol w:w="2421"/>
        <w:gridCol w:w="1555"/>
        <w:gridCol w:w="1260"/>
        <w:gridCol w:w="1316"/>
        <w:gridCol w:w="1253"/>
        <w:gridCol w:w="1139"/>
      </w:tblGrid>
      <w:tr>
        <w:trPr>
          <w:trHeight w:val="442" w:hRule="exact"/>
        </w:trPr>
        <w:tc>
          <w:tcPr>
            <w:tcW w:w="242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8"/>
              <w:ind w:left="304"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55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666.55</w:t>
            </w:r>
          </w:p>
        </w:tc>
        <w:tc>
          <w:tcPr>
            <w:tcW w:w="12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Times New Roman" w:hAnsi="Times New Roman" w:cs="Times New Roman" w:eastAsia="Times New Roman" w:hint="default"/>
                <w:sz w:val="21"/>
                <w:szCs w:val="21"/>
              </w:rPr>
            </w:pPr>
            <w:r>
              <w:rPr>
                <w:rFonts w:ascii="Times New Roman"/>
                <w:spacing w:val="-1"/>
                <w:sz w:val="21"/>
              </w:rPr>
              <w:t>0.81%</w:t>
            </w:r>
          </w:p>
        </w:tc>
        <w:tc>
          <w:tcPr>
            <w:tcW w:w="131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2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0.00%</w:t>
            </w:r>
          </w:p>
        </w:tc>
        <w:tc>
          <w:tcPr>
            <w:tcW w:w="1139" w:type="dxa"/>
            <w:tcBorders>
              <w:top w:val="single" w:sz="12" w:space="0" w:color="000000"/>
              <w:left w:val="single" w:sz="6" w:space="0" w:color="000000"/>
              <w:bottom w:val="single" w:sz="6" w:space="0" w:color="000000"/>
              <w:right w:val="single" w:sz="12" w:space="0" w:color="000000"/>
            </w:tcBorders>
          </w:tcPr>
          <w:p>
            <w:pP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2,303.15</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2.81%</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507.61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2.34%</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353.72%</w:t>
            </w:r>
          </w:p>
        </w:tc>
      </w:tr>
      <w:tr>
        <w:trPr>
          <w:trHeight w:val="434"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30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8,051.38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9.81%</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2,408.26</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11.11%</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9"/>
              <w:jc w:val="right"/>
              <w:rPr>
                <w:rFonts w:ascii="Times New Roman" w:hAnsi="Times New Roman" w:cs="Times New Roman" w:eastAsia="Times New Roman" w:hint="default"/>
                <w:sz w:val="21"/>
                <w:szCs w:val="21"/>
              </w:rPr>
            </w:pPr>
            <w:r>
              <w:rPr>
                <w:rFonts w:ascii="Times New Roman"/>
                <w:spacing w:val="-1"/>
                <w:sz w:val="21"/>
              </w:rPr>
              <w:t>234.32%</w:t>
            </w: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4"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75,700.31</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92.22%</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17,475.84</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80.60%</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333.17%</w:t>
            </w:r>
          </w:p>
        </w:tc>
      </w:tr>
      <w:tr>
        <w:trPr>
          <w:trHeight w:val="434"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30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4,457.96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5.43%</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3,754.98</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17.32%</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8"/>
              <w:jc w:val="right"/>
              <w:rPr>
                <w:rFonts w:ascii="Times New Roman" w:hAnsi="Times New Roman" w:cs="Times New Roman" w:eastAsia="Times New Roman" w:hint="default"/>
                <w:sz w:val="21"/>
                <w:szCs w:val="21"/>
              </w:rPr>
            </w:pPr>
            <w:r>
              <w:rPr>
                <w:rFonts w:ascii="Times New Roman"/>
                <w:spacing w:val="-1"/>
                <w:sz w:val="21"/>
              </w:rPr>
              <w:t>18.72%</w:t>
            </w: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477.30</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0.58%</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0.00%</w:t>
            </w:r>
          </w:p>
        </w:tc>
        <w:tc>
          <w:tcPr>
            <w:tcW w:w="1139" w:type="dxa"/>
            <w:tcBorders>
              <w:top w:val="single" w:sz="6" w:space="0" w:color="000000"/>
              <w:left w:val="single" w:sz="6" w:space="0" w:color="000000"/>
              <w:bottom w:val="single" w:sz="6" w:space="0" w:color="000000"/>
              <w:right w:val="single" w:sz="12" w:space="0" w:color="000000"/>
            </w:tcBorders>
          </w:tcPr>
          <w:p>
            <w:pPr/>
          </w:p>
        </w:tc>
      </w:tr>
      <w:tr>
        <w:trPr>
          <w:trHeight w:val="434"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304"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Times New Roman" w:hAnsi="Times New Roman" w:cs="Times New Roman" w:eastAsia="Times New Roman" w:hint="default"/>
                <w:sz w:val="21"/>
                <w:szCs w:val="21"/>
              </w:rPr>
            </w:pPr>
            <w:r>
              <w:rPr>
                <w:rFonts w:ascii="Times New Roman"/>
                <w:spacing w:val="-1"/>
                <w:sz w:val="21"/>
              </w:rPr>
              <w:t>78.73</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0.10%</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Times New Roman" w:hAnsi="Times New Roman" w:cs="Times New Roman" w:eastAsia="Times New Roman" w:hint="default"/>
                <w:sz w:val="21"/>
                <w:szCs w:val="21"/>
              </w:rPr>
            </w:pPr>
            <w:r>
              <w:rPr>
                <w:rFonts w:ascii="Times New Roman"/>
                <w:spacing w:val="-1"/>
                <w:sz w:val="21"/>
              </w:rPr>
              <w:t>12.11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9"/>
              <w:jc w:val="right"/>
              <w:rPr>
                <w:rFonts w:ascii="Times New Roman" w:hAnsi="Times New Roman" w:cs="Times New Roman" w:eastAsia="Times New Roman" w:hint="default"/>
                <w:sz w:val="21"/>
                <w:szCs w:val="21"/>
              </w:rPr>
            </w:pPr>
            <w:r>
              <w:rPr>
                <w:rFonts w:ascii="Times New Roman"/>
                <w:spacing w:val="-1"/>
                <w:sz w:val="21"/>
              </w:rPr>
              <w:t>0.06%</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90"/>
              <w:jc w:val="right"/>
              <w:rPr>
                <w:rFonts w:ascii="Times New Roman" w:hAnsi="Times New Roman" w:cs="Times New Roman" w:eastAsia="Times New Roman" w:hint="default"/>
                <w:sz w:val="21"/>
                <w:szCs w:val="21"/>
              </w:rPr>
            </w:pPr>
            <w:r>
              <w:rPr>
                <w:rFonts w:ascii="Times New Roman"/>
                <w:spacing w:val="-1"/>
                <w:sz w:val="21"/>
              </w:rPr>
              <w:t>550.12%</w:t>
            </w: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750.35</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0.91%</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0.00%</w:t>
            </w:r>
          </w:p>
        </w:tc>
        <w:tc>
          <w:tcPr>
            <w:tcW w:w="1139" w:type="dxa"/>
            <w:tcBorders>
              <w:top w:val="single" w:sz="6" w:space="0" w:color="000000"/>
              <w:left w:val="single" w:sz="6" w:space="0" w:color="000000"/>
              <w:bottom w:val="single" w:sz="6" w:space="0" w:color="000000"/>
              <w:right w:val="single" w:sz="12" w:space="0" w:color="000000"/>
            </w:tcBorders>
          </w:tcPr>
          <w:p>
            <w:pPr/>
          </w:p>
        </w:tc>
      </w:tr>
      <w:tr>
        <w:trPr>
          <w:trHeight w:val="434"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304"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184.68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0.22%</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118.21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0.55%</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8"/>
              <w:jc w:val="right"/>
              <w:rPr>
                <w:rFonts w:ascii="Times New Roman" w:hAnsi="Times New Roman" w:cs="Times New Roman" w:eastAsia="Times New Roman" w:hint="default"/>
                <w:sz w:val="21"/>
                <w:szCs w:val="21"/>
              </w:rPr>
            </w:pPr>
            <w:r>
              <w:rPr>
                <w:rFonts w:ascii="Times New Roman"/>
                <w:spacing w:val="-1"/>
                <w:sz w:val="21"/>
              </w:rPr>
              <w:t>56.23%</w:t>
            </w:r>
          </w:p>
        </w:tc>
      </w:tr>
      <w:tr>
        <w:trPr>
          <w:trHeight w:val="436"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304"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438.66</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0.53%</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321.33</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1.48%</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36.51%</w:t>
            </w:r>
          </w:p>
        </w:tc>
      </w:tr>
      <w:tr>
        <w:trPr>
          <w:trHeight w:val="434" w:hRule="exact"/>
        </w:trPr>
        <w:tc>
          <w:tcPr>
            <w:tcW w:w="24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8"/>
              <w:ind w:left="94"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6,387.68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7.78%</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4,206.63</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19.40%</w:t>
            </w:r>
          </w:p>
        </w:tc>
        <w:tc>
          <w:tcPr>
            <w:tcW w:w="113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right="88"/>
              <w:jc w:val="right"/>
              <w:rPr>
                <w:rFonts w:ascii="Times New Roman" w:hAnsi="Times New Roman" w:cs="Times New Roman" w:eastAsia="Times New Roman" w:hint="default"/>
                <w:sz w:val="21"/>
                <w:szCs w:val="21"/>
              </w:rPr>
            </w:pPr>
            <w:r>
              <w:rPr>
                <w:rFonts w:ascii="Times New Roman"/>
                <w:spacing w:val="-1"/>
                <w:sz w:val="21"/>
              </w:rPr>
              <w:t>51.85%</w:t>
            </w:r>
          </w:p>
        </w:tc>
      </w:tr>
      <w:tr>
        <w:trPr>
          <w:trHeight w:val="443" w:hRule="exact"/>
        </w:trPr>
        <w:tc>
          <w:tcPr>
            <w:tcW w:w="242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9"/>
              <w:ind w:left="773"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5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82,087.99</w:t>
            </w:r>
          </w:p>
        </w:tc>
        <w:tc>
          <w:tcPr>
            <w:tcW w:w="12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100.00%</w:t>
            </w:r>
          </w:p>
        </w:tc>
        <w:tc>
          <w:tcPr>
            <w:tcW w:w="13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21,682.47</w:t>
            </w:r>
          </w:p>
        </w:tc>
        <w:tc>
          <w:tcPr>
            <w:tcW w:w="12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100.00%</w:t>
            </w:r>
          </w:p>
        </w:tc>
        <w:tc>
          <w:tcPr>
            <w:tcW w:w="113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278.59%</w:t>
            </w:r>
          </w:p>
        </w:tc>
      </w:tr>
    </w:tbl>
    <w:p>
      <w:pPr>
        <w:pStyle w:val="BodyText"/>
        <w:spacing w:line="338" w:lineRule="auto" w:before="81"/>
        <w:ind w:left="140" w:right="419" w:firstLine="480"/>
        <w:jc w:val="both"/>
      </w:pPr>
      <w:r>
        <w:rPr/>
        <w:t>货币资金：货币资金年末余额较年初增长</w:t>
      </w:r>
      <w:r>
        <w:rPr>
          <w:spacing w:val="-70"/>
        </w:rPr>
        <w:t> </w:t>
      </w:r>
      <w:r>
        <w:rPr>
          <w:rFonts w:ascii="Times New Roman" w:hAnsi="Times New Roman" w:cs="Times New Roman" w:eastAsia="Times New Roman" w:hint="default"/>
          <w:spacing w:val="-3"/>
        </w:rPr>
        <w:t>452.90%</w:t>
      </w:r>
      <w:r>
        <w:rPr>
          <w:spacing w:val="-3"/>
        </w:rPr>
        <w:t>，主要是由于</w:t>
      </w:r>
      <w:r>
        <w:rPr>
          <w:spacing w:val="-7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0"/>
        </w:rPr>
        <w:t> </w:t>
      </w:r>
      <w:r>
        <w:rPr/>
        <w:t>年公司公 开发行股票收到募集资金款所致。</w:t>
      </w:r>
    </w:p>
    <w:p>
      <w:pPr>
        <w:pStyle w:val="BodyText"/>
        <w:spacing w:line="338" w:lineRule="auto" w:before="174"/>
        <w:ind w:left="140" w:right="419" w:firstLine="480"/>
        <w:jc w:val="both"/>
      </w:pPr>
      <w:r>
        <w:rPr/>
        <w:t>应收账款：应收账款年末较年初增长</w:t>
      </w:r>
      <w:r>
        <w:rPr>
          <w:spacing w:val="-21"/>
        </w:rPr>
        <w:t> </w:t>
      </w:r>
      <w:r>
        <w:rPr>
          <w:rFonts w:ascii="Times New Roman" w:hAnsi="Times New Roman" w:cs="Times New Roman" w:eastAsia="Times New Roman" w:hint="default"/>
        </w:rPr>
        <w:t>105.25%</w:t>
      </w:r>
      <w:r>
        <w:rPr/>
        <w:t>，主要是由于公司业务规模持续 扩大，销售收入增加所致。</w:t>
      </w:r>
    </w:p>
    <w:p>
      <w:pPr>
        <w:pStyle w:val="BodyText"/>
        <w:spacing w:line="338" w:lineRule="auto" w:before="174"/>
        <w:ind w:left="139" w:right="279" w:firstLine="480"/>
        <w:jc w:val="left"/>
      </w:pPr>
      <w:r>
        <w:rPr>
          <w:spacing w:val="-3"/>
        </w:rPr>
        <w:t>预付款项：预付款项年末较年初增长</w:t>
      </w:r>
      <w:r>
        <w:rPr>
          <w:spacing w:val="-90"/>
        </w:rPr>
        <w:t> </w:t>
      </w:r>
      <w:r>
        <w:rPr>
          <w:rFonts w:ascii="Times New Roman" w:hAnsi="Times New Roman" w:cs="Times New Roman" w:eastAsia="Times New Roman" w:hint="default"/>
        </w:rPr>
        <w:t>136.89%</w:t>
      </w:r>
      <w:r>
        <w:rPr/>
        <w:t>，主要是由于公司经营规模扩大， </w:t>
      </w:r>
      <w:r>
        <w:rPr>
          <w:spacing w:val="-4"/>
        </w:rPr>
        <w:t>采购需求量增加，预付材料款总额也相应增加及超算中心设备采购预付款增加所致。</w:t>
      </w:r>
    </w:p>
    <w:p>
      <w:pPr>
        <w:pStyle w:val="BodyText"/>
        <w:spacing w:line="338" w:lineRule="auto" w:before="174"/>
        <w:ind w:left="140" w:right="419" w:firstLine="480"/>
        <w:jc w:val="both"/>
      </w:pPr>
      <w:r>
        <w:rPr/>
        <w:t>应收利息：应收利息年末较年初增加</w:t>
      </w:r>
      <w:r>
        <w:rPr>
          <w:spacing w:val="-90"/>
        </w:rPr>
        <w:t> </w:t>
      </w:r>
      <w:r>
        <w:rPr>
          <w:rFonts w:ascii="Times New Roman" w:hAnsi="Times New Roman" w:cs="Times New Roman" w:eastAsia="Times New Roman" w:hint="default"/>
        </w:rPr>
        <w:t>666.55</w:t>
      </w:r>
      <w:r>
        <w:rPr>
          <w:rFonts w:ascii="Times New Roman" w:hAnsi="Times New Roman" w:cs="Times New Roman" w:eastAsia="Times New Roman" w:hint="default"/>
          <w:spacing w:val="-30"/>
        </w:rPr>
        <w:t> </w:t>
      </w:r>
      <w:r>
        <w:rPr/>
        <w:t>万元，主要是由于计提拟持有至到 期的募集资金定期存款的应收利息所致。</w:t>
      </w:r>
    </w:p>
    <w:p>
      <w:pPr>
        <w:pStyle w:val="BodyText"/>
        <w:spacing w:line="348" w:lineRule="auto" w:before="174"/>
        <w:ind w:left="140" w:right="419" w:firstLine="480"/>
        <w:jc w:val="both"/>
      </w:pPr>
      <w:r>
        <w:rPr/>
        <w:t>其他应收款：其他应收款年末较年初增长</w:t>
      </w:r>
      <w:r>
        <w:rPr>
          <w:spacing w:val="-21"/>
        </w:rPr>
        <w:t> </w:t>
      </w:r>
      <w:r>
        <w:rPr>
          <w:rFonts w:ascii="Times New Roman" w:hAnsi="Times New Roman" w:cs="Times New Roman" w:eastAsia="Times New Roman" w:hint="default"/>
        </w:rPr>
        <w:t>353.72%</w:t>
      </w:r>
      <w:r>
        <w:rPr/>
        <w:t>，主要是由于新增厦门火炬 集团购房意向保证金及经营规模扩大相应的质保金、投标保证金及履约保证金增加 所致。</w:t>
      </w:r>
    </w:p>
    <w:p>
      <w:pPr>
        <w:pStyle w:val="BodyText"/>
        <w:spacing w:line="338" w:lineRule="auto" w:before="164"/>
        <w:ind w:left="140" w:right="419" w:firstLine="480"/>
        <w:jc w:val="both"/>
      </w:pPr>
      <w:r>
        <w:rPr/>
        <w:t>存货：存货年末余额较年初增加</w:t>
      </w:r>
      <w:r>
        <w:rPr>
          <w:spacing w:val="-21"/>
        </w:rPr>
        <w:t> </w:t>
      </w:r>
      <w:r>
        <w:rPr>
          <w:rFonts w:ascii="Times New Roman" w:hAnsi="Times New Roman" w:cs="Times New Roman" w:eastAsia="Times New Roman" w:hint="default"/>
        </w:rPr>
        <w:t>234.32%</w:t>
      </w:r>
      <w:r>
        <w:rPr/>
        <w:t>，主要是由于公司的经营规模扩大， 年末销售备货及签订合同仍在实施中，已发货未验收商品较大幅度增加所致。</w:t>
      </w:r>
    </w:p>
    <w:p>
      <w:pPr>
        <w:pStyle w:val="BodyText"/>
        <w:spacing w:line="338" w:lineRule="auto" w:before="174"/>
        <w:ind w:left="140" w:right="419" w:firstLine="480"/>
        <w:jc w:val="both"/>
      </w:pPr>
      <w:r>
        <w:rPr/>
        <w:t>在建工程：在建工程年末余额较年初增加</w:t>
      </w:r>
      <w:r>
        <w:rPr>
          <w:spacing w:val="-71"/>
        </w:rPr>
        <w:t> </w:t>
      </w:r>
      <w:r>
        <w:rPr>
          <w:rFonts w:ascii="Times New Roman" w:hAnsi="Times New Roman" w:cs="Times New Roman" w:eastAsia="Times New Roman" w:hint="default"/>
        </w:rPr>
        <w:t>477.30</w:t>
      </w:r>
      <w:r>
        <w:rPr>
          <w:rFonts w:ascii="Times New Roman" w:hAnsi="Times New Roman" w:cs="Times New Roman" w:eastAsia="Times New Roman" w:hint="default"/>
          <w:spacing w:val="-11"/>
        </w:rPr>
        <w:t> </w:t>
      </w:r>
      <w:r>
        <w:rPr>
          <w:spacing w:val="-3"/>
        </w:rPr>
        <w:t>万元，主要是由于超算中心建</w:t>
      </w:r>
      <w:r>
        <w:rPr/>
        <w:t> 设年末尚未全部完工投入使用所致。</w:t>
      </w:r>
    </w:p>
    <w:p>
      <w:pPr>
        <w:spacing w:after="0" w:line="338" w:lineRule="auto"/>
        <w:jc w:val="both"/>
        <w:sectPr>
          <w:pgSz w:w="12240" w:h="15840"/>
          <w:pgMar w:header="0" w:footer="688" w:top="1360" w:bottom="900" w:left="1660" w:right="1380"/>
        </w:sectPr>
      </w:pPr>
    </w:p>
    <w:p>
      <w:pPr>
        <w:pStyle w:val="BodyText"/>
        <w:spacing w:line="338" w:lineRule="auto" w:before="1"/>
        <w:ind w:left="240" w:right="221" w:firstLine="480"/>
        <w:jc w:val="left"/>
      </w:pPr>
      <w:r>
        <w:rPr/>
        <w:t>无形资产：无形资产年末较年初增长</w:t>
      </w:r>
      <w:r>
        <w:rPr>
          <w:spacing w:val="-21"/>
        </w:rPr>
        <w:t> </w:t>
      </w:r>
      <w:r>
        <w:rPr>
          <w:rFonts w:ascii="Times New Roman" w:hAnsi="Times New Roman" w:cs="Times New Roman" w:eastAsia="Times New Roman" w:hint="default"/>
        </w:rPr>
        <w:t>550.12%</w:t>
      </w:r>
      <w:r>
        <w:rPr/>
        <w:t>，主要是由于增加购置了办公软 件所致。</w:t>
      </w:r>
    </w:p>
    <w:p>
      <w:pPr>
        <w:pStyle w:val="BodyText"/>
        <w:spacing w:line="348" w:lineRule="auto" w:before="174"/>
        <w:ind w:left="240" w:right="0" w:firstLine="480"/>
        <w:jc w:val="left"/>
      </w:pPr>
      <w:r>
        <w:rPr/>
        <w:t>开发支出：开发支出年末较年初增加</w:t>
      </w:r>
      <w:r>
        <w:rPr>
          <w:spacing w:val="-75"/>
        </w:rPr>
        <w:t> </w:t>
      </w:r>
      <w:r>
        <w:rPr>
          <w:rFonts w:ascii="Times New Roman" w:hAnsi="Times New Roman" w:cs="Times New Roman" w:eastAsia="Times New Roman" w:hint="default"/>
        </w:rPr>
        <w:t>750.35</w:t>
      </w:r>
      <w:r>
        <w:rPr>
          <w:rFonts w:ascii="Times New Roman" w:hAnsi="Times New Roman" w:cs="Times New Roman" w:eastAsia="Times New Roman" w:hint="default"/>
          <w:spacing w:val="-15"/>
        </w:rPr>
        <w:t> </w:t>
      </w:r>
      <w:r>
        <w:rPr/>
        <w:t>万元，主要是由于研发项目已经进 </w:t>
      </w:r>
      <w:r>
        <w:rPr>
          <w:spacing w:val="-4"/>
        </w:rPr>
        <w:t>入了开发阶段，根据《企业会计准则》有关规定，公司对相应的支出予以了资本化，</w:t>
      </w:r>
      <w:r>
        <w:rPr>
          <w:spacing w:val="-92"/>
        </w:rPr>
        <w:t> </w:t>
      </w:r>
      <w:r>
        <w:rPr>
          <w:spacing w:val="-92"/>
        </w:rPr>
      </w:r>
      <w:r>
        <w:rPr/>
        <w:t>形成开发支出。</w:t>
      </w:r>
    </w:p>
    <w:p>
      <w:pPr>
        <w:pStyle w:val="BodyText"/>
        <w:spacing w:line="338" w:lineRule="auto" w:before="164"/>
        <w:ind w:left="239" w:right="219" w:firstLine="480"/>
        <w:jc w:val="left"/>
      </w:pPr>
      <w:r>
        <w:rPr/>
        <w:t>长期待摊费用：长期待摊费用年末较年初增长</w:t>
      </w:r>
      <w:r>
        <w:rPr>
          <w:spacing w:val="-87"/>
        </w:rPr>
        <w:t> </w:t>
      </w:r>
      <w:r>
        <w:rPr>
          <w:rFonts w:ascii="Times New Roman" w:hAnsi="Times New Roman" w:cs="Times New Roman" w:eastAsia="Times New Roman" w:hint="default"/>
          <w:spacing w:val="-3"/>
        </w:rPr>
        <w:t>56.23%</w:t>
      </w:r>
      <w:r>
        <w:rPr>
          <w:spacing w:val="-3"/>
        </w:rPr>
        <w:t>，主要是由于租赁办公楼</w:t>
      </w:r>
      <w:r>
        <w:rPr/>
        <w:t> 和办事处装修所致。</w:t>
      </w:r>
    </w:p>
    <w:p>
      <w:pPr>
        <w:pStyle w:val="BodyText"/>
        <w:spacing w:line="338" w:lineRule="auto" w:before="174"/>
        <w:ind w:left="239" w:right="219" w:firstLine="480"/>
        <w:jc w:val="left"/>
      </w:pPr>
      <w:r>
        <w:rPr/>
        <w:t>递延所得税资产：递延所得税资产较年初增长</w:t>
      </w:r>
      <w:r>
        <w:rPr>
          <w:spacing w:val="-87"/>
        </w:rPr>
        <w:t> </w:t>
      </w:r>
      <w:r>
        <w:rPr>
          <w:rFonts w:ascii="Times New Roman" w:hAnsi="Times New Roman" w:cs="Times New Roman" w:eastAsia="Times New Roman" w:hint="default"/>
          <w:spacing w:val="-3"/>
        </w:rPr>
        <w:t>36.51%</w:t>
      </w:r>
      <w:r>
        <w:rPr>
          <w:spacing w:val="-3"/>
        </w:rPr>
        <w:t>，主要是由于报告期递延</w:t>
      </w:r>
      <w:r>
        <w:rPr/>
        <w:t> 收益和年末计提的资产减值准备较年初增加所致。</w:t>
      </w:r>
    </w:p>
    <w:p>
      <w:pPr>
        <w:spacing w:line="240" w:lineRule="auto" w:before="6"/>
        <w:rPr>
          <w:rFonts w:ascii="宋体" w:hAnsi="宋体" w:cs="宋体" w:eastAsia="宋体" w:hint="default"/>
          <w:sz w:val="22"/>
          <w:szCs w:val="22"/>
        </w:rPr>
      </w:pPr>
    </w:p>
    <w:p>
      <w:pPr>
        <w:pStyle w:val="Heading3"/>
        <w:spacing w:line="240" w:lineRule="auto"/>
        <w:ind w:left="722" w:right="133"/>
        <w:jc w:val="left"/>
        <w:rPr>
          <w:b w:val="0"/>
          <w:bCs w:val="0"/>
        </w:rPr>
      </w:pPr>
      <w:r>
        <w:rPr>
          <w:rFonts w:ascii="Times New Roman" w:hAnsi="Times New Roman" w:cs="Times New Roman" w:eastAsia="Times New Roman" w:hint="default"/>
        </w:rPr>
        <w:t>2</w:t>
      </w:r>
      <w:r>
        <w:rPr/>
        <w:t>、负债和权益情况</w:t>
      </w:r>
      <w:r>
        <w:rPr>
          <w:b w:val="0"/>
          <w:bCs w:val="0"/>
        </w:rPr>
      </w:r>
    </w:p>
    <w:p>
      <w:pPr>
        <w:spacing w:line="240" w:lineRule="auto" w:before="12"/>
        <w:rPr>
          <w:rFonts w:ascii="宋体" w:hAnsi="宋体" w:cs="宋体" w:eastAsia="宋体" w:hint="default"/>
          <w:b/>
          <w:bCs/>
          <w:sz w:val="28"/>
          <w:szCs w:val="28"/>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121"/>
        <w:gridCol w:w="1771"/>
        <w:gridCol w:w="1253"/>
        <w:gridCol w:w="1546"/>
        <w:gridCol w:w="1092"/>
        <w:gridCol w:w="1073"/>
      </w:tblGrid>
      <w:tr>
        <w:trPr>
          <w:trHeight w:val="442" w:hRule="exact"/>
        </w:trPr>
        <w:tc>
          <w:tcPr>
            <w:tcW w:w="2121" w:type="dxa"/>
            <w:vMerge w:val="restart"/>
            <w:tcBorders>
              <w:top w:val="single" w:sz="12" w:space="0" w:color="000000"/>
              <w:left w:val="single" w:sz="12" w:space="0" w:color="000000"/>
              <w:right w:val="single" w:sz="6" w:space="0" w:color="000000"/>
            </w:tcBorders>
            <w:shd w:val="clear" w:color="auto" w:fill="C0C0C0"/>
          </w:tcPr>
          <w:p>
            <w:pPr>
              <w:pStyle w:val="TableParagraph"/>
              <w:spacing w:line="240" w:lineRule="auto" w:before="5"/>
              <w:ind w:right="0"/>
              <w:jc w:val="left"/>
              <w:rPr>
                <w:rFonts w:ascii="宋体" w:hAnsi="宋体" w:cs="宋体" w:eastAsia="宋体" w:hint="default"/>
                <w:sz w:val="18"/>
                <w:szCs w:val="18"/>
              </w:rPr>
            </w:pPr>
          </w:p>
          <w:p>
            <w:pPr>
              <w:pStyle w:val="TableParagraph"/>
              <w:tabs>
                <w:tab w:pos="1413" w:val="left" w:leader="none"/>
              </w:tabs>
              <w:spacing w:line="240" w:lineRule="auto"/>
              <w:ind w:left="46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024" w:type="dxa"/>
            <w:gridSpan w:val="2"/>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7"/>
              <w:ind w:left="6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638" w:type="dxa"/>
            <w:gridSpan w:val="2"/>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7"/>
              <w:ind w:left="44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073" w:type="dxa"/>
            <w:vMerge w:val="restart"/>
            <w:tcBorders>
              <w:top w:val="single" w:sz="12" w:space="0" w:color="000000"/>
              <w:left w:val="single" w:sz="6" w:space="0" w:color="000000"/>
              <w:right w:val="single" w:sz="12" w:space="0" w:color="000000"/>
            </w:tcBorders>
            <w:shd w:val="clear" w:color="auto" w:fill="C0C0C0"/>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9" w:right="0"/>
              <w:jc w:val="left"/>
              <w:rPr>
                <w:rFonts w:ascii="宋体" w:hAnsi="宋体" w:cs="宋体" w:eastAsia="宋体" w:hint="default"/>
                <w:sz w:val="21"/>
                <w:szCs w:val="21"/>
              </w:rPr>
            </w:pPr>
            <w:r>
              <w:rPr>
                <w:rFonts w:ascii="宋体" w:hAnsi="宋体" w:cs="宋体" w:eastAsia="宋体" w:hint="default"/>
                <w:sz w:val="21"/>
                <w:szCs w:val="21"/>
              </w:rPr>
              <w:t>变动幅度</w:t>
            </w:r>
          </w:p>
        </w:tc>
      </w:tr>
      <w:tr>
        <w:trPr>
          <w:trHeight w:val="434" w:hRule="exact"/>
        </w:trPr>
        <w:tc>
          <w:tcPr>
            <w:tcW w:w="2121" w:type="dxa"/>
            <w:vMerge/>
            <w:tcBorders>
              <w:left w:val="single" w:sz="12" w:space="0" w:color="000000"/>
              <w:bottom w:val="single" w:sz="6" w:space="0" w:color="000000"/>
              <w:right w:val="single" w:sz="6" w:space="0" w:color="000000"/>
            </w:tcBorders>
            <w:shd w:val="clear" w:color="auto" w:fill="C0C0C0"/>
          </w:tcPr>
          <w:p>
            <w:pPr/>
          </w:p>
        </w:tc>
        <w:tc>
          <w:tcPr>
            <w:tcW w:w="177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25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left="409" w:right="0"/>
              <w:jc w:val="left"/>
              <w:rPr>
                <w:rFonts w:ascii="宋体" w:hAnsi="宋体" w:cs="宋体" w:eastAsia="宋体" w:hint="default"/>
                <w:sz w:val="21"/>
                <w:szCs w:val="21"/>
              </w:rPr>
            </w:pPr>
            <w:r>
              <w:rPr>
                <w:rFonts w:ascii="宋体" w:hAnsi="宋体" w:cs="宋体" w:eastAsia="宋体" w:hint="default"/>
                <w:sz w:val="21"/>
                <w:szCs w:val="21"/>
              </w:rPr>
              <w:t>比重</w:t>
            </w:r>
          </w:p>
        </w:tc>
        <w:tc>
          <w:tcPr>
            <w:tcW w:w="154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9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39"/>
              <w:ind w:left="328" w:right="0"/>
              <w:jc w:val="left"/>
              <w:rPr>
                <w:rFonts w:ascii="宋体" w:hAnsi="宋体" w:cs="宋体" w:eastAsia="宋体" w:hint="default"/>
                <w:sz w:val="21"/>
                <w:szCs w:val="21"/>
              </w:rPr>
            </w:pPr>
            <w:r>
              <w:rPr>
                <w:rFonts w:ascii="宋体" w:hAnsi="宋体" w:cs="宋体" w:eastAsia="宋体" w:hint="default"/>
                <w:sz w:val="21"/>
                <w:szCs w:val="21"/>
              </w:rPr>
              <w:t>比重</w:t>
            </w:r>
          </w:p>
        </w:tc>
        <w:tc>
          <w:tcPr>
            <w:tcW w:w="1073" w:type="dxa"/>
            <w:vMerge/>
            <w:tcBorders>
              <w:left w:val="single" w:sz="6" w:space="0" w:color="000000"/>
              <w:bottom w:val="single" w:sz="6" w:space="0" w:color="000000"/>
              <w:right w:val="single" w:sz="12" w:space="0" w:color="000000"/>
            </w:tcBorders>
            <w:shd w:val="clear" w:color="auto" w:fill="C0C0C0"/>
          </w:tcPr>
          <w:p>
            <w:pP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3,202.46</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3.90%</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2,148.45</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9.91%</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49.06%</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5,106.78</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6.22%</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2,887.63</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6"/>
              <w:jc w:val="right"/>
              <w:rPr>
                <w:rFonts w:ascii="Times New Roman" w:hAnsi="Times New Roman" w:cs="Times New Roman" w:eastAsia="Times New Roman" w:hint="default"/>
                <w:sz w:val="21"/>
                <w:szCs w:val="21"/>
              </w:rPr>
            </w:pPr>
            <w:r>
              <w:rPr>
                <w:rFonts w:ascii="Times New Roman"/>
                <w:spacing w:val="-1"/>
                <w:sz w:val="21"/>
              </w:rPr>
              <w:t>13.32%</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76.85%</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2,568.71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3.13%</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1,385.02</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6.39%</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85.46%</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1,498.58</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1.83%</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1,051.04</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4.85%</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42.58%</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306.65</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0.37%</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185.48</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0.86%</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65.33%</w:t>
            </w:r>
          </w:p>
        </w:tc>
      </w:tr>
      <w:tr>
        <w:trPr>
          <w:trHeight w:val="559"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exact"/>
              <w:ind w:left="93"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0.00%</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204.21</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0.94%</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1"/>
              <w:ind w:right="90"/>
              <w:jc w:val="right"/>
              <w:rPr>
                <w:rFonts w:ascii="Times New Roman" w:hAnsi="Times New Roman" w:cs="Times New Roman" w:eastAsia="Times New Roman" w:hint="default"/>
                <w:sz w:val="21"/>
                <w:szCs w:val="21"/>
              </w:rPr>
            </w:pPr>
            <w:r>
              <w:rPr>
                <w:rFonts w:ascii="Times New Roman"/>
                <w:spacing w:val="-1"/>
                <w:sz w:val="21"/>
              </w:rPr>
              <w:t>-100.00%</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12,683.18</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15.45%</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7,861.83</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36.26%</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61.33%</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0.00%</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1,085.84</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5.01%</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-100.00%</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30.00</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0.04%</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110.00</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0.51%</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-72.73%</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2,005.93</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2.44%</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1,547.03</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7.13%</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29.66%</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2,035.93</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2.48%</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2,742.87</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12.65%</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9"/>
              <w:jc w:val="right"/>
              <w:rPr>
                <w:rFonts w:ascii="Times New Roman" w:hAnsi="Times New Roman" w:cs="Times New Roman" w:eastAsia="Times New Roman" w:hint="default"/>
                <w:sz w:val="21"/>
                <w:szCs w:val="21"/>
              </w:rPr>
            </w:pPr>
            <w:r>
              <w:rPr>
                <w:rFonts w:ascii="Times New Roman"/>
                <w:spacing w:val="-1"/>
                <w:sz w:val="21"/>
              </w:rPr>
              <w:t>-25.77%</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14,719.11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17.93%</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10,604.70</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48.91%</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9"/>
              <w:jc w:val="right"/>
              <w:rPr>
                <w:rFonts w:ascii="Times New Roman" w:hAnsi="Times New Roman" w:cs="Times New Roman" w:eastAsia="Times New Roman" w:hint="default"/>
                <w:sz w:val="21"/>
                <w:szCs w:val="21"/>
              </w:rPr>
            </w:pPr>
            <w:r>
              <w:rPr>
                <w:rFonts w:ascii="Times New Roman"/>
                <w:spacing w:val="-1"/>
                <w:sz w:val="21"/>
              </w:rPr>
              <w:t>38.80%</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5,350.00</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6.52%</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4,000.00</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6"/>
              <w:jc w:val="right"/>
              <w:rPr>
                <w:rFonts w:ascii="Times New Roman" w:hAnsi="Times New Roman" w:cs="Times New Roman" w:eastAsia="Times New Roman" w:hint="default"/>
                <w:sz w:val="21"/>
                <w:szCs w:val="21"/>
              </w:rPr>
            </w:pPr>
            <w:r>
              <w:rPr>
                <w:rFonts w:ascii="Times New Roman"/>
                <w:spacing w:val="-1"/>
                <w:sz w:val="21"/>
              </w:rPr>
              <w:t>18.45%</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8"/>
              <w:jc w:val="right"/>
              <w:rPr>
                <w:rFonts w:ascii="Times New Roman" w:hAnsi="Times New Roman" w:cs="Times New Roman" w:eastAsia="Times New Roman" w:hint="default"/>
                <w:sz w:val="21"/>
                <w:szCs w:val="21"/>
              </w:rPr>
            </w:pPr>
            <w:r>
              <w:rPr>
                <w:rFonts w:ascii="Times New Roman"/>
                <w:spacing w:val="-1"/>
                <w:sz w:val="21"/>
              </w:rPr>
              <w:t>33.75%</w:t>
            </w:r>
          </w:p>
        </w:tc>
      </w:tr>
      <w:tr>
        <w:trPr>
          <w:trHeight w:val="443" w:hRule="exact"/>
        </w:trPr>
        <w:tc>
          <w:tcPr>
            <w:tcW w:w="212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7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50,318.20</w:t>
            </w:r>
          </w:p>
        </w:tc>
        <w:tc>
          <w:tcPr>
            <w:tcW w:w="12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61.30%</w:t>
            </w:r>
          </w:p>
        </w:tc>
        <w:tc>
          <w:tcPr>
            <w:tcW w:w="15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1,527.60</w:t>
            </w:r>
          </w:p>
        </w:tc>
        <w:tc>
          <w:tcPr>
            <w:tcW w:w="10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7.05%</w:t>
            </w:r>
          </w:p>
        </w:tc>
        <w:tc>
          <w:tcPr>
            <w:tcW w:w="10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3193.94%</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400" w:bottom="90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121"/>
        <w:gridCol w:w="1771"/>
        <w:gridCol w:w="1253"/>
        <w:gridCol w:w="1546"/>
        <w:gridCol w:w="1092"/>
        <w:gridCol w:w="1073"/>
      </w:tblGrid>
      <w:tr>
        <w:trPr>
          <w:trHeight w:val="442" w:hRule="exact"/>
        </w:trPr>
        <w:tc>
          <w:tcPr>
            <w:tcW w:w="212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8"/>
              <w:ind w:left="9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77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1,233.86</w:t>
            </w:r>
          </w:p>
        </w:tc>
        <w:tc>
          <w:tcPr>
            <w:tcW w:w="12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1.50%</w:t>
            </w:r>
          </w:p>
        </w:tc>
        <w:tc>
          <w:tcPr>
            <w:tcW w:w="15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7"/>
              <w:jc w:val="right"/>
              <w:rPr>
                <w:rFonts w:ascii="Times New Roman" w:hAnsi="Times New Roman" w:cs="Times New Roman" w:eastAsia="Times New Roman" w:hint="default"/>
                <w:sz w:val="21"/>
                <w:szCs w:val="21"/>
              </w:rPr>
            </w:pPr>
            <w:r>
              <w:rPr>
                <w:rFonts w:ascii="Times New Roman"/>
                <w:spacing w:val="-1"/>
                <w:sz w:val="21"/>
              </w:rPr>
              <w:t>632.94</w:t>
            </w:r>
          </w:p>
        </w:tc>
        <w:tc>
          <w:tcPr>
            <w:tcW w:w="10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Times New Roman" w:hAnsi="Times New Roman" w:cs="Times New Roman" w:eastAsia="Times New Roman" w:hint="default"/>
                <w:sz w:val="21"/>
                <w:szCs w:val="21"/>
              </w:rPr>
            </w:pPr>
            <w:r>
              <w:rPr>
                <w:rFonts w:ascii="Times New Roman"/>
                <w:spacing w:val="-1"/>
                <w:sz w:val="21"/>
              </w:rPr>
              <w:t>2.92%</w:t>
            </w:r>
          </w:p>
        </w:tc>
        <w:tc>
          <w:tcPr>
            <w:tcW w:w="107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7"/>
              <w:ind w:right="88"/>
              <w:jc w:val="right"/>
              <w:rPr>
                <w:rFonts w:ascii="Times New Roman" w:hAnsi="Times New Roman" w:cs="Times New Roman" w:eastAsia="Times New Roman" w:hint="default"/>
                <w:sz w:val="21"/>
                <w:szCs w:val="21"/>
              </w:rPr>
            </w:pPr>
            <w:r>
              <w:rPr>
                <w:rFonts w:ascii="Times New Roman"/>
                <w:spacing w:val="-1"/>
                <w:sz w:val="21"/>
              </w:rPr>
              <w:t>94.94%</w:t>
            </w:r>
          </w:p>
        </w:tc>
      </w:tr>
      <w:tr>
        <w:trPr>
          <w:trHeight w:val="436"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9"/>
              <w:jc w:val="right"/>
              <w:rPr>
                <w:rFonts w:ascii="Times New Roman" w:hAnsi="Times New Roman" w:cs="Times New Roman" w:eastAsia="Times New Roman" w:hint="default"/>
                <w:sz w:val="21"/>
                <w:szCs w:val="21"/>
              </w:rPr>
            </w:pPr>
            <w:r>
              <w:rPr>
                <w:rFonts w:ascii="Times New Roman"/>
                <w:spacing w:val="-1"/>
                <w:sz w:val="21"/>
              </w:rPr>
              <w:t>10,466.81</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12.75%</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4,917.24</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22.68%</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89"/>
              <w:jc w:val="right"/>
              <w:rPr>
                <w:rFonts w:ascii="Times New Roman" w:hAnsi="Times New Roman" w:cs="Times New Roman" w:eastAsia="Times New Roman" w:hint="default"/>
                <w:sz w:val="21"/>
                <w:szCs w:val="21"/>
              </w:rPr>
            </w:pPr>
            <w:r>
              <w:rPr>
                <w:rFonts w:ascii="Times New Roman"/>
                <w:spacing w:val="-1"/>
                <w:sz w:val="21"/>
              </w:rPr>
              <w:t>112.86%</w:t>
            </w:r>
          </w:p>
        </w:tc>
      </w:tr>
      <w:tr>
        <w:trPr>
          <w:trHeight w:val="559"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39"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归属于母公司所有者</w:t>
            </w:r>
            <w:r>
              <w:rPr>
                <w:rFonts w:ascii="宋体" w:hAnsi="宋体" w:cs="宋体" w:eastAsia="宋体" w:hint="default"/>
                <w:sz w:val="21"/>
                <w:szCs w:val="21"/>
              </w:rPr>
            </w:r>
          </w:p>
          <w:p>
            <w:pPr>
              <w:pStyle w:val="TableParagraph"/>
              <w:spacing w:line="273"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权益合计</w:t>
            </w:r>
            <w:r>
              <w:rPr>
                <w:rFonts w:ascii="宋体" w:hAnsi="宋体" w:cs="宋体" w:eastAsia="宋体" w:hint="default"/>
                <w:sz w:val="21"/>
                <w:szCs w:val="21"/>
              </w:rPr>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67,368.87</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82.07%</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11,077.77</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51.09%</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50"/>
              <w:ind w:right="90"/>
              <w:jc w:val="right"/>
              <w:rPr>
                <w:rFonts w:ascii="Times New Roman" w:hAnsi="Times New Roman" w:cs="Times New Roman" w:eastAsia="Times New Roman" w:hint="default"/>
                <w:sz w:val="21"/>
                <w:szCs w:val="21"/>
              </w:rPr>
            </w:pPr>
            <w:r>
              <w:rPr>
                <w:rFonts w:ascii="Times New Roman"/>
                <w:spacing w:val="-1"/>
                <w:sz w:val="21"/>
              </w:rPr>
              <w:t>508.14%</w:t>
            </w:r>
          </w:p>
        </w:tc>
      </w:tr>
      <w:tr>
        <w:trPr>
          <w:trHeight w:val="434" w:hRule="exact"/>
        </w:trPr>
        <w:tc>
          <w:tcPr>
            <w:tcW w:w="21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9"/>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67,368.87</w:t>
            </w:r>
          </w:p>
        </w:tc>
        <w:tc>
          <w:tcPr>
            <w:tcW w:w="12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82.07%</w:t>
            </w:r>
          </w:p>
        </w:tc>
        <w:tc>
          <w:tcPr>
            <w:tcW w:w="15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8"/>
              <w:jc w:val="right"/>
              <w:rPr>
                <w:rFonts w:ascii="Times New Roman" w:hAnsi="Times New Roman" w:cs="Times New Roman" w:eastAsia="Times New Roman" w:hint="default"/>
                <w:sz w:val="21"/>
                <w:szCs w:val="21"/>
              </w:rPr>
            </w:pPr>
            <w:r>
              <w:rPr>
                <w:rFonts w:ascii="Times New Roman"/>
                <w:spacing w:val="-1"/>
                <w:sz w:val="21"/>
              </w:rPr>
              <w:t>11,077.77</w:t>
            </w:r>
          </w:p>
        </w:tc>
        <w:tc>
          <w:tcPr>
            <w:tcW w:w="10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97"/>
              <w:jc w:val="right"/>
              <w:rPr>
                <w:rFonts w:ascii="Times New Roman" w:hAnsi="Times New Roman" w:cs="Times New Roman" w:eastAsia="Times New Roman" w:hint="default"/>
                <w:sz w:val="21"/>
                <w:szCs w:val="21"/>
              </w:rPr>
            </w:pPr>
            <w:r>
              <w:rPr>
                <w:rFonts w:ascii="Times New Roman"/>
                <w:spacing w:val="-1"/>
                <w:sz w:val="21"/>
              </w:rPr>
              <w:t>51.09%</w:t>
            </w:r>
          </w:p>
        </w:tc>
        <w:tc>
          <w:tcPr>
            <w:tcW w:w="10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8"/>
              <w:ind w:right="90"/>
              <w:jc w:val="right"/>
              <w:rPr>
                <w:rFonts w:ascii="Times New Roman" w:hAnsi="Times New Roman" w:cs="Times New Roman" w:eastAsia="Times New Roman" w:hint="default"/>
                <w:sz w:val="21"/>
                <w:szCs w:val="21"/>
              </w:rPr>
            </w:pPr>
            <w:r>
              <w:rPr>
                <w:rFonts w:ascii="Times New Roman"/>
                <w:spacing w:val="-1"/>
                <w:sz w:val="21"/>
              </w:rPr>
              <w:t>508.14%</w:t>
            </w:r>
          </w:p>
        </w:tc>
      </w:tr>
      <w:tr>
        <w:trPr>
          <w:trHeight w:val="568" w:hRule="exact"/>
        </w:trPr>
        <w:tc>
          <w:tcPr>
            <w:tcW w:w="2121" w:type="dxa"/>
            <w:tcBorders>
              <w:top w:val="single" w:sz="6" w:space="0" w:color="000000"/>
              <w:left w:val="single" w:sz="12" w:space="0" w:color="000000"/>
              <w:bottom w:val="single" w:sz="12" w:space="0" w:color="000000"/>
              <w:right w:val="single" w:sz="6" w:space="0" w:color="000000"/>
            </w:tcBorders>
          </w:tcPr>
          <w:p>
            <w:pPr>
              <w:pStyle w:val="TableParagraph"/>
              <w:spacing w:line="240" w:lineRule="exact"/>
              <w:ind w:right="4"/>
              <w:jc w:val="center"/>
              <w:rPr>
                <w:rFonts w:ascii="宋体" w:hAnsi="宋体" w:cs="宋体" w:eastAsia="宋体" w:hint="default"/>
                <w:sz w:val="21"/>
                <w:szCs w:val="21"/>
              </w:rPr>
            </w:pPr>
            <w:r>
              <w:rPr>
                <w:rFonts w:ascii="宋体" w:hAnsi="宋体" w:cs="宋体" w:eastAsia="宋体" w:hint="default"/>
                <w:b/>
                <w:bCs/>
                <w:sz w:val="21"/>
                <w:szCs w:val="21"/>
              </w:rPr>
              <w:t>负债和所有者权益总</w:t>
            </w:r>
            <w:r>
              <w:rPr>
                <w:rFonts w:ascii="宋体" w:hAnsi="宋体" w:cs="宋体" w:eastAsia="宋体" w:hint="default"/>
                <w:sz w:val="21"/>
                <w:szCs w:val="21"/>
              </w:rPr>
            </w:r>
          </w:p>
          <w:p>
            <w:pPr>
              <w:pStyle w:val="TableParagraph"/>
              <w:spacing w:line="274" w:lineRule="exact"/>
              <w:ind w:right="7"/>
              <w:jc w:val="center"/>
              <w:rPr>
                <w:rFonts w:ascii="宋体" w:hAnsi="宋体" w:cs="宋体" w:eastAsia="宋体" w:hint="default"/>
                <w:sz w:val="21"/>
                <w:szCs w:val="21"/>
              </w:rPr>
            </w:pPr>
            <w:r>
              <w:rPr>
                <w:rFonts w:ascii="宋体" w:hAnsi="宋体" w:cs="宋体" w:eastAsia="宋体" w:hint="default"/>
                <w:b/>
                <w:bCs/>
                <w:w w:val="99"/>
                <w:sz w:val="21"/>
                <w:szCs w:val="21"/>
              </w:rPr>
              <w:t>计</w:t>
            </w:r>
            <w:r>
              <w:rPr>
                <w:rFonts w:ascii="宋体" w:hAnsi="宋体" w:cs="宋体" w:eastAsia="宋体" w:hint="default"/>
                <w:sz w:val="21"/>
                <w:szCs w:val="21"/>
              </w:rPr>
            </w:r>
          </w:p>
        </w:tc>
        <w:tc>
          <w:tcPr>
            <w:tcW w:w="177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82,087.99</w:t>
            </w:r>
          </w:p>
        </w:tc>
        <w:tc>
          <w:tcPr>
            <w:tcW w:w="12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100.00%</w:t>
            </w:r>
          </w:p>
        </w:tc>
        <w:tc>
          <w:tcPr>
            <w:tcW w:w="15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21,682.47</w:t>
            </w:r>
          </w:p>
        </w:tc>
        <w:tc>
          <w:tcPr>
            <w:tcW w:w="10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100.00%</w:t>
            </w:r>
          </w:p>
        </w:tc>
        <w:tc>
          <w:tcPr>
            <w:tcW w:w="10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51"/>
              <w:ind w:right="90"/>
              <w:jc w:val="right"/>
              <w:rPr>
                <w:rFonts w:ascii="Times New Roman" w:hAnsi="Times New Roman" w:cs="Times New Roman" w:eastAsia="Times New Roman" w:hint="default"/>
                <w:sz w:val="21"/>
                <w:szCs w:val="21"/>
              </w:rPr>
            </w:pPr>
            <w:r>
              <w:rPr>
                <w:rFonts w:ascii="Times New Roman"/>
                <w:spacing w:val="-1"/>
                <w:sz w:val="21"/>
              </w:rPr>
              <w:t>278.59%</w:t>
            </w:r>
          </w:p>
        </w:tc>
      </w:tr>
    </w:tbl>
    <w:p>
      <w:pPr>
        <w:pStyle w:val="BodyText"/>
        <w:spacing w:line="338" w:lineRule="auto" w:before="81"/>
        <w:ind w:left="239" w:right="238" w:firstLine="480"/>
        <w:jc w:val="left"/>
      </w:pPr>
      <w:r>
        <w:rPr>
          <w:spacing w:val="-1"/>
        </w:rPr>
        <w:t>应付账款：应付帐款较年初增加</w:t>
      </w:r>
      <w:r>
        <w:rPr>
          <w:rFonts w:ascii="Times New Roman" w:hAnsi="Times New Roman" w:cs="Times New Roman" w:eastAsia="Times New Roman" w:hint="default"/>
          <w:spacing w:val="-1"/>
        </w:rPr>
        <w:t>49.06%</w:t>
      </w:r>
      <w:r>
        <w:rPr>
          <w:spacing w:val="-1"/>
        </w:rPr>
        <w:t>，主要是由于公司的经营规模扩大，采</w:t>
      </w:r>
      <w:r>
        <w:rPr/>
        <w:t> 购量增加所致。</w:t>
      </w:r>
    </w:p>
    <w:p>
      <w:pPr>
        <w:pStyle w:val="BodyText"/>
        <w:spacing w:line="338" w:lineRule="auto" w:before="174"/>
        <w:ind w:left="239" w:right="133" w:firstLine="480"/>
        <w:jc w:val="left"/>
      </w:pPr>
      <w:r>
        <w:rPr>
          <w:spacing w:val="-1"/>
        </w:rPr>
        <w:t>预收账款：预收账款较年初增加</w:t>
      </w:r>
      <w:r>
        <w:rPr>
          <w:rFonts w:ascii="Times New Roman" w:hAnsi="Times New Roman" w:cs="Times New Roman" w:eastAsia="Times New Roman" w:hint="default"/>
          <w:spacing w:val="-1"/>
        </w:rPr>
        <w:t>76.85%</w:t>
      </w:r>
      <w:r>
        <w:rPr>
          <w:spacing w:val="-1"/>
        </w:rPr>
        <w:t>，主要是年末新签订的合同和已经发货 </w:t>
      </w:r>
      <w:r>
        <w:rPr/>
        <w:t>但未验收确认收入的项目收取的款项。</w:t>
      </w:r>
    </w:p>
    <w:p>
      <w:pPr>
        <w:pStyle w:val="BodyText"/>
        <w:spacing w:line="338" w:lineRule="auto" w:before="174"/>
        <w:ind w:left="239" w:right="133" w:firstLine="480"/>
        <w:jc w:val="left"/>
      </w:pPr>
      <w:r>
        <w:rPr>
          <w:spacing w:val="-1"/>
        </w:rPr>
        <w:t>应付职工薪酬：应付职工薪酬较年初增加</w:t>
      </w:r>
      <w:r>
        <w:rPr>
          <w:rFonts w:ascii="Times New Roman" w:hAnsi="Times New Roman" w:cs="Times New Roman" w:eastAsia="Times New Roman" w:hint="default"/>
          <w:spacing w:val="-1"/>
        </w:rPr>
        <w:t>85.46%</w:t>
      </w:r>
      <w:r>
        <w:rPr>
          <w:spacing w:val="-1"/>
        </w:rPr>
        <w:t>，主要是由于本年度公司经营 </w:t>
      </w:r>
      <w:r>
        <w:rPr/>
        <w:t>规模扩大，职工人数相应增加，计提应付职工薪酬总额增加所致。</w:t>
      </w:r>
    </w:p>
    <w:p>
      <w:pPr>
        <w:pStyle w:val="BodyText"/>
        <w:spacing w:line="338" w:lineRule="auto" w:before="174"/>
        <w:ind w:left="239" w:right="133" w:firstLine="480"/>
        <w:jc w:val="left"/>
      </w:pPr>
      <w:r>
        <w:rPr>
          <w:spacing w:val="-1"/>
        </w:rPr>
        <w:t>应交税费：应交税费较年初增加</w:t>
      </w:r>
      <w:r>
        <w:rPr>
          <w:rFonts w:ascii="Times New Roman" w:hAnsi="Times New Roman" w:cs="Times New Roman" w:eastAsia="Times New Roman" w:hint="default"/>
          <w:spacing w:val="-1"/>
        </w:rPr>
        <w:t>42.58%</w:t>
      </w:r>
      <w:r>
        <w:rPr>
          <w:spacing w:val="-1"/>
        </w:rPr>
        <w:t>，主要是由于本年度销售收入增长引起 </w:t>
      </w:r>
      <w:r>
        <w:rPr/>
        <w:t>的未交增值税增加，同时利润增长也引起应交所得税增加所致。</w:t>
      </w:r>
    </w:p>
    <w:p>
      <w:pPr>
        <w:pStyle w:val="BodyText"/>
        <w:spacing w:line="240" w:lineRule="auto" w:before="174"/>
        <w:ind w:left="719" w:right="133"/>
        <w:jc w:val="left"/>
      </w:pPr>
      <w:r>
        <w:rPr>
          <w:spacing w:val="6"/>
        </w:rPr>
        <w:t>其他应付款：其他应付款较年初增加</w:t>
      </w:r>
      <w:r>
        <w:rPr>
          <w:rFonts w:ascii="Times New Roman" w:hAnsi="Times New Roman" w:cs="Times New Roman" w:eastAsia="Times New Roman" w:hint="default"/>
          <w:spacing w:val="6"/>
        </w:rPr>
        <w:t>45.33%</w:t>
      </w:r>
      <w:r>
        <w:rPr>
          <w:spacing w:val="6"/>
        </w:rPr>
        <w:t>，主要是由于年末计提的归属于</w:t>
      </w:r>
      <w:r>
        <w:rPr/>
      </w:r>
    </w:p>
    <w:p>
      <w:pPr>
        <w:pStyle w:val="BodyText"/>
        <w:spacing w:line="424" w:lineRule="auto" w:before="134"/>
        <w:ind w:left="719" w:right="221" w:hanging="480"/>
        <w:jc w:val="left"/>
      </w:pPr>
      <w:r>
        <w:rPr>
          <w:rFonts w:ascii="Times New Roman" w:hAnsi="Times New Roman" w:cs="Times New Roman" w:eastAsia="Times New Roman" w:hint="default"/>
        </w:rPr>
        <w:t>2011</w:t>
      </w:r>
      <w:r>
        <w:rPr/>
        <w:t>年度但尚未支付的费用。 一年内到期的非流动负债及长期借款变动，主要是公司归还了购房按揭贷款所</w:t>
      </w:r>
    </w:p>
    <w:p>
      <w:pPr>
        <w:pStyle w:val="BodyText"/>
        <w:spacing w:line="283" w:lineRule="exact"/>
        <w:ind w:left="239" w:right="133"/>
        <w:jc w:val="left"/>
      </w:pPr>
      <w:r>
        <w:rPr/>
        <w:t>致。</w:t>
      </w:r>
    </w:p>
    <w:p>
      <w:pPr>
        <w:spacing w:line="240" w:lineRule="auto" w:before="11"/>
        <w:rPr>
          <w:rFonts w:ascii="宋体" w:hAnsi="宋体" w:cs="宋体" w:eastAsia="宋体" w:hint="default"/>
          <w:sz w:val="20"/>
          <w:szCs w:val="20"/>
        </w:rPr>
      </w:pPr>
    </w:p>
    <w:p>
      <w:pPr>
        <w:pStyle w:val="BodyText"/>
        <w:spacing w:line="338" w:lineRule="auto"/>
        <w:ind w:left="239" w:right="238" w:firstLine="480"/>
        <w:jc w:val="left"/>
      </w:pPr>
      <w:r>
        <w:rPr>
          <w:spacing w:val="-1"/>
        </w:rPr>
        <w:t>专项应付款：专项应付款较年初减少</w:t>
      </w:r>
      <w:r>
        <w:rPr>
          <w:rFonts w:ascii="Times New Roman" w:hAnsi="Times New Roman" w:cs="Times New Roman" w:eastAsia="Times New Roman" w:hint="default"/>
          <w:spacing w:val="-1"/>
        </w:rPr>
        <w:t>72.73%</w:t>
      </w:r>
      <w:r>
        <w:rPr>
          <w:spacing w:val="-1"/>
        </w:rPr>
        <w:t>，主要是由于符合营业外收入确认</w:t>
      </w:r>
      <w:r>
        <w:rPr/>
        <w:t> 条件的政府补助转为营业外收入所致。</w:t>
      </w:r>
    </w:p>
    <w:p>
      <w:pPr>
        <w:pStyle w:val="BodyText"/>
        <w:spacing w:line="338" w:lineRule="auto" w:before="174"/>
        <w:ind w:left="239" w:right="133" w:firstLine="480"/>
        <w:jc w:val="left"/>
      </w:pPr>
      <w:r>
        <w:rPr>
          <w:spacing w:val="2"/>
        </w:rPr>
        <w:t>股本：股本较年初增长</w:t>
      </w:r>
      <w:r>
        <w:rPr>
          <w:rFonts w:ascii="Times New Roman" w:hAnsi="Times New Roman" w:cs="Times New Roman" w:eastAsia="Times New Roman" w:hint="default"/>
          <w:spacing w:val="2"/>
        </w:rPr>
        <w:t>33.75%</w:t>
      </w:r>
      <w:r>
        <w:rPr>
          <w:spacing w:val="2"/>
        </w:rPr>
        <w:t>，主要是公司于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月份在创业板公开发行</w:t>
      </w:r>
      <w:r>
        <w:rPr>
          <w:spacing w:val="3"/>
        </w:rPr>
        <w:t> </w:t>
      </w:r>
      <w:r>
        <w:rPr/>
        <w:t>股票，增加股本</w:t>
      </w:r>
      <w:r>
        <w:rPr>
          <w:rFonts w:ascii="Times New Roman" w:hAnsi="Times New Roman" w:cs="Times New Roman" w:eastAsia="Times New Roman" w:hint="default"/>
        </w:rPr>
        <w:t>1350</w:t>
      </w:r>
      <w:r>
        <w:rPr/>
        <w:t>万元所致。</w:t>
      </w:r>
    </w:p>
    <w:p>
      <w:pPr>
        <w:pStyle w:val="BodyText"/>
        <w:spacing w:line="338" w:lineRule="auto" w:before="145"/>
        <w:ind w:left="240" w:right="133" w:firstLine="480"/>
        <w:jc w:val="left"/>
      </w:pPr>
      <w:r>
        <w:rPr>
          <w:spacing w:val="2"/>
        </w:rPr>
        <w:t>资本公积：资本公积较期初增长</w:t>
      </w:r>
      <w:r>
        <w:rPr>
          <w:rFonts w:ascii="Times New Roman" w:hAnsi="Times New Roman" w:cs="Times New Roman" w:eastAsia="Times New Roman" w:hint="default"/>
          <w:spacing w:val="2"/>
        </w:rPr>
        <w:t>3193.94%</w:t>
      </w:r>
      <w:r>
        <w:rPr>
          <w:spacing w:val="2"/>
        </w:rPr>
        <w:t>，主要是公司于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月份在创业</w:t>
      </w:r>
      <w:r>
        <w:rPr>
          <w:spacing w:val="4"/>
        </w:rPr>
        <w:t> </w:t>
      </w:r>
      <w:r>
        <w:rPr/>
        <w:t>板公开发行股票，股本溢价所致。</w:t>
      </w:r>
    </w:p>
    <w:p>
      <w:pPr>
        <w:pStyle w:val="BodyText"/>
        <w:spacing w:line="338" w:lineRule="auto" w:before="174"/>
        <w:ind w:left="240" w:right="237" w:firstLine="480"/>
        <w:jc w:val="left"/>
      </w:pPr>
      <w:r>
        <w:rPr>
          <w:spacing w:val="-1"/>
        </w:rPr>
        <w:t>盈余公积：盈余公积较年初增长</w:t>
      </w:r>
      <w:r>
        <w:rPr>
          <w:rFonts w:ascii="Times New Roman" w:hAnsi="Times New Roman" w:cs="Times New Roman" w:eastAsia="Times New Roman" w:hint="default"/>
          <w:spacing w:val="-1"/>
        </w:rPr>
        <w:t>94.94%</w:t>
      </w:r>
      <w:r>
        <w:rPr>
          <w:spacing w:val="-1"/>
        </w:rPr>
        <w:t>，主要是母公司根据本年度实现的净利 </w:t>
      </w:r>
      <w:r>
        <w:rPr/>
        <w:t>润的</w:t>
      </w:r>
      <w:r>
        <w:rPr>
          <w:rFonts w:ascii="Times New Roman" w:hAnsi="Times New Roman" w:cs="Times New Roman" w:eastAsia="Times New Roman" w:hint="default"/>
        </w:rPr>
        <w:t>10%</w:t>
      </w:r>
      <w:r>
        <w:rPr/>
        <w:t>提取盈余公积所致。</w:t>
      </w:r>
    </w:p>
    <w:p>
      <w:pPr>
        <w:spacing w:after="0" w:line="338" w:lineRule="auto"/>
        <w:jc w:val="left"/>
        <w:sectPr>
          <w:pgSz w:w="12240" w:h="15840"/>
          <w:pgMar w:header="0" w:footer="688" w:top="1360" w:bottom="900" w:left="1560" w:right="1560"/>
        </w:sectPr>
      </w:pPr>
    </w:p>
    <w:p>
      <w:pPr>
        <w:pStyle w:val="BodyText"/>
        <w:spacing w:line="338" w:lineRule="auto" w:before="1"/>
        <w:ind w:left="240" w:right="133" w:firstLine="480"/>
        <w:jc w:val="left"/>
      </w:pPr>
      <w:r>
        <w:rPr>
          <w:spacing w:val="2"/>
        </w:rPr>
        <w:t>未分配利润：未分配利润较年初增长</w:t>
      </w:r>
      <w:r>
        <w:rPr>
          <w:rFonts w:ascii="Times New Roman" w:hAnsi="Times New Roman" w:cs="Times New Roman" w:eastAsia="Times New Roman" w:hint="default"/>
          <w:spacing w:val="2"/>
        </w:rPr>
        <w:t>112.86%</w:t>
      </w:r>
      <w:r>
        <w:rPr>
          <w:spacing w:val="2"/>
        </w:rPr>
        <w:t>，主要是本年度公司盈利大幅增</w:t>
      </w:r>
      <w:r>
        <w:rPr>
          <w:spacing w:val="3"/>
        </w:rPr>
        <w:t> </w:t>
      </w:r>
      <w:r>
        <w:rPr/>
        <w:t>长所致。</w:t>
      </w:r>
    </w:p>
    <w:p>
      <w:pPr>
        <w:spacing w:line="240" w:lineRule="auto" w:before="6"/>
        <w:rPr>
          <w:rFonts w:ascii="宋体" w:hAnsi="宋体" w:cs="宋体" w:eastAsia="宋体" w:hint="default"/>
          <w:sz w:val="22"/>
          <w:szCs w:val="22"/>
        </w:rPr>
      </w:pPr>
    </w:p>
    <w:p>
      <w:pPr>
        <w:pStyle w:val="Heading3"/>
        <w:spacing w:line="240" w:lineRule="auto"/>
        <w:ind w:left="722" w:right="133"/>
        <w:jc w:val="left"/>
        <w:rPr>
          <w:b w:val="0"/>
          <w:bCs w:val="0"/>
        </w:rPr>
      </w:pPr>
      <w:r>
        <w:rPr>
          <w:rFonts w:ascii="Times New Roman" w:hAnsi="Times New Roman" w:cs="Times New Roman" w:eastAsia="Times New Roman" w:hint="default"/>
        </w:rPr>
        <w:t>3</w:t>
      </w:r>
      <w:r>
        <w:rPr/>
        <w:t>、费用情况</w:t>
      </w:r>
      <w:r>
        <w:rPr>
          <w:b w:val="0"/>
          <w:bCs w:val="0"/>
        </w:rPr>
      </w:r>
    </w:p>
    <w:p>
      <w:pPr>
        <w:spacing w:line="240" w:lineRule="auto" w:before="12"/>
        <w:rPr>
          <w:rFonts w:ascii="宋体" w:hAnsi="宋体" w:cs="宋体" w:eastAsia="宋体" w:hint="default"/>
          <w:b/>
          <w:bCs/>
          <w:sz w:val="28"/>
          <w:szCs w:val="28"/>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822"/>
        <w:gridCol w:w="1702"/>
        <w:gridCol w:w="1690"/>
        <w:gridCol w:w="2228"/>
        <w:gridCol w:w="1414"/>
      </w:tblGrid>
      <w:tr>
        <w:trPr>
          <w:trHeight w:val="567" w:hRule="exact"/>
        </w:trPr>
        <w:tc>
          <w:tcPr>
            <w:tcW w:w="1822" w:type="dxa"/>
            <w:tcBorders>
              <w:top w:val="single" w:sz="12" w:space="0" w:color="000000"/>
              <w:left w:val="single" w:sz="12" w:space="0" w:color="000000"/>
              <w:bottom w:val="single" w:sz="6" w:space="0" w:color="000000"/>
              <w:right w:val="single" w:sz="6" w:space="0" w:color="000000"/>
            </w:tcBorders>
            <w:shd w:val="clear" w:color="auto" w:fill="C0C0C0"/>
          </w:tcPr>
          <w:p>
            <w:pPr>
              <w:pStyle w:val="TableParagraph"/>
              <w:tabs>
                <w:tab w:pos="1264" w:val="left" w:leader="none"/>
              </w:tabs>
              <w:spacing w:line="240" w:lineRule="auto" w:before="100"/>
              <w:ind w:left="31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02"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0"/>
              <w:ind w:left="39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690"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0"/>
              <w:ind w:left="39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228"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0"/>
              <w:ind w:right="161"/>
              <w:jc w:val="right"/>
              <w:rPr>
                <w:rFonts w:ascii="宋体" w:hAnsi="宋体" w:cs="宋体" w:eastAsia="宋体" w:hint="default"/>
                <w:sz w:val="21"/>
                <w:szCs w:val="21"/>
              </w:rPr>
            </w:pPr>
            <w:r>
              <w:rPr>
                <w:rFonts w:ascii="宋体" w:hAnsi="宋体" w:cs="宋体" w:eastAsia="宋体" w:hint="default"/>
                <w:sz w:val="21"/>
                <w:szCs w:val="21"/>
              </w:rPr>
              <w:t>本年比上年增减金额</w:t>
            </w:r>
          </w:p>
        </w:tc>
        <w:tc>
          <w:tcPr>
            <w:tcW w:w="1414" w:type="dxa"/>
            <w:tcBorders>
              <w:top w:val="single" w:sz="12" w:space="0" w:color="000000"/>
              <w:left w:val="single" w:sz="6" w:space="0" w:color="000000"/>
              <w:bottom w:val="single" w:sz="6" w:space="0" w:color="000000"/>
              <w:right w:val="single" w:sz="12" w:space="0" w:color="000000"/>
            </w:tcBorders>
            <w:shd w:val="clear" w:color="auto" w:fill="C0C0C0"/>
          </w:tcPr>
          <w:p>
            <w:pPr>
              <w:pStyle w:val="TableParagraph"/>
              <w:spacing w:line="238" w:lineRule="exact"/>
              <w:ind w:left="8" w:right="0"/>
              <w:jc w:val="center"/>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增减幅度</w:t>
            </w:r>
          </w:p>
        </w:tc>
      </w:tr>
      <w:tr>
        <w:trPr>
          <w:trHeight w:val="496" w:hRule="exact"/>
        </w:trPr>
        <w:tc>
          <w:tcPr>
            <w:tcW w:w="18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left="30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5,352.07</w:t>
            </w:r>
          </w:p>
        </w:tc>
        <w:tc>
          <w:tcPr>
            <w:tcW w:w="1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2,563.73</w:t>
            </w:r>
          </w:p>
        </w:tc>
        <w:tc>
          <w:tcPr>
            <w:tcW w:w="2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2,788.34</w:t>
            </w:r>
          </w:p>
        </w:tc>
        <w:tc>
          <w:tcPr>
            <w:tcW w:w="14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90"/>
              <w:jc w:val="right"/>
              <w:rPr>
                <w:rFonts w:ascii="Times New Roman" w:hAnsi="Times New Roman" w:cs="Times New Roman" w:eastAsia="Times New Roman" w:hint="default"/>
                <w:sz w:val="21"/>
                <w:szCs w:val="21"/>
              </w:rPr>
            </w:pPr>
            <w:r>
              <w:rPr>
                <w:rFonts w:ascii="Times New Roman"/>
                <w:spacing w:val="-1"/>
                <w:sz w:val="21"/>
              </w:rPr>
              <w:t>108.76%</w:t>
            </w:r>
          </w:p>
        </w:tc>
      </w:tr>
      <w:tr>
        <w:trPr>
          <w:trHeight w:val="494" w:hRule="exact"/>
        </w:trPr>
        <w:tc>
          <w:tcPr>
            <w:tcW w:w="18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left="3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6,712.74</w:t>
            </w:r>
          </w:p>
        </w:tc>
        <w:tc>
          <w:tcPr>
            <w:tcW w:w="1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4,623.60</w:t>
            </w:r>
          </w:p>
        </w:tc>
        <w:tc>
          <w:tcPr>
            <w:tcW w:w="2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2,089.14</w:t>
            </w:r>
          </w:p>
        </w:tc>
        <w:tc>
          <w:tcPr>
            <w:tcW w:w="14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45.18%</w:t>
            </w:r>
          </w:p>
        </w:tc>
      </w:tr>
      <w:tr>
        <w:trPr>
          <w:trHeight w:val="496" w:hRule="exact"/>
        </w:trPr>
        <w:tc>
          <w:tcPr>
            <w:tcW w:w="18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9"/>
              <w:ind w:left="3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-1,011.81</w:t>
            </w:r>
          </w:p>
        </w:tc>
        <w:tc>
          <w:tcPr>
            <w:tcW w:w="16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36.01</w:t>
            </w:r>
          </w:p>
        </w:tc>
        <w:tc>
          <w:tcPr>
            <w:tcW w:w="22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right="98"/>
              <w:jc w:val="right"/>
              <w:rPr>
                <w:rFonts w:ascii="Times New Roman" w:hAnsi="Times New Roman" w:cs="Times New Roman" w:eastAsia="Times New Roman" w:hint="default"/>
                <w:sz w:val="21"/>
                <w:szCs w:val="21"/>
              </w:rPr>
            </w:pPr>
            <w:r>
              <w:rPr>
                <w:rFonts w:ascii="Times New Roman"/>
                <w:spacing w:val="-1"/>
                <w:sz w:val="21"/>
              </w:rPr>
              <w:t>-1,047.82</w:t>
            </w:r>
          </w:p>
        </w:tc>
        <w:tc>
          <w:tcPr>
            <w:tcW w:w="14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8"/>
              <w:ind w:right="90"/>
              <w:jc w:val="right"/>
              <w:rPr>
                <w:rFonts w:ascii="Times New Roman" w:hAnsi="Times New Roman" w:cs="Times New Roman" w:eastAsia="Times New Roman" w:hint="default"/>
                <w:sz w:val="21"/>
                <w:szCs w:val="21"/>
              </w:rPr>
            </w:pPr>
            <w:r>
              <w:rPr>
                <w:rFonts w:ascii="Times New Roman"/>
                <w:spacing w:val="-1"/>
                <w:sz w:val="21"/>
              </w:rPr>
              <w:t>-2909.80%</w:t>
            </w:r>
          </w:p>
        </w:tc>
      </w:tr>
      <w:tr>
        <w:trPr>
          <w:trHeight w:val="502" w:hRule="exact"/>
        </w:trPr>
        <w:tc>
          <w:tcPr>
            <w:tcW w:w="18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9"/>
              <w:ind w:left="3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11,053.00</w:t>
            </w:r>
          </w:p>
        </w:tc>
        <w:tc>
          <w:tcPr>
            <w:tcW w:w="169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7"/>
              <w:jc w:val="right"/>
              <w:rPr>
                <w:rFonts w:ascii="Times New Roman" w:hAnsi="Times New Roman" w:cs="Times New Roman" w:eastAsia="Times New Roman" w:hint="default"/>
                <w:sz w:val="21"/>
                <w:szCs w:val="21"/>
              </w:rPr>
            </w:pPr>
            <w:r>
              <w:rPr>
                <w:rFonts w:ascii="Times New Roman"/>
                <w:spacing w:val="-1"/>
                <w:sz w:val="21"/>
              </w:rPr>
              <w:t>7,223.34</w:t>
            </w:r>
          </w:p>
        </w:tc>
        <w:tc>
          <w:tcPr>
            <w:tcW w:w="222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8"/>
              <w:ind w:right="99"/>
              <w:jc w:val="right"/>
              <w:rPr>
                <w:rFonts w:ascii="Times New Roman" w:hAnsi="Times New Roman" w:cs="Times New Roman" w:eastAsia="Times New Roman" w:hint="default"/>
                <w:sz w:val="21"/>
                <w:szCs w:val="21"/>
              </w:rPr>
            </w:pPr>
            <w:r>
              <w:rPr>
                <w:rFonts w:ascii="Times New Roman"/>
                <w:spacing w:val="-1"/>
                <w:sz w:val="21"/>
              </w:rPr>
              <w:t>3,829.66</w:t>
            </w:r>
          </w:p>
        </w:tc>
        <w:tc>
          <w:tcPr>
            <w:tcW w:w="141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8"/>
              <w:ind w:right="88"/>
              <w:jc w:val="right"/>
              <w:rPr>
                <w:rFonts w:ascii="Times New Roman" w:hAnsi="Times New Roman" w:cs="Times New Roman" w:eastAsia="Times New Roman" w:hint="default"/>
                <w:sz w:val="21"/>
                <w:szCs w:val="21"/>
              </w:rPr>
            </w:pPr>
            <w:r>
              <w:rPr>
                <w:rFonts w:ascii="Times New Roman"/>
                <w:spacing w:val="-1"/>
                <w:sz w:val="21"/>
              </w:rPr>
              <w:t>53.02%</w:t>
            </w:r>
          </w:p>
        </w:tc>
      </w:tr>
    </w:tbl>
    <w:p>
      <w:pPr>
        <w:pStyle w:val="BodyText"/>
        <w:spacing w:line="338" w:lineRule="auto" w:before="81"/>
        <w:ind w:left="240" w:right="133" w:firstLine="480"/>
        <w:jc w:val="left"/>
      </w:pPr>
      <w:r>
        <w:rPr>
          <w:spacing w:val="2"/>
        </w:rPr>
        <w:t>销售费用比上年度增长</w:t>
      </w:r>
      <w:r>
        <w:rPr>
          <w:rFonts w:ascii="Times New Roman" w:hAnsi="Times New Roman" w:cs="Times New Roman" w:eastAsia="Times New Roman" w:hint="default"/>
          <w:spacing w:val="2"/>
        </w:rPr>
        <w:t>108.76%</w:t>
      </w:r>
      <w:r>
        <w:rPr>
          <w:spacing w:val="2"/>
        </w:rPr>
        <w:t>，主要是由于公司经营规模扩大，员工人数增</w:t>
      </w:r>
      <w:r>
        <w:rPr>
          <w:spacing w:val="3"/>
        </w:rPr>
        <w:t> </w:t>
      </w:r>
      <w:r>
        <w:rPr/>
        <w:t>加，人员费用及差旅费用、业务宣传费等较大幅度增长所致。</w:t>
      </w:r>
    </w:p>
    <w:p>
      <w:pPr>
        <w:pStyle w:val="BodyText"/>
        <w:spacing w:line="338" w:lineRule="auto" w:before="174"/>
        <w:ind w:left="239" w:right="238" w:firstLine="480"/>
        <w:jc w:val="left"/>
      </w:pPr>
      <w:r>
        <w:rPr>
          <w:spacing w:val="-1"/>
        </w:rPr>
        <w:t>管理费用比上年度增长</w:t>
      </w:r>
      <w:r>
        <w:rPr>
          <w:rFonts w:ascii="Times New Roman" w:hAnsi="Times New Roman" w:cs="Times New Roman" w:eastAsia="Times New Roman" w:hint="default"/>
          <w:spacing w:val="-1"/>
        </w:rPr>
        <w:t>45.18%</w:t>
      </w:r>
      <w:r>
        <w:rPr>
          <w:spacing w:val="-1"/>
        </w:rPr>
        <w:t>，主要是公司经营规模扩大，员工人数增加，人</w:t>
      </w:r>
      <w:r>
        <w:rPr/>
        <w:t> 员费用、研发费用及业务招待费等较大幅度增长所致。</w:t>
      </w:r>
    </w:p>
    <w:p>
      <w:pPr>
        <w:pStyle w:val="BodyText"/>
        <w:spacing w:line="357" w:lineRule="auto" w:before="174"/>
        <w:ind w:left="239" w:right="221" w:firstLine="480"/>
        <w:jc w:val="left"/>
      </w:pPr>
      <w:r>
        <w:rPr/>
        <w:t>财务费用比上年度降低，主要是由于本年度公司上市，募集资金增加了银行存 款利息收入，以及提前归还银行按揭贷款后减少借款利息支出所致。</w:t>
      </w:r>
    </w:p>
    <w:p>
      <w:pPr>
        <w:spacing w:line="240" w:lineRule="auto" w:before="0"/>
        <w:rPr>
          <w:rFonts w:ascii="宋体" w:hAnsi="宋体" w:cs="宋体" w:eastAsia="宋体" w:hint="default"/>
          <w:sz w:val="21"/>
          <w:szCs w:val="21"/>
        </w:rPr>
      </w:pPr>
    </w:p>
    <w:p>
      <w:pPr>
        <w:pStyle w:val="Heading3"/>
        <w:spacing w:line="240" w:lineRule="auto"/>
        <w:ind w:left="722" w:right="133"/>
        <w:jc w:val="left"/>
        <w:rPr>
          <w:b w:val="0"/>
          <w:bCs w:val="0"/>
        </w:rPr>
      </w:pPr>
      <w:r>
        <w:rPr>
          <w:rFonts w:ascii="Times New Roman" w:hAnsi="Times New Roman" w:cs="Times New Roman" w:eastAsia="Times New Roman" w:hint="default"/>
        </w:rPr>
        <w:t>4</w:t>
      </w:r>
      <w:r>
        <w:rPr/>
        <w:t>、现金流量情况</w:t>
      </w:r>
      <w:r>
        <w:rPr>
          <w:b w:val="0"/>
          <w:bCs w:val="0"/>
        </w:rPr>
      </w:r>
    </w:p>
    <w:p>
      <w:pPr>
        <w:spacing w:line="240" w:lineRule="auto" w:before="12"/>
        <w:rPr>
          <w:rFonts w:ascii="宋体" w:hAnsi="宋体" w:cs="宋体" w:eastAsia="宋体" w:hint="default"/>
          <w:b/>
          <w:bCs/>
          <w:sz w:val="28"/>
          <w:szCs w:val="28"/>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321"/>
        <w:gridCol w:w="1932"/>
        <w:gridCol w:w="1649"/>
        <w:gridCol w:w="1369"/>
        <w:gridCol w:w="1585"/>
      </w:tblGrid>
      <w:tr>
        <w:trPr>
          <w:trHeight w:val="755" w:hRule="exact"/>
        </w:trPr>
        <w:tc>
          <w:tcPr>
            <w:tcW w:w="2321"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项目</w:t>
            </w:r>
          </w:p>
        </w:tc>
        <w:tc>
          <w:tcPr>
            <w:tcW w:w="1932"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6"/>
              <w:ind w:left="622"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649"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6"/>
              <w:ind w:left="47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369"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87"/>
              <w:ind w:left="259" w:right="152" w:hanging="105"/>
              <w:jc w:val="left"/>
              <w:rPr>
                <w:rFonts w:ascii="宋体" w:hAnsi="宋体" w:cs="宋体" w:eastAsia="宋体" w:hint="default"/>
                <w:sz w:val="21"/>
                <w:szCs w:val="21"/>
              </w:rPr>
            </w:pPr>
            <w:r>
              <w:rPr>
                <w:rFonts w:ascii="宋体" w:hAnsi="宋体" w:cs="宋体" w:eastAsia="宋体" w:hint="default"/>
                <w:sz w:val="21"/>
                <w:szCs w:val="21"/>
              </w:rPr>
              <w:t>本年比上年 增减金额</w:t>
            </w:r>
          </w:p>
        </w:tc>
        <w:tc>
          <w:tcPr>
            <w:tcW w:w="1585"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72" w:lineRule="exact" w:before="87"/>
              <w:ind w:left="472" w:right="145" w:hanging="316"/>
              <w:jc w:val="left"/>
              <w:rPr>
                <w:rFonts w:ascii="Times New Roman" w:hAnsi="Times New Roman" w:cs="Times New Roman" w:eastAsia="Times New Roman" w:hint="default"/>
                <w:sz w:val="21"/>
                <w:szCs w:val="21"/>
              </w:rPr>
            </w:pPr>
            <w:r>
              <w:rPr>
                <w:rFonts w:ascii="宋体" w:hAnsi="宋体" w:cs="宋体" w:eastAsia="宋体" w:hint="default"/>
                <w:sz w:val="21"/>
                <w:szCs w:val="21"/>
              </w:rPr>
              <w:t>本年比上年增 减</w:t>
            </w:r>
            <w:r>
              <w:rPr>
                <w:rFonts w:ascii="宋体" w:hAnsi="宋体" w:cs="宋体" w:eastAsia="宋体" w:hint="default"/>
                <w:spacing w:val="-3"/>
                <w:sz w:val="21"/>
                <w:szCs w:val="21"/>
              </w:rPr>
              <w:t> </w:t>
            </w:r>
            <w:r>
              <w:rPr>
                <w:rFonts w:ascii="Times New Roman" w:hAnsi="Times New Roman" w:cs="Times New Roman" w:eastAsia="Times New Roman" w:hint="default"/>
                <w:sz w:val="21"/>
                <w:szCs w:val="21"/>
              </w:rPr>
              <w:t>(%)</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一、经营活动产生的现</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金流量净额</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Times New Roman" w:hAnsi="Times New Roman" w:cs="Times New Roman" w:eastAsia="Times New Roman" w:hint="default"/>
                <w:sz w:val="21"/>
                <w:szCs w:val="21"/>
              </w:rPr>
            </w:pPr>
            <w:r>
              <w:rPr>
                <w:rFonts w:ascii="Times New Roman"/>
                <w:spacing w:val="-1"/>
                <w:sz w:val="21"/>
              </w:rPr>
              <w:t>394.83</w:t>
            </w:r>
            <w:r>
              <w:rPr>
                <w:rFonts w:ascii="Times New Roman"/>
                <w:sz w:val="21"/>
              </w:rPr>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Times New Roman" w:hAnsi="Times New Roman" w:cs="Times New Roman" w:eastAsia="Times New Roman" w:hint="default"/>
                <w:sz w:val="21"/>
                <w:szCs w:val="21"/>
              </w:rPr>
            </w:pPr>
            <w:r>
              <w:rPr>
                <w:rFonts w:ascii="Times New Roman"/>
                <w:spacing w:val="-1"/>
                <w:sz w:val="21"/>
              </w:rPr>
              <w:t>5,883.86</w:t>
            </w:r>
            <w:r>
              <w:rPr>
                <w:rFonts w:ascii="Times New Roman"/>
                <w:sz w:val="21"/>
              </w:rPr>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-5,489.03</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-93.29%</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6"/>
              <w:ind w:right="12"/>
              <w:jc w:val="center"/>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2"/>
                <w:sz w:val="21"/>
              </w:rPr>
              <w:t>31,621.11</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25,853.03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5,768.08</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88"/>
              <w:jc w:val="right"/>
              <w:rPr>
                <w:rFonts w:ascii="Times New Roman" w:hAnsi="Times New Roman" w:cs="Times New Roman" w:eastAsia="Times New Roman" w:hint="default"/>
                <w:sz w:val="21"/>
                <w:szCs w:val="21"/>
              </w:rPr>
            </w:pPr>
            <w:r>
              <w:rPr>
                <w:rFonts w:ascii="Times New Roman"/>
                <w:spacing w:val="-1"/>
                <w:sz w:val="21"/>
              </w:rPr>
              <w:t>22.31%</w:t>
            </w:r>
          </w:p>
        </w:tc>
      </w:tr>
      <w:tr>
        <w:trPr>
          <w:trHeight w:val="564"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6"/>
              <w:ind w:right="12"/>
              <w:jc w:val="center"/>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31,226.27</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19,969.16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2"/>
                <w:sz w:val="21"/>
              </w:rPr>
              <w:t>11,257.11</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88"/>
              <w:jc w:val="right"/>
              <w:rPr>
                <w:rFonts w:ascii="Times New Roman" w:hAnsi="Times New Roman" w:cs="Times New Roman" w:eastAsia="Times New Roman" w:hint="default"/>
                <w:sz w:val="21"/>
                <w:szCs w:val="21"/>
              </w:rPr>
            </w:pPr>
            <w:r>
              <w:rPr>
                <w:rFonts w:ascii="Times New Roman"/>
                <w:spacing w:val="-1"/>
                <w:sz w:val="21"/>
              </w:rPr>
              <w:t>56.37%</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二、投资活动产生的现</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金流量净额</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Times New Roman" w:hAnsi="Times New Roman" w:cs="Times New Roman" w:eastAsia="Times New Roman" w:hint="default"/>
                <w:sz w:val="21"/>
                <w:szCs w:val="21"/>
              </w:rPr>
            </w:pPr>
            <w:r>
              <w:rPr>
                <w:rFonts w:ascii="Times New Roman"/>
                <w:spacing w:val="-1"/>
                <w:sz w:val="21"/>
              </w:rPr>
              <w:t>-31,425.61</w:t>
            </w:r>
            <w:r>
              <w:rPr>
                <w:rFonts w:ascii="Times New Roman"/>
                <w:sz w:val="21"/>
              </w:rPr>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-1,536.05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2"/>
              <w:jc w:val="right"/>
              <w:rPr>
                <w:rFonts w:ascii="Times New Roman" w:hAnsi="Times New Roman" w:cs="Times New Roman" w:eastAsia="Times New Roman" w:hint="default"/>
                <w:sz w:val="21"/>
                <w:szCs w:val="21"/>
              </w:rPr>
            </w:pPr>
            <w:r>
              <w:rPr>
                <w:rFonts w:ascii="Times New Roman"/>
                <w:spacing w:val="-1"/>
                <w:sz w:val="21"/>
              </w:rPr>
              <w:t>-29,889.56</w:t>
            </w:r>
            <w:r>
              <w:rPr>
                <w:rFonts w:ascii="Times New Roman"/>
                <w:sz w:val="21"/>
              </w:rPr>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91"/>
              <w:jc w:val="right"/>
              <w:rPr>
                <w:rFonts w:ascii="Times New Roman" w:hAnsi="Times New Roman" w:cs="Times New Roman" w:eastAsia="Times New Roman" w:hint="default"/>
                <w:sz w:val="21"/>
                <w:szCs w:val="21"/>
              </w:rPr>
            </w:pPr>
            <w:r>
              <w:rPr>
                <w:rFonts w:ascii="Times New Roman"/>
                <w:spacing w:val="-1"/>
                <w:sz w:val="21"/>
              </w:rPr>
              <w:t>-1945.87%</w:t>
            </w:r>
          </w:p>
        </w:tc>
      </w:tr>
      <w:tr>
        <w:trPr>
          <w:trHeight w:val="57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6"/>
              <w:ind w:right="12"/>
              <w:jc w:val="center"/>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9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6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9.75</w:t>
            </w:r>
          </w:p>
        </w:tc>
        <w:tc>
          <w:tcPr>
            <w:tcW w:w="13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w w:val="95"/>
                <w:sz w:val="21"/>
              </w:rPr>
              <w:t>-9.75</w:t>
            </w:r>
            <w:r>
              <w:rPr>
                <w:rFonts w:ascii="Times New Roman"/>
                <w:sz w:val="21"/>
              </w:rPr>
            </w:r>
          </w:p>
        </w:tc>
        <w:tc>
          <w:tcPr>
            <w:tcW w:w="158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-100.00%</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400" w:bottom="90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321"/>
        <w:gridCol w:w="1932"/>
        <w:gridCol w:w="1649"/>
        <w:gridCol w:w="1369"/>
        <w:gridCol w:w="1585"/>
      </w:tblGrid>
      <w:tr>
        <w:trPr>
          <w:trHeight w:val="57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16"/>
              <w:ind w:right="107"/>
              <w:jc w:val="righ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9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31,425.61</w:t>
            </w:r>
          </w:p>
        </w:tc>
        <w:tc>
          <w:tcPr>
            <w:tcW w:w="164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1,545.79</w:t>
            </w:r>
          </w:p>
        </w:tc>
        <w:tc>
          <w:tcPr>
            <w:tcW w:w="136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29,879.82</w:t>
            </w:r>
          </w:p>
        </w:tc>
        <w:tc>
          <w:tcPr>
            <w:tcW w:w="1585"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1932.98%</w:t>
            </w:r>
          </w:p>
        </w:tc>
      </w:tr>
      <w:tr>
        <w:trPr>
          <w:trHeight w:val="564"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2" w:lineRule="exact"/>
              <w:ind w:left="93" w:right="0"/>
              <w:jc w:val="left"/>
              <w:rPr>
                <w:rFonts w:ascii="宋体" w:hAnsi="宋体" w:cs="宋体" w:eastAsia="宋体" w:hint="default"/>
                <w:sz w:val="21"/>
                <w:szCs w:val="21"/>
              </w:rPr>
            </w:pPr>
            <w:r>
              <w:rPr>
                <w:rFonts w:ascii="宋体" w:hAnsi="宋体" w:cs="宋体" w:eastAsia="宋体" w:hint="default"/>
                <w:sz w:val="21"/>
                <w:szCs w:val="21"/>
              </w:rPr>
              <w:t>三、筹资活动产生的现</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金流量净额</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48,809.48</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-109.51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48,918.99</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89"/>
              <w:jc w:val="right"/>
              <w:rPr>
                <w:rFonts w:ascii="Times New Roman" w:hAnsi="Times New Roman" w:cs="Times New Roman" w:eastAsia="Times New Roman" w:hint="default"/>
                <w:sz w:val="21"/>
                <w:szCs w:val="21"/>
              </w:rPr>
            </w:pPr>
            <w:r>
              <w:rPr>
                <w:rFonts w:ascii="Times New Roman"/>
                <w:spacing w:val="-1"/>
                <w:sz w:val="21"/>
              </w:rPr>
              <w:t>44670.80%</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6"/>
              <w:ind w:right="107"/>
              <w:jc w:val="righ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50,796.00</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761.00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50,035.00</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6574.90%</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06"/>
              <w:ind w:right="107"/>
              <w:jc w:val="righ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1,986.52</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870.51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2"/>
                <w:sz w:val="21"/>
              </w:rPr>
              <w:t>1,116.01</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128.20%</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四、汇率变动对现金及</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现金等价物的影响</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7.33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-4.32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2"/>
                <w:sz w:val="21"/>
              </w:rPr>
              <w:t>11.65</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90"/>
              <w:jc w:val="right"/>
              <w:rPr>
                <w:rFonts w:ascii="Times New Roman" w:hAnsi="Times New Roman" w:cs="Times New Roman" w:eastAsia="Times New Roman" w:hint="default"/>
                <w:sz w:val="21"/>
                <w:szCs w:val="21"/>
              </w:rPr>
            </w:pPr>
            <w:r>
              <w:rPr>
                <w:rFonts w:ascii="Times New Roman"/>
                <w:spacing w:val="-1"/>
                <w:sz w:val="21"/>
              </w:rPr>
              <w:t>269.68%</w:t>
            </w:r>
          </w:p>
        </w:tc>
      </w:tr>
      <w:tr>
        <w:trPr>
          <w:trHeight w:val="565" w:hRule="exact"/>
        </w:trPr>
        <w:tc>
          <w:tcPr>
            <w:tcW w:w="232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五、现金及现金等价物</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17,786.03</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4,233.98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13,552.05</w:t>
            </w:r>
          </w:p>
        </w:tc>
        <w:tc>
          <w:tcPr>
            <w:tcW w:w="158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5"/>
              <w:ind w:right="89"/>
              <w:jc w:val="right"/>
              <w:rPr>
                <w:rFonts w:ascii="Times New Roman" w:hAnsi="Times New Roman" w:cs="Times New Roman" w:eastAsia="Times New Roman" w:hint="default"/>
                <w:sz w:val="21"/>
                <w:szCs w:val="21"/>
              </w:rPr>
            </w:pPr>
            <w:r>
              <w:rPr>
                <w:rFonts w:ascii="Times New Roman"/>
                <w:spacing w:val="-1"/>
                <w:sz w:val="21"/>
              </w:rPr>
              <w:t>320.08%</w:t>
            </w:r>
          </w:p>
        </w:tc>
      </w:tr>
      <w:tr>
        <w:trPr>
          <w:trHeight w:val="575" w:hRule="exact"/>
        </w:trPr>
        <w:tc>
          <w:tcPr>
            <w:tcW w:w="2321" w:type="dxa"/>
            <w:tcBorders>
              <w:top w:val="single" w:sz="4" w:space="0" w:color="000000"/>
              <w:left w:val="single" w:sz="12" w:space="0" w:color="000000"/>
              <w:bottom w:val="single" w:sz="12" w:space="0" w:color="000000"/>
              <w:right w:val="single" w:sz="4" w:space="0" w:color="000000"/>
            </w:tcBorders>
            <w:shd w:val="clear" w:color="auto" w:fill="CCCCCC"/>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六、期末现金及现金等</w:t>
            </w:r>
          </w:p>
          <w:p>
            <w:pPr>
              <w:pStyle w:val="TableParagraph"/>
              <w:spacing w:line="274" w:lineRule="exact"/>
              <w:ind w:left="93" w:right="0"/>
              <w:jc w:val="left"/>
              <w:rPr>
                <w:rFonts w:ascii="宋体" w:hAnsi="宋体" w:cs="宋体" w:eastAsia="宋体" w:hint="default"/>
                <w:sz w:val="21"/>
                <w:szCs w:val="21"/>
              </w:rPr>
            </w:pPr>
            <w:r>
              <w:rPr>
                <w:rFonts w:ascii="宋体" w:hAnsi="宋体" w:cs="宋体" w:eastAsia="宋体" w:hint="default"/>
                <w:sz w:val="21"/>
                <w:szCs w:val="21"/>
              </w:rPr>
              <w:t>价物余额</w:t>
            </w:r>
          </w:p>
        </w:tc>
        <w:tc>
          <w:tcPr>
            <w:tcW w:w="19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100"/>
              <w:jc w:val="right"/>
              <w:rPr>
                <w:rFonts w:ascii="Times New Roman" w:hAnsi="Times New Roman" w:cs="Times New Roman" w:eastAsia="Times New Roman" w:hint="default"/>
                <w:sz w:val="21"/>
                <w:szCs w:val="21"/>
              </w:rPr>
            </w:pPr>
            <w:r>
              <w:rPr>
                <w:rFonts w:ascii="Times New Roman"/>
                <w:spacing w:val="-1"/>
                <w:sz w:val="21"/>
              </w:rPr>
              <w:t>27,747.62</w:t>
            </w:r>
          </w:p>
        </w:tc>
        <w:tc>
          <w:tcPr>
            <w:tcW w:w="16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101"/>
              <w:jc w:val="right"/>
              <w:rPr>
                <w:rFonts w:ascii="Times New Roman" w:hAnsi="Times New Roman" w:cs="Times New Roman" w:eastAsia="Times New Roman" w:hint="default"/>
                <w:sz w:val="21"/>
                <w:szCs w:val="21"/>
              </w:rPr>
            </w:pPr>
            <w:r>
              <w:rPr>
                <w:rFonts w:ascii="Times New Roman"/>
                <w:spacing w:val="-1"/>
                <w:sz w:val="21"/>
              </w:rPr>
              <w:t>9,961.59</w:t>
            </w:r>
          </w:p>
        </w:tc>
        <w:tc>
          <w:tcPr>
            <w:tcW w:w="13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5"/>
              <w:ind w:right="99"/>
              <w:jc w:val="right"/>
              <w:rPr>
                <w:rFonts w:ascii="Times New Roman" w:hAnsi="Times New Roman" w:cs="Times New Roman" w:eastAsia="Times New Roman" w:hint="default"/>
                <w:sz w:val="21"/>
                <w:szCs w:val="21"/>
              </w:rPr>
            </w:pPr>
            <w:r>
              <w:rPr>
                <w:rFonts w:ascii="Times New Roman"/>
                <w:spacing w:val="-1"/>
                <w:sz w:val="21"/>
              </w:rPr>
              <w:t>17,786.03</w:t>
            </w:r>
          </w:p>
        </w:tc>
        <w:tc>
          <w:tcPr>
            <w:tcW w:w="1585"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55"/>
              <w:ind w:right="89"/>
              <w:jc w:val="right"/>
              <w:rPr>
                <w:rFonts w:ascii="Times New Roman" w:hAnsi="Times New Roman" w:cs="Times New Roman" w:eastAsia="Times New Roman" w:hint="default"/>
                <w:sz w:val="21"/>
                <w:szCs w:val="21"/>
              </w:rPr>
            </w:pPr>
            <w:r>
              <w:rPr>
                <w:rFonts w:ascii="Times New Roman"/>
                <w:spacing w:val="-1"/>
                <w:sz w:val="21"/>
              </w:rPr>
              <w:t>178.55%</w:t>
            </w:r>
          </w:p>
        </w:tc>
      </w:tr>
    </w:tbl>
    <w:p>
      <w:pPr>
        <w:pStyle w:val="BodyText"/>
        <w:spacing w:line="338" w:lineRule="auto" w:before="81"/>
        <w:ind w:left="240" w:right="239" w:firstLine="480"/>
        <w:jc w:val="both"/>
      </w:pPr>
      <w:r>
        <w:rPr/>
        <w:t>报告期内，经营活动产生的现金净流入较上年减少</w:t>
      </w:r>
      <w:r>
        <w:rPr>
          <w:spacing w:val="-21"/>
        </w:rPr>
        <w:t> </w:t>
      </w:r>
      <w:r>
        <w:rPr>
          <w:rFonts w:ascii="Times New Roman" w:hAnsi="Times New Roman" w:cs="Times New Roman" w:eastAsia="Times New Roman" w:hint="default"/>
        </w:rPr>
        <w:t>93.29%</w:t>
      </w:r>
      <w:r>
        <w:rPr/>
        <w:t>，主要是（</w:t>
      </w:r>
      <w:r>
        <w:rPr>
          <w:rFonts w:ascii="Times New Roman" w:hAnsi="Times New Roman" w:cs="Times New Roman" w:eastAsia="Times New Roman" w:hint="default"/>
        </w:rPr>
        <w:t>1</w:t>
      </w:r>
      <w:r>
        <w:rPr/>
        <w:t>）公司 </w:t>
      </w:r>
      <w:r>
        <w:rPr>
          <w:spacing w:val="-4"/>
        </w:rPr>
        <w:t>的经营规模扩大，为销售生产备货预付的材料款和库存增加；（</w:t>
      </w:r>
      <w:r>
        <w:rPr>
          <w:rFonts w:ascii="Times New Roman" w:hAnsi="Times New Roman" w:cs="Times New Roman" w:eastAsia="Times New Roman" w:hint="default"/>
          <w:spacing w:val="-4"/>
        </w:rPr>
        <w:t>2</w:t>
      </w:r>
      <w:r>
        <w:rPr>
          <w:spacing w:val="-4"/>
        </w:rPr>
        <w:t>）年末部分合同尚</w:t>
      </w:r>
      <w:r>
        <w:rPr>
          <w:spacing w:val="-92"/>
        </w:rPr>
        <w:t> </w:t>
      </w:r>
      <w:r>
        <w:rPr>
          <w:spacing w:val="-4"/>
        </w:rPr>
        <w:t>在实施中，尚未验收收款；（</w:t>
      </w:r>
      <w:r>
        <w:rPr>
          <w:rFonts w:ascii="Times New Roman" w:hAnsi="Times New Roman" w:cs="Times New Roman" w:eastAsia="Times New Roman" w:hint="default"/>
          <w:spacing w:val="-4"/>
        </w:rPr>
        <w:t>3</w:t>
      </w:r>
      <w:r>
        <w:rPr>
          <w:spacing w:val="-4"/>
        </w:rPr>
        <w:t>）由于经营规模扩大相应的质保金、投标保证金及履</w:t>
      </w:r>
      <w:r>
        <w:rPr>
          <w:spacing w:val="-92"/>
        </w:rPr>
        <w:t> </w:t>
      </w:r>
      <w:r>
        <w:rPr>
          <w:spacing w:val="-4"/>
        </w:rPr>
        <w:t>约保证金等其他付款增加。（</w:t>
      </w:r>
      <w:r>
        <w:rPr>
          <w:rFonts w:ascii="Times New Roman" w:hAnsi="Times New Roman" w:cs="Times New Roman" w:eastAsia="Times New Roman" w:hint="default"/>
          <w:spacing w:val="-4"/>
        </w:rPr>
        <w:t>4</w:t>
      </w:r>
      <w:r>
        <w:rPr>
          <w:spacing w:val="-4"/>
        </w:rPr>
        <w:t>）本年度收到的政府补助款较上年度减少。</w:t>
      </w:r>
    </w:p>
    <w:p>
      <w:pPr>
        <w:pStyle w:val="BodyText"/>
        <w:spacing w:line="357" w:lineRule="auto" w:before="145"/>
        <w:ind w:left="240" w:right="239" w:firstLine="480"/>
        <w:jc w:val="both"/>
      </w:pPr>
      <w:r>
        <w:rPr/>
        <w:t>报告期内，投资活动产生的现金净流量为负数，主要是募集资金做持有至到期 的定期存储所致。</w:t>
      </w:r>
    </w:p>
    <w:p>
      <w:pPr>
        <w:pStyle w:val="BodyText"/>
        <w:spacing w:line="338" w:lineRule="auto" w:before="155"/>
        <w:ind w:left="240" w:right="239" w:firstLine="480"/>
        <w:jc w:val="both"/>
      </w:pPr>
      <w:r>
        <w:rPr>
          <w:spacing w:val="-4"/>
        </w:rPr>
        <w:t>筹资活动产生的现金净流入较上年大幅增加，主要是公司于</w:t>
      </w: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3</w:t>
      </w:r>
      <w:r>
        <w:rPr>
          <w:spacing w:val="-4"/>
        </w:rPr>
        <w:t>月份在创业</w:t>
      </w:r>
      <w:r>
        <w:rPr/>
        <w:t> 板成功上市公开发行股票收到募集资金所致。</w:t>
      </w:r>
    </w:p>
    <w:p>
      <w:pPr>
        <w:spacing w:line="240" w:lineRule="auto" w:before="3"/>
        <w:rPr>
          <w:rFonts w:ascii="宋体" w:hAnsi="宋体" w:cs="宋体" w:eastAsia="宋体" w:hint="default"/>
          <w:sz w:val="35"/>
          <w:szCs w:val="35"/>
        </w:rPr>
      </w:pPr>
    </w:p>
    <w:p>
      <w:pPr>
        <w:pStyle w:val="Heading3"/>
        <w:spacing w:line="240" w:lineRule="auto"/>
        <w:ind w:left="722" w:right="133"/>
        <w:jc w:val="left"/>
        <w:rPr>
          <w:b w:val="0"/>
          <w:bCs w:val="0"/>
        </w:rPr>
      </w:pPr>
      <w:r>
        <w:rPr/>
        <w:t>（四）报告期内公司无形资产情况</w:t>
      </w:r>
      <w:r>
        <w:rPr>
          <w:b w:val="0"/>
          <w:bCs w:val="0"/>
        </w:rPr>
      </w:r>
    </w:p>
    <w:p>
      <w:pPr>
        <w:spacing w:line="240" w:lineRule="auto" w:before="4"/>
        <w:rPr>
          <w:rFonts w:ascii="宋体" w:hAnsi="宋体" w:cs="宋体" w:eastAsia="宋体" w:hint="default"/>
          <w:b/>
          <w:bCs/>
          <w:sz w:val="18"/>
          <w:szCs w:val="18"/>
        </w:rPr>
      </w:pPr>
    </w:p>
    <w:p>
      <w:pPr>
        <w:spacing w:before="0"/>
        <w:ind w:left="722" w:right="13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、无形资产的账面价值</w:t>
      </w:r>
      <w:r>
        <w:rPr>
          <w:rFonts w:ascii="宋体" w:hAnsi="宋体" w:cs="宋体" w:eastAsia="宋体" w:hint="default"/>
          <w:sz w:val="24"/>
          <w:szCs w:val="24"/>
        </w:rPr>
      </w:r>
    </w:p>
    <w:p>
      <w:pPr>
        <w:spacing w:line="240" w:lineRule="auto" w:before="12"/>
        <w:rPr>
          <w:rFonts w:ascii="宋体" w:hAnsi="宋体" w:cs="宋体" w:eastAsia="宋体" w:hint="default"/>
          <w:b/>
          <w:bCs/>
          <w:sz w:val="28"/>
          <w:szCs w:val="28"/>
        </w:rPr>
      </w:pPr>
    </w:p>
    <w:p>
      <w:pPr>
        <w:spacing w:before="0"/>
        <w:ind w:left="0" w:right="23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30" w:type="dxa"/>
        <w:tblLayout w:type="fixed"/>
        <w:tblCellMar>
          <w:top w:w="0" w:type="dxa"/>
          <w:left w:w="0" w:type="dxa"/>
          <w:bottom w:w="0" w:type="dxa"/>
          <w:right w:w="0" w:type="dxa"/>
        </w:tblCellMar>
        <w:tblLook w:val="01E0"/>
      </w:tblPr>
      <w:tblGrid>
        <w:gridCol w:w="2770"/>
        <w:gridCol w:w="1639"/>
        <w:gridCol w:w="1440"/>
        <w:gridCol w:w="1440"/>
        <w:gridCol w:w="1555"/>
      </w:tblGrid>
      <w:tr>
        <w:trPr>
          <w:trHeight w:val="411" w:hRule="exact"/>
        </w:trPr>
        <w:tc>
          <w:tcPr>
            <w:tcW w:w="277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3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182"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14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187"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4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187"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55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right="138"/>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413" w:hRule="exact"/>
        </w:trPr>
        <w:tc>
          <w:tcPr>
            <w:tcW w:w="2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一、无形资产原价合计</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166,120.00</w:t>
            </w:r>
            <w:r>
              <w:rPr>
                <w:rFonts w:ascii="Times New Roman"/>
                <w:sz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758,602.34</w:t>
            </w:r>
            <w:r>
              <w:rPr>
                <w:rFonts w:ascii="Times New Roman"/>
                <w:sz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924,722.34</w:t>
            </w:r>
            <w:r>
              <w:rPr>
                <w:rFonts w:ascii="Times New Roman"/>
                <w:sz w:val="21"/>
              </w:rPr>
            </w:r>
          </w:p>
        </w:tc>
      </w:tr>
      <w:tr>
        <w:trPr>
          <w:trHeight w:val="559" w:hRule="exact"/>
        </w:trPr>
        <w:tc>
          <w:tcPr>
            <w:tcW w:w="277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二、无形资产累计摊销额合</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6"/>
              <w:jc w:val="right"/>
              <w:rPr>
                <w:rFonts w:ascii="Times New Roman" w:hAnsi="Times New Roman" w:cs="Times New Roman" w:eastAsia="Times New Roman" w:hint="default"/>
                <w:sz w:val="21"/>
                <w:szCs w:val="21"/>
              </w:rPr>
            </w:pPr>
            <w:r>
              <w:rPr>
                <w:rFonts w:ascii="Times New Roman"/>
                <w:spacing w:val="-1"/>
                <w:sz w:val="21"/>
              </w:rPr>
              <w:t>45,034.76</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92,435.20</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137,469.96</w:t>
            </w:r>
          </w:p>
        </w:tc>
      </w:tr>
      <w:tr>
        <w:trPr>
          <w:trHeight w:val="412" w:hRule="exact"/>
        </w:trPr>
        <w:tc>
          <w:tcPr>
            <w:tcW w:w="27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三、无形资产账面价值合计</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spacing w:val="-1"/>
                <w:sz w:val="21"/>
              </w:rPr>
              <w:t>121,085.24</w:t>
            </w:r>
            <w:r>
              <w:rPr>
                <w:rFonts w:ascii="Times New Roman"/>
                <w:sz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666,167.14</w:t>
            </w:r>
            <w:r>
              <w:rPr>
                <w:rFonts w:ascii="Times New Roman"/>
                <w:sz w:val="21"/>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21"/>
                <w:szCs w:val="21"/>
              </w:rPr>
            </w:pPr>
            <w:r>
              <w:rPr>
                <w:rFonts w:ascii="Times New Roman"/>
                <w:spacing w:val="-1"/>
                <w:sz w:val="21"/>
              </w:rPr>
              <w:t>787,252.38</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360" w:bottom="900" w:left="1560" w:right="1560"/>
        </w:sectPr>
      </w:pPr>
    </w:p>
    <w:p>
      <w:pPr>
        <w:pStyle w:val="Heading3"/>
        <w:spacing w:line="240" w:lineRule="auto" w:before="1"/>
        <w:ind w:left="722" w:right="180"/>
        <w:jc w:val="left"/>
        <w:rPr>
          <w:b w:val="0"/>
          <w:bCs w:val="0"/>
        </w:rPr>
      </w:pPr>
      <w:r>
        <w:rPr/>
        <w:pict>
          <v:group style="position:absolute;margin-left:153.240005pt;margin-top:392.160004pt;width:34.6pt;height:94.35pt;mso-position-horizontal-relative:page;mso-position-vertical-relative:page;z-index:-743080" coordorigin="3065,7843" coordsize="692,1887">
            <v:shape style="position:absolute;left:3065;top:7843;width:691;height:936" type="#_x0000_t75" stroked="false">
              <v:imagedata r:id="rId13" o:title=""/>
            </v:shape>
            <v:shape style="position:absolute;left:3405;top:8778;width:11;height:2" type="#_x0000_t75" stroked="false">
              <v:imagedata r:id="rId14" o:title=""/>
            </v:shape>
            <v:shape style="position:absolute;left:3065;top:8794;width:691;height:936" type="#_x0000_t75" stroked="false">
              <v:imagedata r:id="rId15" o:title=""/>
            </v:shape>
            <w10:wrap type="none"/>
          </v:group>
        </w:pict>
      </w:r>
      <w:r>
        <w:rPr/>
        <w:pict>
          <v:group style="position:absolute;margin-left:129.960007pt;margin-top:487.26001pt;width:81.150pt;height:109.65pt;mso-position-horizontal-relative:page;mso-position-vertical-relative:page;z-index:-743056" coordorigin="2599,9745" coordsize="1623,2193">
            <v:shape style="position:absolute;left:2599;top:9745;width:1622;height:443" type="#_x0000_t75" stroked="false">
              <v:imagedata r:id="rId16" o:title=""/>
            </v:shape>
            <v:shape style="position:absolute;left:2814;top:10201;width:1200;height:1736" type="#_x0000_t75" stroked="false">
              <v:imagedata r:id="rId17" o:title=""/>
            </v:shape>
            <w10:wrap type="none"/>
          </v:group>
        </w:pict>
      </w:r>
      <w:r>
        <w:rPr>
          <w:rFonts w:ascii="Times New Roman" w:hAnsi="Times New Roman" w:cs="Times New Roman" w:eastAsia="Times New Roman" w:hint="default"/>
        </w:rPr>
        <w:t>2</w:t>
      </w:r>
      <w:r>
        <w:rPr/>
        <w:t>、商标</w:t>
      </w:r>
      <w:r>
        <w:rPr>
          <w:b w:val="0"/>
          <w:bCs w:val="0"/>
        </w:rPr>
      </w:r>
    </w:p>
    <w:p>
      <w:pPr>
        <w:spacing w:line="240" w:lineRule="auto" w:before="8"/>
        <w:rPr>
          <w:rFonts w:ascii="宋体" w:hAnsi="宋体" w:cs="宋体" w:eastAsia="宋体" w:hint="default"/>
          <w:b/>
          <w:bCs/>
          <w:sz w:val="28"/>
          <w:szCs w:val="28"/>
        </w:rPr>
      </w:pPr>
    </w:p>
    <w:p>
      <w:pPr>
        <w:pStyle w:val="BodyText"/>
        <w:spacing w:line="240" w:lineRule="auto"/>
        <w:ind w:left="720" w:right="180"/>
        <w:jc w:val="left"/>
      </w:pPr>
      <w:r>
        <w:rPr/>
        <w:t>（</w:t>
      </w:r>
      <w:r>
        <w:rPr>
          <w:rFonts w:ascii="Times New Roman" w:hAnsi="Times New Roman" w:cs="Times New Roman" w:eastAsia="Times New Roman" w:hint="default"/>
        </w:rPr>
        <w:t>1</w:t>
      </w:r>
      <w:r>
        <w:rPr/>
        <w:t>）已取得的注册商标</w:t>
      </w:r>
    </w:p>
    <w:p>
      <w:pPr>
        <w:spacing w:line="240" w:lineRule="auto" w:before="6"/>
        <w:rPr>
          <w:rFonts w:ascii="宋体" w:hAnsi="宋体" w:cs="宋体" w:eastAsia="宋体" w:hint="default"/>
          <w:sz w:val="19"/>
          <w:szCs w:val="19"/>
        </w:rPr>
      </w:pPr>
    </w:p>
    <w:p>
      <w:pPr>
        <w:pStyle w:val="BodyText"/>
        <w:spacing w:line="364" w:lineRule="auto"/>
        <w:ind w:left="240" w:right="180" w:firstLine="480"/>
        <w:jc w:val="left"/>
      </w:pPr>
      <w:r>
        <w:rPr/>
        <w:t>截至本报告期末，公司共取得注册商标</w:t>
      </w:r>
      <w:r>
        <w:rPr>
          <w:spacing w:val="-60"/>
        </w:rPr>
        <w:t> </w:t>
      </w:r>
      <w:r>
        <w:rPr>
          <w:rFonts w:ascii="Times New Roman" w:hAnsi="Times New Roman" w:cs="Times New Roman" w:eastAsia="Times New Roman" w:hint="default"/>
        </w:rPr>
        <w:t>15 </w:t>
      </w:r>
      <w:r>
        <w:rPr/>
        <w:t>项，注册有效期为</w:t>
      </w:r>
      <w:r>
        <w:rPr>
          <w:spacing w:val="-60"/>
        </w:rPr>
        <w:t> </w:t>
      </w:r>
      <w:r>
        <w:rPr>
          <w:rFonts w:ascii="Times New Roman" w:hAnsi="Times New Roman" w:cs="Times New Roman" w:eastAsia="Times New Roman" w:hint="default"/>
        </w:rPr>
        <w:t>10 </w:t>
      </w:r>
      <w:r>
        <w:rPr/>
        <w:t>年，所有注册 商标均在有效期内。其中，注册商标 </w:t>
      </w:r>
      <w:r>
        <w:rPr/>
        <w:drawing>
          <wp:inline distT="0" distB="0" distL="0" distR="0">
            <wp:extent cx="852957" cy="360426"/>
            <wp:effectExtent l="0" t="0" r="0" b="0"/>
            <wp:docPr id="3" name="image7.jpeg" descr=""/>
            <wp:cNvGraphicFramePr>
              <a:graphicFrameLocks noChangeAspect="1"/>
            </wp:cNvGraphicFramePr>
            <a:graphic>
              <a:graphicData uri="http://schemas.openxmlformats.org/drawingml/2006/picture">
                <pic:pic>
                  <pic:nvPicPr>
                    <pic:cNvPr id="4" name="image7.jpeg"/>
                    <pic:cNvPicPr/>
                  </pic:nvPicPr>
                  <pic:blipFill>
                    <a:blip r:embed="rId18" cstate="print"/>
                    <a:stretch>
                      <a:fillRect/>
                    </a:stretch>
                  </pic:blipFill>
                  <pic:spPr>
                    <a:xfrm>
                      <a:off x="0" y="0"/>
                      <a:ext cx="852957" cy="360426"/>
                    </a:xfrm>
                    <a:prstGeom prst="rect">
                      <a:avLst/>
                    </a:prstGeom>
                  </pic:spPr>
                </pic:pic>
              </a:graphicData>
            </a:graphic>
          </wp:inline>
        </w:drawing>
      </w:r>
      <w:r>
        <w:rPr/>
      </w:r>
      <w:r>
        <w:rPr>
          <w:spacing w:val="-9"/>
        </w:rPr>
        <w:t>被认定为“福建省著名商标”。</w:t>
      </w:r>
    </w:p>
    <w:p>
      <w:pPr>
        <w:pStyle w:val="BodyText"/>
        <w:spacing w:line="275" w:lineRule="exact"/>
        <w:ind w:left="720" w:right="180"/>
        <w:jc w:val="left"/>
      </w:pPr>
      <w:r>
        <w:rPr/>
        <w:pict>
          <v:group style="position:absolute;margin-left:132.600006pt;margin-top:98.897354pt;width:75.9pt;height:86.85pt;mso-position-horizontal-relative:page;mso-position-vertical-relative:paragraph;z-index:-743104" coordorigin="2652,1978" coordsize="1518,1737">
            <v:shape style="position:absolute;left:2652;top:1978;width:1517;height:570" type="#_x0000_t75" stroked="false">
              <v:imagedata r:id="rId19" o:title=""/>
            </v:shape>
            <v:shape style="position:absolute;left:2743;top:2564;width:1343;height:1151" type="#_x0000_t75" stroked="false">
              <v:imagedata r:id="rId20" o:title=""/>
            </v:shape>
            <w10:wrap type="none"/>
          </v:group>
        </w:pict>
      </w:r>
      <w:r>
        <w:rPr/>
        <w:t>具体情况如下：</w:t>
      </w:r>
    </w:p>
    <w:p>
      <w:pPr>
        <w:spacing w:line="240" w:lineRule="auto" w:before="11"/>
        <w:rPr>
          <w:rFonts w:ascii="宋体" w:hAnsi="宋体" w:cs="宋体" w:eastAsia="宋体" w:hint="default"/>
          <w:sz w:val="23"/>
          <w:szCs w:val="23"/>
        </w:rPr>
      </w:pPr>
    </w:p>
    <w:tbl>
      <w:tblPr>
        <w:tblW w:w="0" w:type="auto"/>
        <w:jc w:val="left"/>
        <w:tblInd w:w="116" w:type="dxa"/>
        <w:tblLayout w:type="fixed"/>
        <w:tblCellMar>
          <w:top w:w="0" w:type="dxa"/>
          <w:left w:w="0" w:type="dxa"/>
          <w:bottom w:w="0" w:type="dxa"/>
          <w:right w:w="0" w:type="dxa"/>
        </w:tblCellMar>
        <w:tblLook w:val="01E0"/>
      </w:tblPr>
      <w:tblGrid>
        <w:gridCol w:w="637"/>
        <w:gridCol w:w="2165"/>
        <w:gridCol w:w="755"/>
        <w:gridCol w:w="1014"/>
        <w:gridCol w:w="2060"/>
        <w:gridCol w:w="2175"/>
      </w:tblGrid>
      <w:tr>
        <w:trPr>
          <w:trHeight w:val="554" w:hRule="exact"/>
        </w:trPr>
        <w:tc>
          <w:tcPr>
            <w:tcW w:w="637"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94"/>
              <w:ind w:right="5"/>
              <w:jc w:val="center"/>
              <w:rPr>
                <w:rFonts w:ascii="宋体" w:hAnsi="宋体" w:cs="宋体" w:eastAsia="宋体" w:hint="default"/>
                <w:sz w:val="21"/>
                <w:szCs w:val="21"/>
              </w:rPr>
            </w:pPr>
            <w:r>
              <w:rPr>
                <w:rFonts w:ascii="宋体" w:hAnsi="宋体" w:cs="宋体" w:eastAsia="宋体" w:hint="default"/>
                <w:sz w:val="21"/>
                <w:szCs w:val="21"/>
              </w:rPr>
              <w:t>序号</w:t>
            </w:r>
          </w:p>
        </w:tc>
        <w:tc>
          <w:tcPr>
            <w:tcW w:w="2165"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商标</w:t>
            </w:r>
          </w:p>
        </w:tc>
        <w:tc>
          <w:tcPr>
            <w:tcW w:w="755"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1"/>
              <w:jc w:val="center"/>
              <w:rPr>
                <w:rFonts w:ascii="宋体" w:hAnsi="宋体" w:cs="宋体" w:eastAsia="宋体" w:hint="default"/>
                <w:sz w:val="21"/>
                <w:szCs w:val="21"/>
              </w:rPr>
            </w:pPr>
            <w:r>
              <w:rPr>
                <w:rFonts w:ascii="宋体" w:hAnsi="宋体" w:cs="宋体" w:eastAsia="宋体" w:hint="default"/>
                <w:sz w:val="21"/>
                <w:szCs w:val="21"/>
              </w:rPr>
              <w:t>类别</w:t>
            </w:r>
          </w:p>
        </w:tc>
        <w:tc>
          <w:tcPr>
            <w:tcW w:w="1014"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申请号</w:t>
            </w:r>
          </w:p>
        </w:tc>
        <w:tc>
          <w:tcPr>
            <w:tcW w:w="2060"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left="602" w:right="0"/>
              <w:jc w:val="left"/>
              <w:rPr>
                <w:rFonts w:ascii="宋体" w:hAnsi="宋体" w:cs="宋体" w:eastAsia="宋体" w:hint="default"/>
                <w:sz w:val="21"/>
                <w:szCs w:val="21"/>
              </w:rPr>
            </w:pPr>
            <w:r>
              <w:rPr>
                <w:rFonts w:ascii="宋体" w:hAnsi="宋体" w:cs="宋体" w:eastAsia="宋体" w:hint="default"/>
                <w:sz w:val="21"/>
                <w:szCs w:val="21"/>
              </w:rPr>
              <w:t>申请日期</w:t>
            </w:r>
          </w:p>
        </w:tc>
        <w:tc>
          <w:tcPr>
            <w:tcW w:w="2175"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94"/>
              <w:ind w:left="555" w:right="0"/>
              <w:jc w:val="left"/>
              <w:rPr>
                <w:rFonts w:ascii="宋体" w:hAnsi="宋体" w:cs="宋体" w:eastAsia="宋体" w:hint="default"/>
                <w:sz w:val="21"/>
                <w:szCs w:val="21"/>
              </w:rPr>
            </w:pPr>
            <w:r>
              <w:rPr>
                <w:rFonts w:ascii="宋体" w:hAnsi="宋体" w:cs="宋体" w:eastAsia="宋体" w:hint="default"/>
                <w:sz w:val="21"/>
                <w:szCs w:val="21"/>
              </w:rPr>
              <w:t>注册有效期</w:t>
            </w:r>
          </w:p>
        </w:tc>
      </w:tr>
      <w:tr>
        <w:trPr>
          <w:trHeight w:val="814"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793" w:lineRule="exact"/>
              <w:ind w:left="495" w:right="0"/>
              <w:jc w:val="left"/>
              <w:rPr>
                <w:rFonts w:ascii="宋体" w:hAnsi="宋体" w:cs="宋体" w:eastAsia="宋体" w:hint="default"/>
                <w:sz w:val="20"/>
                <w:szCs w:val="20"/>
              </w:rPr>
            </w:pPr>
            <w:r>
              <w:rPr>
                <w:rFonts w:ascii="宋体" w:hAnsi="宋体" w:cs="宋体" w:eastAsia="宋体" w:hint="default"/>
                <w:position w:val="-15"/>
                <w:sz w:val="20"/>
                <w:szCs w:val="20"/>
              </w:rPr>
              <w:drawing>
                <wp:inline distT="0" distB="0" distL="0" distR="0">
                  <wp:extent cx="732607" cy="504063"/>
                  <wp:effectExtent l="0" t="0" r="0" b="0"/>
                  <wp:docPr id="5" name="image10.png" descr=""/>
                  <wp:cNvGraphicFramePr>
                    <a:graphicFrameLocks noChangeAspect="1"/>
                  </wp:cNvGraphicFramePr>
                  <a:graphic>
                    <a:graphicData uri="http://schemas.openxmlformats.org/drawingml/2006/picture">
                      <pic:pic>
                        <pic:nvPicPr>
                          <pic:cNvPr id="6" name="image10.png"/>
                          <pic:cNvPicPr/>
                        </pic:nvPicPr>
                        <pic:blipFill>
                          <a:blip r:embed="rId21" cstate="print"/>
                          <a:stretch>
                            <a:fillRect/>
                          </a:stretch>
                        </pic:blipFill>
                        <pic:spPr>
                          <a:xfrm>
                            <a:off x="0" y="0"/>
                            <a:ext cx="732607" cy="504063"/>
                          </a:xfrm>
                          <a:prstGeom prst="rect">
                            <a:avLst/>
                          </a:prstGeom>
                        </pic:spPr>
                      </pic:pic>
                    </a:graphicData>
                  </a:graphic>
                </wp:inline>
              </w:drawing>
            </w:r>
            <w:r>
              <w:rPr>
                <w:rFonts w:ascii="宋体" w:hAnsi="宋体" w:cs="宋体" w:eastAsia="宋体" w:hint="default"/>
                <w:position w:val="-15"/>
                <w:sz w:val="20"/>
                <w:szCs w:val="20"/>
              </w:rPr>
            </w: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5743563</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2010.02.07-2020.02.06</w:t>
            </w:r>
          </w:p>
        </w:tc>
      </w:tr>
      <w:tr>
        <w:trPr>
          <w:trHeight w:val="586"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4"/>
              <w:ind w:right="5"/>
              <w:jc w:val="center"/>
              <w:rPr>
                <w:rFonts w:ascii="Times New Roman" w:hAnsi="Times New Roman" w:cs="Times New Roman" w:eastAsia="Times New Roman" w:hint="default"/>
                <w:sz w:val="21"/>
                <w:szCs w:val="21"/>
              </w:rPr>
            </w:pPr>
            <w:r>
              <w:rPr>
                <w:rFonts w:ascii="Times New Roman"/>
                <w:sz w:val="21"/>
              </w:rPr>
              <w:t>2</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4"/>
              <w:ind w:right="0"/>
              <w:jc w:val="center"/>
              <w:rPr>
                <w:rFonts w:ascii="Times New Roman" w:hAnsi="Times New Roman" w:cs="Times New Roman" w:eastAsia="Times New Roman" w:hint="default"/>
                <w:sz w:val="21"/>
                <w:szCs w:val="21"/>
              </w:rPr>
            </w:pPr>
            <w:r>
              <w:rPr>
                <w:rFonts w:ascii="Times New Roman"/>
                <w:sz w:val="21"/>
              </w:rPr>
              <w:t>6816636</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4"/>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4"/>
              <w:ind w:right="89"/>
              <w:jc w:val="right"/>
              <w:rPr>
                <w:rFonts w:ascii="Times New Roman" w:hAnsi="Times New Roman" w:cs="Times New Roman" w:eastAsia="Times New Roman" w:hint="default"/>
                <w:sz w:val="21"/>
                <w:szCs w:val="21"/>
              </w:rPr>
            </w:pPr>
            <w:r>
              <w:rPr>
                <w:rFonts w:ascii="Times New Roman"/>
                <w:spacing w:val="-1"/>
                <w:sz w:val="21"/>
              </w:rPr>
              <w:t>2010.11.07-2020.11.06</w:t>
            </w:r>
          </w:p>
        </w:tc>
      </w:tr>
      <w:tr>
        <w:trPr>
          <w:trHeight w:val="583"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2"/>
              <w:ind w:right="5"/>
              <w:jc w:val="center"/>
              <w:rPr>
                <w:rFonts w:ascii="Times New Roman" w:hAnsi="Times New Roman" w:cs="Times New Roman" w:eastAsia="Times New Roman" w:hint="default"/>
                <w:sz w:val="21"/>
                <w:szCs w:val="21"/>
              </w:rPr>
            </w:pPr>
            <w:r>
              <w:rPr>
                <w:rFonts w:ascii="Times New Roman"/>
                <w:sz w:val="21"/>
              </w:rPr>
              <w:t>3</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Times New Roman" w:hAnsi="Times New Roman" w:cs="Times New Roman" w:eastAsia="Times New Roman" w:hint="default"/>
                <w:sz w:val="21"/>
                <w:szCs w:val="21"/>
              </w:rPr>
            </w:pPr>
            <w:r>
              <w:rPr>
                <w:rFonts w:ascii="Times New Roman"/>
                <w:sz w:val="21"/>
              </w:rPr>
              <w:t>6987940</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206"/>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2"/>
              <w:ind w:right="89"/>
              <w:jc w:val="right"/>
              <w:rPr>
                <w:rFonts w:ascii="Times New Roman" w:hAnsi="Times New Roman" w:cs="Times New Roman" w:eastAsia="Times New Roman" w:hint="default"/>
                <w:sz w:val="21"/>
                <w:szCs w:val="21"/>
              </w:rPr>
            </w:pPr>
            <w:r>
              <w:rPr>
                <w:rFonts w:ascii="Times New Roman"/>
                <w:spacing w:val="-1"/>
                <w:sz w:val="21"/>
              </w:rPr>
              <w:t>2010.10.07-2020.10.06</w:t>
            </w:r>
          </w:p>
        </w:tc>
      </w:tr>
      <w:tr>
        <w:trPr>
          <w:trHeight w:val="583"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62"/>
              <w:ind w:right="5"/>
              <w:jc w:val="center"/>
              <w:rPr>
                <w:rFonts w:ascii="Times New Roman" w:hAnsi="Times New Roman" w:cs="Times New Roman" w:eastAsia="Times New Roman" w:hint="default"/>
                <w:sz w:val="21"/>
                <w:szCs w:val="21"/>
              </w:rPr>
            </w:pPr>
            <w:r>
              <w:rPr>
                <w:rFonts w:ascii="Times New Roman"/>
                <w:sz w:val="21"/>
              </w:rPr>
              <w:t>4</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Times New Roman" w:hAnsi="Times New Roman" w:cs="Times New Roman" w:eastAsia="Times New Roman" w:hint="default"/>
                <w:sz w:val="21"/>
                <w:szCs w:val="21"/>
              </w:rPr>
            </w:pPr>
            <w:r>
              <w:rPr>
                <w:rFonts w:ascii="Times New Roman"/>
                <w:sz w:val="21"/>
              </w:rPr>
              <w:t>6987941</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206"/>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62"/>
              <w:ind w:right="89"/>
              <w:jc w:val="right"/>
              <w:rPr>
                <w:rFonts w:ascii="Times New Roman" w:hAnsi="Times New Roman" w:cs="Times New Roman" w:eastAsia="Times New Roman" w:hint="default"/>
                <w:sz w:val="21"/>
                <w:szCs w:val="21"/>
              </w:rPr>
            </w:pPr>
            <w:r>
              <w:rPr>
                <w:rFonts w:ascii="Times New Roman"/>
                <w:spacing w:val="-1"/>
                <w:sz w:val="21"/>
              </w:rPr>
              <w:t>2010.09.21-2020.09.20</w:t>
            </w:r>
          </w:p>
        </w:tc>
      </w:tr>
      <w:tr>
        <w:trPr>
          <w:trHeight w:val="950"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5</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6816635</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2011.11.07-2021.11.06</w:t>
            </w:r>
          </w:p>
        </w:tc>
      </w:tr>
      <w:tr>
        <w:trPr>
          <w:trHeight w:val="952"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6</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6816637</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89"/>
              <w:jc w:val="right"/>
              <w:rPr>
                <w:rFonts w:ascii="Times New Roman" w:hAnsi="Times New Roman" w:cs="Times New Roman" w:eastAsia="Times New Roman" w:hint="default"/>
                <w:sz w:val="21"/>
                <w:szCs w:val="21"/>
              </w:rPr>
            </w:pPr>
            <w:r>
              <w:rPr>
                <w:rFonts w:ascii="Times New Roman"/>
                <w:spacing w:val="-1"/>
                <w:sz w:val="21"/>
              </w:rPr>
              <w:t>2011.11.07-2021.11.06</w:t>
            </w:r>
          </w:p>
        </w:tc>
      </w:tr>
      <w:tr>
        <w:trPr>
          <w:trHeight w:val="457"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0"/>
              <w:ind w:right="5"/>
              <w:jc w:val="center"/>
              <w:rPr>
                <w:rFonts w:ascii="Times New Roman" w:hAnsi="Times New Roman" w:cs="Times New Roman" w:eastAsia="Times New Roman" w:hint="default"/>
                <w:sz w:val="21"/>
                <w:szCs w:val="21"/>
              </w:rPr>
            </w:pPr>
            <w:r>
              <w:rPr>
                <w:rFonts w:ascii="Times New Roman"/>
                <w:sz w:val="21"/>
              </w:rPr>
              <w:t>7</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center"/>
              <w:rPr>
                <w:rFonts w:ascii="Times New Roman" w:hAnsi="Times New Roman" w:cs="Times New Roman" w:eastAsia="Times New Roman" w:hint="default"/>
                <w:sz w:val="21"/>
                <w:szCs w:val="21"/>
              </w:rPr>
            </w:pPr>
            <w:r>
              <w:rPr>
                <w:rFonts w:ascii="Times New Roman"/>
                <w:sz w:val="21"/>
              </w:rPr>
              <w:t>8018434</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206"/>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146"/>
              <w:jc w:val="right"/>
              <w:rPr>
                <w:rFonts w:ascii="Times New Roman" w:hAnsi="Times New Roman" w:cs="Times New Roman" w:eastAsia="Times New Roman" w:hint="default"/>
                <w:sz w:val="21"/>
                <w:szCs w:val="21"/>
              </w:rPr>
            </w:pPr>
            <w:r>
              <w:rPr>
                <w:rFonts w:ascii="Times New Roman"/>
                <w:spacing w:val="-1"/>
                <w:sz w:val="21"/>
              </w:rPr>
              <w:t>2011.6.21-2021.06.20</w:t>
            </w:r>
          </w:p>
        </w:tc>
      </w:tr>
      <w:tr>
        <w:trPr>
          <w:trHeight w:val="876"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8</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8458923</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4"/>
              <w:jc w:val="right"/>
              <w:rPr>
                <w:rFonts w:ascii="Times New Roman" w:hAnsi="Times New Roman" w:cs="Times New Roman" w:eastAsia="Times New Roman" w:hint="default"/>
                <w:sz w:val="21"/>
                <w:szCs w:val="21"/>
              </w:rPr>
            </w:pPr>
            <w:r>
              <w:rPr>
                <w:rFonts w:ascii="Times New Roman"/>
                <w:spacing w:val="-1"/>
                <w:sz w:val="21"/>
              </w:rPr>
              <w:t>2011.10.14-2021.10.13</w:t>
            </w:r>
          </w:p>
        </w:tc>
      </w:tr>
      <w:tr>
        <w:trPr>
          <w:trHeight w:val="875"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9</w:t>
            </w:r>
          </w:p>
        </w:tc>
        <w:tc>
          <w:tcPr>
            <w:tcW w:w="2165" w:type="dxa"/>
            <w:tcBorders>
              <w:top w:val="single" w:sz="6" w:space="0" w:color="000000"/>
              <w:left w:val="single" w:sz="6" w:space="0" w:color="000000"/>
              <w:bottom w:val="single" w:sz="6" w:space="0" w:color="000000"/>
              <w:right w:val="single" w:sz="6" w:space="0" w:color="000000"/>
            </w:tcBorders>
          </w:tcPr>
          <w:p>
            <w:pP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8458900</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5"/>
              <w:jc w:val="right"/>
              <w:rPr>
                <w:rFonts w:ascii="Times New Roman" w:hAnsi="Times New Roman" w:cs="Times New Roman" w:eastAsia="Times New Roman" w:hint="default"/>
                <w:sz w:val="21"/>
                <w:szCs w:val="21"/>
              </w:rPr>
            </w:pPr>
            <w:r>
              <w:rPr>
                <w:rFonts w:ascii="Times New Roman"/>
                <w:spacing w:val="-1"/>
                <w:sz w:val="21"/>
              </w:rPr>
              <w:t>2012.1.14-2022.1.13</w:t>
            </w:r>
          </w:p>
        </w:tc>
      </w:tr>
      <w:tr>
        <w:trPr>
          <w:trHeight w:val="355"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8"/>
              <w:ind w:right="5"/>
              <w:jc w:val="center"/>
              <w:rPr>
                <w:rFonts w:ascii="Times New Roman" w:hAnsi="Times New Roman" w:cs="Times New Roman" w:eastAsia="Times New Roman" w:hint="default"/>
                <w:sz w:val="21"/>
                <w:szCs w:val="21"/>
              </w:rPr>
            </w:pPr>
            <w:r>
              <w:rPr>
                <w:rFonts w:ascii="Times New Roman"/>
                <w:sz w:val="21"/>
              </w:rPr>
              <w:t>10</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Meiya Pico</w:t>
            </w: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8458943</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8"/>
              <w:ind w:right="94"/>
              <w:jc w:val="right"/>
              <w:rPr>
                <w:rFonts w:ascii="Times New Roman" w:hAnsi="Times New Roman" w:cs="Times New Roman" w:eastAsia="Times New Roman" w:hint="default"/>
                <w:sz w:val="21"/>
                <w:szCs w:val="21"/>
              </w:rPr>
            </w:pPr>
            <w:r>
              <w:rPr>
                <w:rFonts w:ascii="Times New Roman"/>
                <w:spacing w:val="-1"/>
                <w:sz w:val="21"/>
              </w:rPr>
              <w:t>2011.08.21-2021.08.20</w:t>
            </w:r>
          </w:p>
        </w:tc>
      </w:tr>
      <w:tr>
        <w:trPr>
          <w:trHeight w:val="354"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8"/>
              <w:ind w:right="5"/>
              <w:jc w:val="center"/>
              <w:rPr>
                <w:rFonts w:ascii="Times New Roman" w:hAnsi="Times New Roman" w:cs="Times New Roman" w:eastAsia="Times New Roman" w:hint="default"/>
                <w:sz w:val="21"/>
                <w:szCs w:val="21"/>
              </w:rPr>
            </w:pPr>
            <w:r>
              <w:rPr>
                <w:rFonts w:ascii="Times New Roman"/>
                <w:sz w:val="21"/>
              </w:rPr>
              <w:t>11</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sz w:val="24"/>
              </w:rPr>
              <w:t>Meiya Pico</w:t>
            </w: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8458871</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right="259"/>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8"/>
              <w:ind w:right="94"/>
              <w:jc w:val="right"/>
              <w:rPr>
                <w:rFonts w:ascii="Times New Roman" w:hAnsi="Times New Roman" w:cs="Times New Roman" w:eastAsia="Times New Roman" w:hint="default"/>
                <w:sz w:val="21"/>
                <w:szCs w:val="21"/>
              </w:rPr>
            </w:pPr>
            <w:r>
              <w:rPr>
                <w:rFonts w:ascii="Times New Roman"/>
                <w:spacing w:val="-1"/>
                <w:sz w:val="21"/>
              </w:rPr>
              <w:t>2011.07.21-2021.07.20</w:t>
            </w:r>
          </w:p>
        </w:tc>
      </w:tr>
      <w:tr>
        <w:trPr>
          <w:trHeight w:val="355"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8"/>
              <w:ind w:right="5"/>
              <w:jc w:val="center"/>
              <w:rPr>
                <w:rFonts w:ascii="Times New Roman" w:hAnsi="Times New Roman" w:cs="Times New Roman" w:eastAsia="Times New Roman" w:hint="default"/>
                <w:sz w:val="21"/>
                <w:szCs w:val="21"/>
              </w:rPr>
            </w:pPr>
            <w:r>
              <w:rPr>
                <w:rFonts w:ascii="Times New Roman"/>
                <w:sz w:val="21"/>
              </w:rPr>
              <w:t>12</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0"/>
              <w:jc w:val="center"/>
              <w:rPr>
                <w:rFonts w:ascii="宋体" w:hAnsi="宋体" w:cs="宋体" w:eastAsia="宋体" w:hint="default"/>
                <w:sz w:val="24"/>
                <w:szCs w:val="24"/>
              </w:rPr>
            </w:pPr>
            <w:r>
              <w:rPr>
                <w:rFonts w:ascii="宋体" w:hAnsi="宋体" w:cs="宋体" w:eastAsia="宋体" w:hint="default"/>
                <w:sz w:val="24"/>
                <w:szCs w:val="24"/>
              </w:rPr>
              <w:t>美亚柏科</w:t>
            </w: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8780656</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right="155"/>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8"/>
              <w:ind w:right="94"/>
              <w:jc w:val="right"/>
              <w:rPr>
                <w:rFonts w:ascii="Times New Roman" w:hAnsi="Times New Roman" w:cs="Times New Roman" w:eastAsia="Times New Roman" w:hint="default"/>
                <w:sz w:val="21"/>
                <w:szCs w:val="21"/>
              </w:rPr>
            </w:pPr>
            <w:r>
              <w:rPr>
                <w:rFonts w:ascii="Times New Roman"/>
                <w:spacing w:val="-1"/>
                <w:sz w:val="21"/>
              </w:rPr>
              <w:t>2011.12.28-2021.12.27</w:t>
            </w:r>
          </w:p>
        </w:tc>
      </w:tr>
      <w:tr>
        <w:trPr>
          <w:trHeight w:val="637" w:hRule="exact"/>
        </w:trPr>
        <w:tc>
          <w:tcPr>
            <w:tcW w:w="63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13</w:t>
            </w:r>
          </w:p>
        </w:tc>
        <w:tc>
          <w:tcPr>
            <w:tcW w:w="216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美亚柏科</w:t>
            </w:r>
          </w:p>
          <w:p>
            <w:pPr>
              <w:pStyle w:val="TableParagraph"/>
              <w:spacing w:line="313" w:lineRule="exact"/>
              <w:ind w:right="0"/>
              <w:jc w:val="center"/>
              <w:rPr>
                <w:rFonts w:ascii="宋体" w:hAnsi="宋体" w:cs="宋体" w:eastAsia="宋体" w:hint="default"/>
                <w:sz w:val="24"/>
                <w:szCs w:val="24"/>
              </w:rPr>
            </w:pPr>
            <w:r>
              <w:rPr>
                <w:rFonts w:ascii="宋体"/>
                <w:sz w:val="24"/>
              </w:rPr>
              <w:t>Meiya Pico</w:t>
            </w:r>
          </w:p>
        </w:tc>
        <w:tc>
          <w:tcPr>
            <w:tcW w:w="7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8855384</w:t>
            </w:r>
          </w:p>
        </w:tc>
        <w:tc>
          <w:tcPr>
            <w:tcW w:w="20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0"/>
              <w:ind w:right="155"/>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4"/>
              <w:jc w:val="right"/>
              <w:rPr>
                <w:rFonts w:ascii="Times New Roman" w:hAnsi="Times New Roman" w:cs="Times New Roman" w:eastAsia="Times New Roman" w:hint="default"/>
                <w:sz w:val="21"/>
                <w:szCs w:val="21"/>
              </w:rPr>
            </w:pPr>
            <w:r>
              <w:rPr>
                <w:rFonts w:ascii="Times New Roman"/>
                <w:spacing w:val="-1"/>
                <w:sz w:val="21"/>
              </w:rPr>
              <w:t>2011.07.21-2021.07.20</w:t>
            </w:r>
          </w:p>
        </w:tc>
      </w:tr>
      <w:tr>
        <w:trPr>
          <w:trHeight w:val="646" w:hRule="exact"/>
        </w:trPr>
        <w:tc>
          <w:tcPr>
            <w:tcW w:w="63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14</w:t>
            </w:r>
          </w:p>
        </w:tc>
        <w:tc>
          <w:tcPr>
            <w:tcW w:w="2165" w:type="dxa"/>
            <w:tcBorders>
              <w:top w:val="single" w:sz="6" w:space="0" w:color="000000"/>
              <w:left w:val="single" w:sz="6" w:space="0" w:color="000000"/>
              <w:bottom w:val="single" w:sz="12" w:space="0" w:color="000000"/>
              <w:right w:val="single" w:sz="6"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美亚柏科</w:t>
            </w:r>
          </w:p>
          <w:p>
            <w:pPr>
              <w:pStyle w:val="TableParagraph"/>
              <w:spacing w:line="313" w:lineRule="exact"/>
              <w:ind w:right="0"/>
              <w:jc w:val="center"/>
              <w:rPr>
                <w:rFonts w:ascii="宋体" w:hAnsi="宋体" w:cs="宋体" w:eastAsia="宋体" w:hint="default"/>
                <w:sz w:val="24"/>
                <w:szCs w:val="24"/>
              </w:rPr>
            </w:pPr>
            <w:r>
              <w:rPr>
                <w:rFonts w:ascii="宋体"/>
                <w:sz w:val="24"/>
              </w:rPr>
              <w:t>Meiya Pico</w:t>
            </w:r>
          </w:p>
        </w:tc>
        <w:tc>
          <w:tcPr>
            <w:tcW w:w="75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0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8855453</w:t>
            </w:r>
          </w:p>
        </w:tc>
        <w:tc>
          <w:tcPr>
            <w:tcW w:w="206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0"/>
              <w:ind w:right="155"/>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4"/>
              <w:jc w:val="right"/>
              <w:rPr>
                <w:rFonts w:ascii="Times New Roman" w:hAnsi="Times New Roman" w:cs="Times New Roman" w:eastAsia="Times New Roman" w:hint="default"/>
                <w:sz w:val="21"/>
                <w:szCs w:val="21"/>
              </w:rPr>
            </w:pPr>
            <w:r>
              <w:rPr>
                <w:rFonts w:ascii="Times New Roman"/>
                <w:spacing w:val="-1"/>
                <w:sz w:val="21"/>
              </w:rPr>
              <w:t>2011.08.21-2021.08.20</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400" w:bottom="900" w:left="1560" w:right="1600"/>
        </w:sectPr>
      </w:pPr>
    </w:p>
    <w:p>
      <w:pPr>
        <w:spacing w:line="240" w:lineRule="auto" w:before="1"/>
        <w:rPr>
          <w:rFonts w:ascii="宋体" w:hAnsi="宋体" w:cs="宋体" w:eastAsia="宋体" w:hint="default"/>
          <w:sz w:val="6"/>
          <w:szCs w:val="6"/>
        </w:rPr>
      </w:pPr>
      <w:r>
        <w:rPr/>
        <w:pict>
          <v:group style="position:absolute;margin-left:127.139999pt;margin-top:335.040009pt;width:94.2pt;height:268.05pt;mso-position-horizontal-relative:page;mso-position-vertical-relative:page;z-index:-743032" coordorigin="2543,6701" coordsize="1884,5361">
            <v:shape style="position:absolute;left:2849;top:6701;width:1265;height:1042" type="#_x0000_t75" alt="C:\Users\TOSHIBA\AppData\Roaming\Tencent\Users\66637246\QQ\WinTemp\RichOle\}SHIF8BO3RLR[(DT4}HXYW4.jpg" stroked="false">
              <v:imagedata r:id="rId22" o:title=""/>
            </v:shape>
            <v:shape style="position:absolute;left:2810;top:7757;width:1342;height:1964" type="#_x0000_t75" stroked="false">
              <v:imagedata r:id="rId23" o:title=""/>
            </v:shape>
            <v:shape style="position:absolute;left:2543;top:9737;width:1883;height:2324" type="#_x0000_t75" stroked="false">
              <v:imagedata r:id="rId24" o:title=""/>
            </v:shape>
            <w10:wrap type="none"/>
          </v:group>
        </w:pict>
      </w:r>
    </w:p>
    <w:tbl>
      <w:tblPr>
        <w:tblW w:w="0" w:type="auto"/>
        <w:jc w:val="left"/>
        <w:tblInd w:w="116" w:type="dxa"/>
        <w:tblLayout w:type="fixed"/>
        <w:tblCellMar>
          <w:top w:w="0" w:type="dxa"/>
          <w:left w:w="0" w:type="dxa"/>
          <w:bottom w:w="0" w:type="dxa"/>
          <w:right w:w="0" w:type="dxa"/>
        </w:tblCellMar>
        <w:tblLook w:val="01E0"/>
      </w:tblPr>
      <w:tblGrid>
        <w:gridCol w:w="637"/>
        <w:gridCol w:w="2165"/>
        <w:gridCol w:w="755"/>
        <w:gridCol w:w="1014"/>
        <w:gridCol w:w="2060"/>
        <w:gridCol w:w="2175"/>
      </w:tblGrid>
      <w:tr>
        <w:trPr>
          <w:trHeight w:val="764" w:hRule="exact"/>
        </w:trPr>
        <w:tc>
          <w:tcPr>
            <w:tcW w:w="637"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98" w:right="0"/>
              <w:jc w:val="left"/>
              <w:rPr>
                <w:rFonts w:ascii="Times New Roman" w:hAnsi="Times New Roman" w:cs="Times New Roman" w:eastAsia="Times New Roman" w:hint="default"/>
                <w:sz w:val="21"/>
                <w:szCs w:val="21"/>
              </w:rPr>
            </w:pPr>
            <w:r>
              <w:rPr>
                <w:rFonts w:ascii="Times New Roman"/>
                <w:sz w:val="21"/>
              </w:rPr>
              <w:t>15</w:t>
            </w:r>
          </w:p>
        </w:tc>
        <w:tc>
          <w:tcPr>
            <w:tcW w:w="2165" w:type="dxa"/>
            <w:tcBorders>
              <w:top w:val="single" w:sz="12" w:space="0" w:color="000000"/>
              <w:left w:val="single" w:sz="6" w:space="0" w:color="000000"/>
              <w:bottom w:val="single" w:sz="12" w:space="0" w:color="000000"/>
              <w:right w:val="single" w:sz="6" w:space="0" w:color="000000"/>
            </w:tcBorders>
          </w:tcPr>
          <w:p>
            <w:pPr>
              <w:pStyle w:val="TableParagraph"/>
              <w:spacing w:line="739" w:lineRule="exact"/>
              <w:ind w:left="100"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1250983" cy="469392"/>
                  <wp:effectExtent l="0" t="0" r="0" b="0"/>
                  <wp:docPr id="7" name="image14.jpeg" descr="创聚-LOGO副本"/>
                  <wp:cNvGraphicFramePr>
                    <a:graphicFrameLocks noChangeAspect="1"/>
                  </wp:cNvGraphicFramePr>
                  <a:graphic>
                    <a:graphicData uri="http://schemas.openxmlformats.org/drawingml/2006/picture">
                      <pic:pic>
                        <pic:nvPicPr>
                          <pic:cNvPr id="8" name="image14.jpeg"/>
                          <pic:cNvPicPr/>
                        </pic:nvPicPr>
                        <pic:blipFill>
                          <a:blip r:embed="rId25" cstate="print"/>
                          <a:stretch>
                            <a:fillRect/>
                          </a:stretch>
                        </pic:blipFill>
                        <pic:spPr>
                          <a:xfrm>
                            <a:off x="0" y="0"/>
                            <a:ext cx="1250983" cy="469392"/>
                          </a:xfrm>
                          <a:prstGeom prst="rect">
                            <a:avLst/>
                          </a:prstGeom>
                        </pic:spPr>
                      </pic:pic>
                    </a:graphicData>
                  </a:graphic>
                </wp:inline>
              </w:drawing>
            </w:r>
            <w:r>
              <w:rPr>
                <w:rFonts w:ascii="宋体" w:hAnsi="宋体" w:cs="宋体" w:eastAsia="宋体" w:hint="default"/>
                <w:position w:val="-14"/>
                <w:sz w:val="20"/>
                <w:szCs w:val="20"/>
              </w:rPr>
            </w:r>
          </w:p>
        </w:tc>
        <w:tc>
          <w:tcPr>
            <w:tcW w:w="755"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01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32" w:right="0"/>
              <w:jc w:val="left"/>
              <w:rPr>
                <w:rFonts w:ascii="Times New Roman" w:hAnsi="Times New Roman" w:cs="Times New Roman" w:eastAsia="Times New Roman" w:hint="default"/>
                <w:sz w:val="21"/>
                <w:szCs w:val="21"/>
              </w:rPr>
            </w:pPr>
            <w:r>
              <w:rPr>
                <w:rFonts w:ascii="Times New Roman"/>
                <w:sz w:val="21"/>
              </w:rPr>
              <w:t>8960563</w:t>
            </w:r>
          </w:p>
        </w:tc>
        <w:tc>
          <w:tcPr>
            <w:tcW w:w="2060"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95"/>
              <w:ind w:left="15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175"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2011.12.28-2021.12.27</w:t>
            </w:r>
          </w:p>
        </w:tc>
      </w:tr>
    </w:tbl>
    <w:p>
      <w:pPr>
        <w:pStyle w:val="BodyText"/>
        <w:spacing w:line="424" w:lineRule="auto" w:before="81"/>
        <w:ind w:left="720" w:right="180"/>
        <w:jc w:val="left"/>
      </w:pPr>
      <w:r>
        <w:rPr/>
        <w:t>（</w:t>
      </w:r>
      <w:r>
        <w:rPr>
          <w:rFonts w:ascii="Times New Roman" w:hAnsi="Times New Roman" w:cs="Times New Roman" w:eastAsia="Times New Roman" w:hint="default"/>
        </w:rPr>
        <w:t>2</w:t>
      </w:r>
      <w:r>
        <w:rPr/>
        <w:t>）正在申请注册的商标 截至报告期末，公司已取得国家工商行政管理总局商标局下发的《注册申请受</w:t>
      </w:r>
    </w:p>
    <w:p>
      <w:pPr>
        <w:pStyle w:val="BodyText"/>
        <w:spacing w:line="300" w:lineRule="exact"/>
        <w:ind w:left="240" w:right="180"/>
        <w:jc w:val="left"/>
      </w:pPr>
      <w:r>
        <w:rPr/>
        <w:t>理通知书</w:t>
      </w:r>
      <w:r>
        <w:rPr>
          <w:spacing w:val="-120"/>
        </w:rPr>
        <w:t>》</w:t>
      </w:r>
      <w:r>
        <w:rPr/>
        <w:t>、正在审核过程中的商标注册申请共有</w:t>
      </w:r>
      <w:r>
        <w:rPr>
          <w:spacing w:val="-60"/>
        </w:rPr>
        <w:t> </w:t>
      </w:r>
      <w:r>
        <w:rPr>
          <w:rFonts w:ascii="Times New Roman" w:hAnsi="Times New Roman" w:cs="Times New Roman" w:eastAsia="Times New Roman" w:hint="default"/>
        </w:rPr>
        <w:t>10 </w:t>
      </w:r>
      <w:r>
        <w:rPr/>
        <w:t>项。具体情况如下：</w:t>
      </w:r>
    </w:p>
    <w:p>
      <w:pPr>
        <w:spacing w:line="240" w:lineRule="auto" w:before="6"/>
        <w:rPr>
          <w:rFonts w:ascii="宋体" w:hAnsi="宋体" w:cs="宋体" w:eastAsia="宋体" w:hint="default"/>
          <w:sz w:val="22"/>
          <w:szCs w:val="22"/>
        </w:rPr>
      </w:pPr>
    </w:p>
    <w:tbl>
      <w:tblPr>
        <w:tblW w:w="0" w:type="auto"/>
        <w:jc w:val="left"/>
        <w:tblInd w:w="116" w:type="dxa"/>
        <w:tblLayout w:type="fixed"/>
        <w:tblCellMar>
          <w:top w:w="0" w:type="dxa"/>
          <w:left w:w="0" w:type="dxa"/>
          <w:bottom w:w="0" w:type="dxa"/>
          <w:right w:w="0" w:type="dxa"/>
        </w:tblCellMar>
        <w:tblLook w:val="01E0"/>
      </w:tblPr>
      <w:tblGrid>
        <w:gridCol w:w="661"/>
        <w:gridCol w:w="2258"/>
        <w:gridCol w:w="935"/>
        <w:gridCol w:w="1122"/>
        <w:gridCol w:w="2059"/>
        <w:gridCol w:w="1771"/>
      </w:tblGrid>
      <w:tr>
        <w:trPr>
          <w:trHeight w:val="554" w:hRule="exact"/>
        </w:trPr>
        <w:tc>
          <w:tcPr>
            <w:tcW w:w="661"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94"/>
              <w:ind w:right="5"/>
              <w:jc w:val="center"/>
              <w:rPr>
                <w:rFonts w:ascii="宋体" w:hAnsi="宋体" w:cs="宋体" w:eastAsia="宋体" w:hint="default"/>
                <w:sz w:val="21"/>
                <w:szCs w:val="21"/>
              </w:rPr>
            </w:pPr>
            <w:r>
              <w:rPr>
                <w:rFonts w:ascii="宋体" w:hAnsi="宋体" w:cs="宋体" w:eastAsia="宋体" w:hint="default"/>
                <w:sz w:val="21"/>
                <w:szCs w:val="21"/>
              </w:rPr>
              <w:t>序号</w:t>
            </w:r>
          </w:p>
        </w:tc>
        <w:tc>
          <w:tcPr>
            <w:tcW w:w="2258"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商标</w:t>
            </w:r>
          </w:p>
        </w:tc>
        <w:tc>
          <w:tcPr>
            <w:tcW w:w="935"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1"/>
              <w:jc w:val="center"/>
              <w:rPr>
                <w:rFonts w:ascii="宋体" w:hAnsi="宋体" w:cs="宋体" w:eastAsia="宋体" w:hint="default"/>
                <w:sz w:val="21"/>
                <w:szCs w:val="21"/>
              </w:rPr>
            </w:pPr>
            <w:r>
              <w:rPr>
                <w:rFonts w:ascii="宋体" w:hAnsi="宋体" w:cs="宋体" w:eastAsia="宋体" w:hint="default"/>
                <w:sz w:val="21"/>
                <w:szCs w:val="21"/>
              </w:rPr>
              <w:t>类别</w:t>
            </w:r>
          </w:p>
        </w:tc>
        <w:tc>
          <w:tcPr>
            <w:tcW w:w="1122"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申请号</w:t>
            </w:r>
          </w:p>
        </w:tc>
        <w:tc>
          <w:tcPr>
            <w:tcW w:w="2059"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94"/>
              <w:ind w:right="0"/>
              <w:jc w:val="center"/>
              <w:rPr>
                <w:rFonts w:ascii="宋体" w:hAnsi="宋体" w:cs="宋体" w:eastAsia="宋体" w:hint="default"/>
                <w:sz w:val="21"/>
                <w:szCs w:val="21"/>
              </w:rPr>
            </w:pPr>
            <w:r>
              <w:rPr>
                <w:rFonts w:ascii="宋体" w:hAnsi="宋体" w:cs="宋体" w:eastAsia="宋体" w:hint="default"/>
                <w:sz w:val="21"/>
                <w:szCs w:val="21"/>
              </w:rPr>
              <w:t>申请日期</w:t>
            </w:r>
          </w:p>
        </w:tc>
        <w:tc>
          <w:tcPr>
            <w:tcW w:w="1771"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94"/>
              <w:ind w:left="8" w:right="0"/>
              <w:jc w:val="center"/>
              <w:rPr>
                <w:rFonts w:ascii="宋体" w:hAnsi="宋体" w:cs="宋体" w:eastAsia="宋体" w:hint="default"/>
                <w:sz w:val="21"/>
                <w:szCs w:val="21"/>
              </w:rPr>
            </w:pPr>
            <w:r>
              <w:rPr>
                <w:rFonts w:ascii="宋体" w:hAnsi="宋体" w:cs="宋体" w:eastAsia="宋体" w:hint="default"/>
                <w:sz w:val="21"/>
                <w:szCs w:val="21"/>
              </w:rPr>
              <w:t>状态</w:t>
            </w:r>
          </w:p>
        </w:tc>
      </w:tr>
      <w:tr>
        <w:trPr>
          <w:trHeight w:val="405"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right="5"/>
              <w:jc w:val="center"/>
              <w:rPr>
                <w:rFonts w:ascii="Times New Roman" w:hAnsi="Times New Roman" w:cs="Times New Roman" w:eastAsia="Times New Roman" w:hint="default"/>
                <w:sz w:val="21"/>
                <w:szCs w:val="21"/>
              </w:rPr>
            </w:pPr>
            <w:r>
              <w:rPr>
                <w:rFonts w:ascii="Times New Roman"/>
                <w:sz w:val="21"/>
              </w:rPr>
              <w:t>1</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387" w:lineRule="exact"/>
              <w:ind w:left="457" w:right="0"/>
              <w:jc w:val="left"/>
              <w:rPr>
                <w:rFonts w:ascii="宋体" w:hAnsi="宋体" w:cs="宋体" w:eastAsia="宋体" w:hint="default"/>
                <w:sz w:val="20"/>
                <w:szCs w:val="20"/>
              </w:rPr>
            </w:pPr>
            <w:r>
              <w:rPr>
                <w:rFonts w:ascii="宋体" w:hAnsi="宋体" w:cs="宋体" w:eastAsia="宋体" w:hint="default"/>
                <w:position w:val="-7"/>
                <w:sz w:val="20"/>
                <w:szCs w:val="20"/>
              </w:rPr>
              <w:drawing>
                <wp:inline distT="0" distB="0" distL="0" distR="0">
                  <wp:extent cx="844452" cy="246030"/>
                  <wp:effectExtent l="0" t="0" r="0" b="0"/>
                  <wp:docPr id="9" name="image15.jpeg" descr=""/>
                  <wp:cNvGraphicFramePr>
                    <a:graphicFrameLocks noChangeAspect="1"/>
                  </wp:cNvGraphicFramePr>
                  <a:graphic>
                    <a:graphicData uri="http://schemas.openxmlformats.org/drawingml/2006/picture">
                      <pic:pic>
                        <pic:nvPicPr>
                          <pic:cNvPr id="10" name="image15.jpeg"/>
                          <pic:cNvPicPr/>
                        </pic:nvPicPr>
                        <pic:blipFill>
                          <a:blip r:embed="rId26" cstate="print"/>
                          <a:stretch>
                            <a:fillRect/>
                          </a:stretch>
                        </pic:blipFill>
                        <pic:spPr>
                          <a:xfrm>
                            <a:off x="0" y="0"/>
                            <a:ext cx="844452" cy="246030"/>
                          </a:xfrm>
                          <a:prstGeom prst="rect">
                            <a:avLst/>
                          </a:prstGeom>
                        </pic:spPr>
                      </pic:pic>
                    </a:graphicData>
                  </a:graphic>
                </wp:inline>
              </w:drawing>
            </w:r>
            <w:r>
              <w:rPr>
                <w:rFonts w:ascii="宋体" w:hAnsi="宋体" w:cs="宋体" w:eastAsia="宋体" w:hint="default"/>
                <w:position w:val="-7"/>
                <w:sz w:val="20"/>
                <w:szCs w:val="20"/>
              </w:rPr>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Times New Roman" w:hAnsi="Times New Roman" w:cs="Times New Roman" w:eastAsia="Times New Roman" w:hint="default"/>
                <w:sz w:val="21"/>
                <w:szCs w:val="21"/>
              </w:rPr>
            </w:pPr>
            <w:r>
              <w:rPr>
                <w:rFonts w:ascii="Times New Roman"/>
                <w:sz w:val="21"/>
              </w:rPr>
              <w:t>7232604</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3"/>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764"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2</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746" w:lineRule="exact"/>
              <w:ind w:left="147"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1231795" cy="474059"/>
                  <wp:effectExtent l="0" t="0" r="0" b="0"/>
                  <wp:docPr id="11" name="image16.jpeg" descr="创聚-LOGO副本"/>
                  <wp:cNvGraphicFramePr>
                    <a:graphicFrameLocks noChangeAspect="1"/>
                  </wp:cNvGraphicFramePr>
                  <a:graphic>
                    <a:graphicData uri="http://schemas.openxmlformats.org/drawingml/2006/picture">
                      <pic:pic>
                        <pic:nvPicPr>
                          <pic:cNvPr id="12" name="image16.jpeg"/>
                          <pic:cNvPicPr/>
                        </pic:nvPicPr>
                        <pic:blipFill>
                          <a:blip r:embed="rId27" cstate="print"/>
                          <a:stretch>
                            <a:fillRect/>
                          </a:stretch>
                        </pic:blipFill>
                        <pic:spPr>
                          <a:xfrm>
                            <a:off x="0" y="0"/>
                            <a:ext cx="1231795" cy="474059"/>
                          </a:xfrm>
                          <a:prstGeom prst="rect">
                            <a:avLst/>
                          </a:prstGeom>
                        </pic:spPr>
                      </pic:pic>
                    </a:graphicData>
                  </a:graphic>
                </wp:inline>
              </w:drawing>
            </w:r>
            <w:r>
              <w:rPr>
                <w:rFonts w:ascii="宋体" w:hAnsi="宋体" w:cs="宋体" w:eastAsia="宋体" w:hint="default"/>
                <w:position w:val="-14"/>
                <w:sz w:val="20"/>
                <w:szCs w:val="20"/>
              </w:rPr>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8960587</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959"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3</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937" w:lineRule="exact"/>
              <w:ind w:left="608"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646853" cy="595407"/>
                  <wp:effectExtent l="0" t="0" r="0" b="0"/>
                  <wp:docPr id="13" name="image17.jpeg" descr="C:\Users\TOSHIBA\AppData\Roaming\Tencent\Users\66637246\QQ\WinTemp\RichOle\_$GUVRC$`KAUS7Y)KM~51GI.jpg"/>
                  <wp:cNvGraphicFramePr>
                    <a:graphicFrameLocks noChangeAspect="1"/>
                  </wp:cNvGraphicFramePr>
                  <a:graphic>
                    <a:graphicData uri="http://schemas.openxmlformats.org/drawingml/2006/picture">
                      <pic:pic>
                        <pic:nvPicPr>
                          <pic:cNvPr id="14" name="image17.jpeg"/>
                          <pic:cNvPicPr/>
                        </pic:nvPicPr>
                        <pic:blipFill>
                          <a:blip r:embed="rId28" cstate="print"/>
                          <a:stretch>
                            <a:fillRect/>
                          </a:stretch>
                        </pic:blipFill>
                        <pic:spPr>
                          <a:xfrm>
                            <a:off x="0" y="0"/>
                            <a:ext cx="646853" cy="595407"/>
                          </a:xfrm>
                          <a:prstGeom prst="rect">
                            <a:avLst/>
                          </a:prstGeom>
                        </pic:spPr>
                      </pic:pic>
                    </a:graphicData>
                  </a:graphic>
                </wp:inline>
              </w:drawing>
            </w:r>
            <w:r>
              <w:rPr>
                <w:rFonts w:ascii="宋体" w:hAnsi="宋体" w:cs="宋体" w:eastAsia="宋体" w:hint="default"/>
                <w:position w:val="-18"/>
                <w:sz w:val="20"/>
                <w:szCs w:val="20"/>
              </w:rPr>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9161362</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1058"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right="5"/>
              <w:jc w:val="center"/>
              <w:rPr>
                <w:rFonts w:ascii="Times New Roman" w:hAnsi="Times New Roman" w:cs="Times New Roman" w:eastAsia="Times New Roman" w:hint="default"/>
                <w:sz w:val="21"/>
                <w:szCs w:val="21"/>
              </w:rPr>
            </w:pPr>
            <w:r>
              <w:rPr>
                <w:rFonts w:ascii="Times New Roman"/>
                <w:sz w:val="21"/>
              </w:rPr>
              <w:t>4</w:t>
            </w:r>
          </w:p>
        </w:tc>
        <w:tc>
          <w:tcPr>
            <w:tcW w:w="2258" w:type="dxa"/>
            <w:tcBorders>
              <w:top w:val="single" w:sz="6" w:space="0" w:color="000000"/>
              <w:left w:val="single" w:sz="6" w:space="0" w:color="000000"/>
              <w:bottom w:val="single" w:sz="6" w:space="0" w:color="000000"/>
              <w:right w:val="single" w:sz="6" w:space="0" w:color="000000"/>
            </w:tcBorders>
          </w:tcPr>
          <w:p>
            <w:pP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right="1"/>
              <w:jc w:val="center"/>
              <w:rPr>
                <w:rFonts w:ascii="Times New Roman" w:hAnsi="Times New Roman" w:cs="Times New Roman" w:eastAsia="Times New Roman" w:hint="default"/>
                <w:sz w:val="21"/>
                <w:szCs w:val="21"/>
              </w:rPr>
            </w:pPr>
            <w:r>
              <w:rPr>
                <w:rFonts w:ascii="Times New Roman"/>
                <w:sz w:val="21"/>
              </w:rPr>
              <w:t>9</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right="0"/>
              <w:jc w:val="center"/>
              <w:rPr>
                <w:rFonts w:ascii="Times New Roman" w:hAnsi="Times New Roman" w:cs="Times New Roman" w:eastAsia="Times New Roman" w:hint="default"/>
                <w:sz w:val="21"/>
                <w:szCs w:val="21"/>
              </w:rPr>
            </w:pPr>
            <w:r>
              <w:rPr>
                <w:rFonts w:ascii="Times New Roman"/>
                <w:sz w:val="21"/>
              </w:rPr>
              <w:t>9161421</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989"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5</w:t>
            </w:r>
          </w:p>
        </w:tc>
        <w:tc>
          <w:tcPr>
            <w:tcW w:w="2258" w:type="dxa"/>
            <w:tcBorders>
              <w:top w:val="single" w:sz="6" w:space="0" w:color="000000"/>
              <w:left w:val="single" w:sz="6" w:space="0" w:color="000000"/>
              <w:bottom w:val="single" w:sz="6" w:space="0" w:color="000000"/>
              <w:right w:val="single" w:sz="6" w:space="0" w:color="000000"/>
            </w:tcBorders>
          </w:tcPr>
          <w:p>
            <w:pP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9161520</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989"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6</w:t>
            </w:r>
          </w:p>
        </w:tc>
        <w:tc>
          <w:tcPr>
            <w:tcW w:w="2258" w:type="dxa"/>
            <w:tcBorders>
              <w:top w:val="single" w:sz="6" w:space="0" w:color="000000"/>
              <w:left w:val="single" w:sz="6" w:space="0" w:color="000000"/>
              <w:bottom w:val="single" w:sz="6" w:space="0" w:color="000000"/>
              <w:right w:val="single" w:sz="6" w:space="0" w:color="000000"/>
            </w:tcBorders>
          </w:tcPr>
          <w:p>
            <w:pP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7"/>
                <w:szCs w:val="2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9161911</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1170"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7</w:t>
            </w:r>
          </w:p>
        </w:tc>
        <w:tc>
          <w:tcPr>
            <w:tcW w:w="2258" w:type="dxa"/>
            <w:tcBorders>
              <w:top w:val="single" w:sz="6" w:space="0" w:color="000000"/>
              <w:left w:val="single" w:sz="6" w:space="0" w:color="000000"/>
              <w:bottom w:val="single" w:sz="6" w:space="0" w:color="000000"/>
              <w:right w:val="single" w:sz="6" w:space="0" w:color="000000"/>
            </w:tcBorders>
          </w:tcPr>
          <w:p>
            <w:pP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9</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9161622</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1"/>
                <w:szCs w:val="31"/>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1170"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8</w:t>
            </w:r>
          </w:p>
        </w:tc>
        <w:tc>
          <w:tcPr>
            <w:tcW w:w="2258" w:type="dxa"/>
            <w:tcBorders>
              <w:top w:val="single" w:sz="6" w:space="0" w:color="000000"/>
              <w:left w:val="single" w:sz="6" w:space="0" w:color="000000"/>
              <w:bottom w:val="single" w:sz="6" w:space="0" w:color="000000"/>
              <w:right w:val="single" w:sz="6" w:space="0" w:color="000000"/>
            </w:tcBorders>
          </w:tcPr>
          <w:p>
            <w:pP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9161969</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1"/>
                <w:szCs w:val="31"/>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1163" w:hRule="exact"/>
        </w:trPr>
        <w:tc>
          <w:tcPr>
            <w:tcW w:w="6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9</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1134" w:lineRule="exact"/>
              <w:ind w:left="361" w:right="0"/>
              <w:jc w:val="left"/>
              <w:rPr>
                <w:rFonts w:ascii="宋体" w:hAnsi="宋体" w:cs="宋体" w:eastAsia="宋体" w:hint="default"/>
                <w:sz w:val="20"/>
                <w:szCs w:val="20"/>
              </w:rPr>
            </w:pPr>
            <w:r>
              <w:rPr>
                <w:rFonts w:ascii="宋体" w:hAnsi="宋体" w:cs="宋体" w:eastAsia="宋体" w:hint="default"/>
                <w:position w:val="-22"/>
                <w:sz w:val="20"/>
                <w:szCs w:val="20"/>
              </w:rPr>
              <w:drawing>
                <wp:inline distT="0" distB="0" distL="0" distR="0">
                  <wp:extent cx="955818" cy="720090"/>
                  <wp:effectExtent l="0" t="0" r="0" b="0"/>
                  <wp:docPr id="15" name="image18.jpeg" descr="BYE~8DIGDUIMN13(XM`1WSM"/>
                  <wp:cNvGraphicFramePr>
                    <a:graphicFrameLocks noChangeAspect="1"/>
                  </wp:cNvGraphicFramePr>
                  <a:graphic>
                    <a:graphicData uri="http://schemas.openxmlformats.org/drawingml/2006/picture">
                      <pic:pic>
                        <pic:nvPicPr>
                          <pic:cNvPr id="16" name="image18.jpeg"/>
                          <pic:cNvPicPr/>
                        </pic:nvPicPr>
                        <pic:blipFill>
                          <a:blip r:embed="rId29" cstate="print"/>
                          <a:stretch>
                            <a:fillRect/>
                          </a:stretch>
                        </pic:blipFill>
                        <pic:spPr>
                          <a:xfrm>
                            <a:off x="0" y="0"/>
                            <a:ext cx="955818" cy="720090"/>
                          </a:xfrm>
                          <a:prstGeom prst="rect">
                            <a:avLst/>
                          </a:prstGeom>
                        </pic:spPr>
                      </pic:pic>
                    </a:graphicData>
                  </a:graphic>
                </wp:inline>
              </w:drawing>
            </w:r>
            <w:r>
              <w:rPr>
                <w:rFonts w:ascii="宋体" w:hAnsi="宋体" w:cs="宋体" w:eastAsia="宋体" w:hint="default"/>
                <w:position w:val="-22"/>
                <w:sz w:val="20"/>
                <w:szCs w:val="20"/>
              </w:rPr>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9161947</w:t>
            </w:r>
          </w:p>
        </w:tc>
        <w:tc>
          <w:tcPr>
            <w:tcW w:w="20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30"/>
                <w:szCs w:val="3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r>
        <w:trPr>
          <w:trHeight w:val="1024" w:hRule="exact"/>
        </w:trPr>
        <w:tc>
          <w:tcPr>
            <w:tcW w:w="66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10</w:t>
            </w:r>
          </w:p>
        </w:tc>
        <w:tc>
          <w:tcPr>
            <w:tcW w:w="2258" w:type="dxa"/>
            <w:tcBorders>
              <w:top w:val="single" w:sz="6" w:space="0" w:color="000000"/>
              <w:left w:val="single" w:sz="6" w:space="0" w:color="000000"/>
              <w:bottom w:val="single" w:sz="12" w:space="0" w:color="000000"/>
              <w:right w:val="single" w:sz="6" w:space="0" w:color="000000"/>
            </w:tcBorders>
          </w:tcPr>
          <w:p>
            <w:pPr>
              <w:pStyle w:val="TableParagraph"/>
              <w:spacing w:line="993" w:lineRule="exact"/>
              <w:ind w:left="476" w:right="0"/>
              <w:jc w:val="left"/>
              <w:rPr>
                <w:rFonts w:ascii="宋体" w:hAnsi="宋体" w:cs="宋体" w:eastAsia="宋体" w:hint="default"/>
                <w:sz w:val="20"/>
                <w:szCs w:val="20"/>
              </w:rPr>
            </w:pPr>
            <w:r>
              <w:rPr>
                <w:rFonts w:ascii="宋体" w:hAnsi="宋体" w:cs="宋体" w:eastAsia="宋体" w:hint="default"/>
                <w:position w:val="-19"/>
                <w:sz w:val="20"/>
                <w:szCs w:val="20"/>
              </w:rPr>
              <w:drawing>
                <wp:inline distT="0" distB="0" distL="0" distR="0">
                  <wp:extent cx="813256" cy="630936"/>
                  <wp:effectExtent l="0" t="0" r="0" b="0"/>
                  <wp:docPr id="17" name="image19.jpeg" descr="C:\Users\TOSHIBA\AppData\Roaming\Tencent\Users\66637246\QQ\WinTemp\RichOle\@${V0T85$)X)X(7F46MS73J.jpg"/>
                  <wp:cNvGraphicFramePr>
                    <a:graphicFrameLocks noChangeAspect="1"/>
                  </wp:cNvGraphicFramePr>
                  <a:graphic>
                    <a:graphicData uri="http://schemas.openxmlformats.org/drawingml/2006/picture">
                      <pic:pic>
                        <pic:nvPicPr>
                          <pic:cNvPr id="18" name="image19.jpeg"/>
                          <pic:cNvPicPr/>
                        </pic:nvPicPr>
                        <pic:blipFill>
                          <a:blip r:embed="rId30" cstate="print"/>
                          <a:stretch>
                            <a:fillRect/>
                          </a:stretch>
                        </pic:blipFill>
                        <pic:spPr>
                          <a:xfrm>
                            <a:off x="0" y="0"/>
                            <a:ext cx="813256" cy="630936"/>
                          </a:xfrm>
                          <a:prstGeom prst="rect">
                            <a:avLst/>
                          </a:prstGeom>
                        </pic:spPr>
                      </pic:pic>
                    </a:graphicData>
                  </a:graphic>
                </wp:inline>
              </w:drawing>
            </w:r>
            <w:r>
              <w:rPr>
                <w:rFonts w:ascii="宋体" w:hAnsi="宋体" w:cs="宋体" w:eastAsia="宋体" w:hint="default"/>
                <w:position w:val="-19"/>
                <w:sz w:val="20"/>
                <w:szCs w:val="20"/>
              </w:rPr>
            </w:r>
          </w:p>
        </w:tc>
        <w:tc>
          <w:tcPr>
            <w:tcW w:w="93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42</w:t>
            </w:r>
          </w:p>
        </w:tc>
        <w:tc>
          <w:tcPr>
            <w:tcW w:w="112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9161842</w:t>
            </w:r>
          </w:p>
        </w:tc>
        <w:tc>
          <w:tcPr>
            <w:tcW w:w="20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77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审核中</w:t>
            </w:r>
          </w:p>
        </w:tc>
      </w:tr>
    </w:tbl>
    <w:p>
      <w:pPr>
        <w:spacing w:after="0" w:line="240" w:lineRule="auto"/>
        <w:jc w:val="center"/>
        <w:rPr>
          <w:rFonts w:ascii="宋体" w:hAnsi="宋体" w:cs="宋体" w:eastAsia="宋体" w:hint="default"/>
          <w:sz w:val="21"/>
          <w:szCs w:val="21"/>
        </w:rPr>
        <w:sectPr>
          <w:pgSz w:w="12240" w:h="15840"/>
          <w:pgMar w:header="0" w:footer="688" w:top="1360" w:bottom="900" w:left="1560" w:right="1600"/>
        </w:sectPr>
      </w:pPr>
    </w:p>
    <w:p>
      <w:pPr>
        <w:pStyle w:val="Heading3"/>
        <w:spacing w:line="240" w:lineRule="auto" w:before="1"/>
        <w:ind w:left="722" w:right="180"/>
        <w:jc w:val="left"/>
        <w:rPr>
          <w:b w:val="0"/>
          <w:bCs w:val="0"/>
        </w:rPr>
      </w:pPr>
      <w:r>
        <w:rPr>
          <w:rFonts w:ascii="Times New Roman" w:hAnsi="Times New Roman" w:cs="Times New Roman" w:eastAsia="Times New Roman" w:hint="default"/>
        </w:rPr>
        <w:t>3</w:t>
      </w:r>
      <w:r>
        <w:rPr/>
        <w:t>、专利</w:t>
      </w:r>
      <w:r>
        <w:rPr>
          <w:b w:val="0"/>
          <w:bCs w:val="0"/>
        </w:rPr>
      </w:r>
    </w:p>
    <w:p>
      <w:pPr>
        <w:spacing w:line="240" w:lineRule="auto" w:before="8"/>
        <w:rPr>
          <w:rFonts w:ascii="宋体" w:hAnsi="宋体" w:cs="宋体" w:eastAsia="宋体" w:hint="default"/>
          <w:b/>
          <w:bCs/>
          <w:sz w:val="28"/>
          <w:szCs w:val="28"/>
        </w:rPr>
      </w:pPr>
    </w:p>
    <w:p>
      <w:pPr>
        <w:pStyle w:val="BodyText"/>
        <w:spacing w:line="240" w:lineRule="auto"/>
        <w:ind w:left="720" w:right="100"/>
        <w:jc w:val="left"/>
      </w:pPr>
      <w:r>
        <w:rPr/>
        <w:t>报告期内，公司新增授权专利</w:t>
      </w:r>
      <w:r>
        <w:rPr>
          <w:spacing w:val="-60"/>
        </w:rPr>
        <w:t> </w:t>
      </w:r>
      <w:r>
        <w:rPr>
          <w:rFonts w:ascii="Times New Roman" w:hAnsi="Times New Roman" w:cs="Times New Roman" w:eastAsia="Times New Roman" w:hint="default"/>
        </w:rPr>
        <w:t>7 </w:t>
      </w:r>
      <w:r>
        <w:rPr/>
        <w:t>项，其中发明专利</w:t>
      </w:r>
      <w:r>
        <w:rPr>
          <w:spacing w:val="-60"/>
        </w:rPr>
        <w:t> </w:t>
      </w:r>
      <w:r>
        <w:rPr>
          <w:rFonts w:ascii="Times New Roman" w:hAnsi="Times New Roman" w:cs="Times New Roman" w:eastAsia="Times New Roman" w:hint="default"/>
        </w:rPr>
        <w:t>3 </w:t>
      </w:r>
      <w:r>
        <w:rPr/>
        <w:t>项，实用新型专利</w:t>
      </w:r>
      <w:r>
        <w:rPr>
          <w:spacing w:val="-60"/>
        </w:rPr>
        <w:t> </w:t>
      </w:r>
      <w:r>
        <w:rPr>
          <w:rFonts w:ascii="Times New Roman" w:hAnsi="Times New Roman" w:cs="Times New Roman" w:eastAsia="Times New Roman" w:hint="default"/>
        </w:rPr>
        <w:t>4 </w:t>
      </w:r>
      <w:r>
        <w:rPr/>
        <w:t>项；</w:t>
      </w:r>
    </w:p>
    <w:p>
      <w:pPr>
        <w:pStyle w:val="BodyText"/>
        <w:spacing w:line="240" w:lineRule="auto" w:before="134"/>
        <w:ind w:left="240" w:right="180"/>
        <w:jc w:val="left"/>
      </w:pPr>
      <w:r>
        <w:rPr/>
        <w:t>新提交申请的专利</w:t>
      </w:r>
      <w:r>
        <w:rPr>
          <w:spacing w:val="-60"/>
        </w:rPr>
        <w:t> </w:t>
      </w:r>
      <w:r>
        <w:rPr>
          <w:rFonts w:ascii="Times New Roman" w:hAnsi="Times New Roman" w:cs="Times New Roman" w:eastAsia="Times New Roman" w:hint="default"/>
        </w:rPr>
        <w:t>21 </w:t>
      </w:r>
      <w:r>
        <w:rPr/>
        <w:t>项，其中发明专利</w:t>
      </w:r>
      <w:r>
        <w:rPr>
          <w:spacing w:val="-60"/>
        </w:rPr>
        <w:t> </w:t>
      </w:r>
      <w:r>
        <w:rPr>
          <w:rFonts w:ascii="Times New Roman" w:hAnsi="Times New Roman" w:cs="Times New Roman" w:eastAsia="Times New Roman" w:hint="default"/>
        </w:rPr>
        <w:t>16 </w:t>
      </w:r>
      <w:r>
        <w:rPr/>
        <w:t>项，实用新型专利</w:t>
      </w:r>
      <w:r>
        <w:rPr>
          <w:spacing w:val="-60"/>
        </w:rPr>
        <w:t> </w:t>
      </w:r>
      <w:r>
        <w:rPr>
          <w:rFonts w:ascii="Times New Roman" w:hAnsi="Times New Roman" w:cs="Times New Roman" w:eastAsia="Times New Roman" w:hint="default"/>
        </w:rPr>
        <w:t>5 </w:t>
      </w:r>
      <w:r>
        <w:rPr/>
        <w:t>项。</w:t>
      </w:r>
    </w:p>
    <w:p>
      <w:pPr>
        <w:spacing w:line="240" w:lineRule="auto" w:before="6"/>
        <w:rPr>
          <w:rFonts w:ascii="宋体" w:hAnsi="宋体" w:cs="宋体" w:eastAsia="宋体" w:hint="default"/>
          <w:sz w:val="19"/>
          <w:szCs w:val="19"/>
        </w:rPr>
      </w:pPr>
    </w:p>
    <w:p>
      <w:pPr>
        <w:pStyle w:val="BodyText"/>
        <w:spacing w:line="240" w:lineRule="auto"/>
        <w:ind w:left="720" w:right="100"/>
        <w:jc w:val="left"/>
      </w:pPr>
      <w:r>
        <w:rPr>
          <w:spacing w:val="-3"/>
        </w:rPr>
        <w:t>截至本报告期末，公司共取得授权专利</w:t>
      </w:r>
      <w:r>
        <w:rPr>
          <w:spacing w:val="-57"/>
        </w:rPr>
        <w:t> </w:t>
      </w:r>
      <w:r>
        <w:rPr>
          <w:rFonts w:ascii="Times New Roman" w:hAnsi="Times New Roman" w:cs="Times New Roman" w:eastAsia="Times New Roman" w:hint="default"/>
        </w:rPr>
        <w:t>17</w:t>
      </w:r>
      <w:r>
        <w:rPr>
          <w:rFonts w:ascii="Times New Roman" w:hAnsi="Times New Roman" w:cs="Times New Roman" w:eastAsia="Times New Roman" w:hint="default"/>
          <w:spacing w:val="3"/>
        </w:rPr>
        <w:t> </w:t>
      </w:r>
      <w:r>
        <w:rPr>
          <w:spacing w:val="-5"/>
        </w:rPr>
        <w:t>项，其中发明专利</w:t>
      </w:r>
      <w:r>
        <w:rPr>
          <w:spacing w:val="-57"/>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spacing w:val="-6"/>
        </w:rPr>
        <w:t>项，实用新型专</w:t>
      </w:r>
    </w:p>
    <w:p>
      <w:pPr>
        <w:pStyle w:val="BodyText"/>
        <w:spacing w:line="240" w:lineRule="auto" w:before="134"/>
        <w:ind w:left="239" w:right="180"/>
        <w:jc w:val="left"/>
      </w:pPr>
      <w:r>
        <w:rPr/>
        <w:t>利</w:t>
      </w:r>
      <w:r>
        <w:rPr>
          <w:spacing w:val="-60"/>
        </w:rPr>
        <w:t> </w:t>
      </w:r>
      <w:r>
        <w:rPr>
          <w:rFonts w:ascii="Times New Roman" w:hAnsi="Times New Roman" w:cs="Times New Roman" w:eastAsia="Times New Roman" w:hint="default"/>
        </w:rPr>
        <w:t>13 </w:t>
      </w:r>
      <w:r>
        <w:rPr/>
        <w:t>项。</w:t>
      </w:r>
    </w:p>
    <w:p>
      <w:pPr>
        <w:spacing w:line="240" w:lineRule="auto" w:before="6"/>
        <w:rPr>
          <w:rFonts w:ascii="宋体" w:hAnsi="宋体" w:cs="宋体" w:eastAsia="宋体" w:hint="default"/>
          <w:sz w:val="19"/>
          <w:szCs w:val="19"/>
        </w:rPr>
      </w:pPr>
    </w:p>
    <w:p>
      <w:pPr>
        <w:pStyle w:val="BodyText"/>
        <w:spacing w:line="240" w:lineRule="auto"/>
        <w:ind w:left="719" w:right="180"/>
        <w:jc w:val="left"/>
      </w:pPr>
      <w:r>
        <w:rPr/>
        <w:t>（</w:t>
      </w:r>
      <w:r>
        <w:rPr>
          <w:rFonts w:ascii="Times New Roman" w:hAnsi="Times New Roman" w:cs="Times New Roman" w:eastAsia="Times New Roman" w:hint="default"/>
        </w:rPr>
        <w:t>1</w:t>
      </w:r>
      <w:r>
        <w:rPr/>
        <w:t>）新增授权专利</w:t>
      </w:r>
    </w:p>
    <w:p>
      <w:pPr>
        <w:spacing w:line="240" w:lineRule="auto" w:before="6"/>
        <w:rPr>
          <w:rFonts w:ascii="宋体" w:hAnsi="宋体" w:cs="宋体" w:eastAsia="宋体" w:hint="default"/>
          <w:sz w:val="19"/>
          <w:szCs w:val="19"/>
        </w:rPr>
      </w:pPr>
    </w:p>
    <w:p>
      <w:pPr>
        <w:pStyle w:val="BodyText"/>
        <w:spacing w:line="338" w:lineRule="auto"/>
        <w:ind w:left="239" w:right="181" w:firstLine="480"/>
        <w:jc w:val="left"/>
      </w:pPr>
      <w:r>
        <w:rPr/>
        <w:t>报告期内，公司新增授权发明专利</w:t>
      </w:r>
      <w:r>
        <w:rPr>
          <w:spacing w:val="-60"/>
        </w:rPr>
        <w:t> </w:t>
      </w:r>
      <w:r>
        <w:rPr>
          <w:rFonts w:ascii="Times New Roman" w:hAnsi="Times New Roman" w:cs="Times New Roman" w:eastAsia="Times New Roman" w:hint="default"/>
        </w:rPr>
        <w:t>3 </w:t>
      </w:r>
      <w:r>
        <w:rPr/>
        <w:t>项，新增授权实用新型专利</w:t>
      </w:r>
      <w:r>
        <w:rPr>
          <w:spacing w:val="-60"/>
        </w:rPr>
        <w:t> </w:t>
      </w:r>
      <w:r>
        <w:rPr>
          <w:rFonts w:ascii="Times New Roman" w:hAnsi="Times New Roman" w:cs="Times New Roman" w:eastAsia="Times New Roman" w:hint="default"/>
        </w:rPr>
        <w:t>4 </w:t>
      </w:r>
      <w:r>
        <w:rPr/>
        <w:t>项。具体情 况如下：</w:t>
      </w:r>
    </w:p>
    <w:p>
      <w:pPr>
        <w:spacing w:line="240" w:lineRule="auto" w:before="5"/>
        <w:rPr>
          <w:rFonts w:ascii="宋体" w:hAnsi="宋体" w:cs="宋体" w:eastAsia="宋体" w:hint="default"/>
          <w:sz w:val="16"/>
          <w:szCs w:val="16"/>
        </w:rPr>
      </w:pPr>
    </w:p>
    <w:tbl>
      <w:tblPr>
        <w:tblW w:w="0" w:type="auto"/>
        <w:jc w:val="left"/>
        <w:tblInd w:w="116" w:type="dxa"/>
        <w:tblLayout w:type="fixed"/>
        <w:tblCellMar>
          <w:top w:w="0" w:type="dxa"/>
          <w:left w:w="0" w:type="dxa"/>
          <w:bottom w:w="0" w:type="dxa"/>
          <w:right w:w="0" w:type="dxa"/>
        </w:tblCellMar>
        <w:tblLook w:val="01E0"/>
      </w:tblPr>
      <w:tblGrid>
        <w:gridCol w:w="797"/>
        <w:gridCol w:w="2291"/>
        <w:gridCol w:w="1285"/>
        <w:gridCol w:w="2246"/>
        <w:gridCol w:w="2193"/>
      </w:tblGrid>
      <w:tr>
        <w:trPr>
          <w:trHeight w:val="428" w:hRule="exact"/>
        </w:trPr>
        <w:tc>
          <w:tcPr>
            <w:tcW w:w="797"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1" w:lineRule="exact"/>
              <w:ind w:right="7"/>
              <w:jc w:val="center"/>
              <w:rPr>
                <w:rFonts w:ascii="宋体" w:hAnsi="宋体" w:cs="宋体" w:eastAsia="宋体" w:hint="default"/>
                <w:sz w:val="21"/>
                <w:szCs w:val="21"/>
              </w:rPr>
            </w:pPr>
            <w:r>
              <w:rPr>
                <w:rFonts w:ascii="宋体" w:hAnsi="宋体" w:cs="宋体" w:eastAsia="宋体" w:hint="default"/>
                <w:sz w:val="21"/>
                <w:szCs w:val="21"/>
              </w:rPr>
              <w:t>序号</w:t>
            </w:r>
          </w:p>
        </w:tc>
        <w:tc>
          <w:tcPr>
            <w:tcW w:w="2291"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720" w:right="0"/>
              <w:jc w:val="left"/>
              <w:rPr>
                <w:rFonts w:ascii="宋体" w:hAnsi="宋体" w:cs="宋体" w:eastAsia="宋体" w:hint="default"/>
                <w:sz w:val="21"/>
                <w:szCs w:val="21"/>
              </w:rPr>
            </w:pPr>
            <w:r>
              <w:rPr>
                <w:rFonts w:ascii="宋体" w:hAnsi="宋体" w:cs="宋体" w:eastAsia="宋体" w:hint="default"/>
                <w:sz w:val="21"/>
                <w:szCs w:val="21"/>
              </w:rPr>
              <w:t>专利名称</w:t>
            </w:r>
          </w:p>
        </w:tc>
        <w:tc>
          <w:tcPr>
            <w:tcW w:w="1285"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专利类别</w:t>
            </w:r>
          </w:p>
        </w:tc>
        <w:tc>
          <w:tcPr>
            <w:tcW w:w="2246"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专利号</w:t>
            </w:r>
          </w:p>
        </w:tc>
        <w:tc>
          <w:tcPr>
            <w:tcW w:w="2193"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专利申请日</w:t>
            </w:r>
          </w:p>
        </w:tc>
      </w:tr>
      <w:tr>
        <w:trPr>
          <w:trHeight w:val="554"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9"/>
                <w:sz w:val="21"/>
                <w:szCs w:val="21"/>
              </w:rPr>
              <w:t>一种筛选网页上链接</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的方法和装置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发明</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ZL200810071574.2</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827"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2</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一种基于</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AJAX</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的网页</w:t>
            </w:r>
          </w:p>
          <w:p>
            <w:pPr>
              <w:pStyle w:val="TableParagraph"/>
              <w:spacing w:line="272" w:lineRule="exact" w:before="18"/>
              <w:ind w:left="103" w:right="85" w:hanging="1"/>
              <w:jc w:val="left"/>
              <w:rPr>
                <w:rFonts w:ascii="宋体" w:hAnsi="宋体" w:cs="宋体" w:eastAsia="宋体" w:hint="default"/>
                <w:sz w:val="21"/>
                <w:szCs w:val="21"/>
              </w:rPr>
            </w:pPr>
            <w:r>
              <w:rPr>
                <w:rFonts w:ascii="宋体" w:hAnsi="宋体" w:cs="宋体" w:eastAsia="宋体" w:hint="default"/>
                <w:spacing w:val="13"/>
                <w:sz w:val="21"/>
                <w:szCs w:val="21"/>
              </w:rPr>
              <w:t>在线导入</w:t>
            </w:r>
            <w:r>
              <w:rPr>
                <w:rFonts w:ascii="Times New Roman" w:hAnsi="Times New Roman" w:cs="Times New Roman" w:eastAsia="Times New Roman" w:hint="default"/>
                <w:spacing w:val="13"/>
                <w:sz w:val="21"/>
                <w:szCs w:val="21"/>
              </w:rPr>
              <w:t>/</w:t>
            </w:r>
            <w:r>
              <w:rPr>
                <w:rFonts w:ascii="宋体" w:hAnsi="宋体" w:cs="宋体" w:eastAsia="宋体" w:hint="default"/>
                <w:spacing w:val="13"/>
                <w:sz w:val="21"/>
                <w:szCs w:val="21"/>
              </w:rPr>
              <w:t>导出大文件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的方法</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 w:right="0"/>
              <w:jc w:val="center"/>
              <w:rPr>
                <w:rFonts w:ascii="Times New Roman" w:hAnsi="Times New Roman" w:cs="Times New Roman" w:eastAsia="Times New Roman" w:hint="default"/>
                <w:sz w:val="21"/>
                <w:szCs w:val="21"/>
              </w:rPr>
            </w:pPr>
            <w:r>
              <w:rPr>
                <w:rFonts w:ascii="Times New Roman"/>
                <w:sz w:val="21"/>
              </w:rPr>
              <w:t>ZL200910113121.6</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0"/>
              <w:ind w:left="1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828"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3</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9"/>
                <w:sz w:val="21"/>
                <w:szCs w:val="21"/>
              </w:rPr>
              <w:t>一种基于检索过期的</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2" w:lineRule="exact" w:before="26"/>
              <w:ind w:left="103" w:right="79"/>
              <w:jc w:val="left"/>
              <w:rPr>
                <w:rFonts w:ascii="宋体" w:hAnsi="宋体" w:cs="宋体" w:eastAsia="宋体" w:hint="default"/>
                <w:sz w:val="21"/>
                <w:szCs w:val="21"/>
              </w:rPr>
            </w:pPr>
            <w:r>
              <w:rPr>
                <w:rFonts w:ascii="宋体" w:hAnsi="宋体" w:cs="宋体" w:eastAsia="宋体" w:hint="default"/>
                <w:spacing w:val="19"/>
                <w:sz w:val="21"/>
                <w:szCs w:val="21"/>
              </w:rPr>
              <w:t>网页搜索方法及其系</w:t>
            </w:r>
            <w:r>
              <w:rPr>
                <w:rFonts w:ascii="宋体" w:hAnsi="宋体" w:cs="宋体" w:eastAsia="宋体" w:hint="default"/>
                <w:spacing w:val="-99"/>
                <w:sz w:val="21"/>
                <w:szCs w:val="21"/>
              </w:rPr>
              <w:t> </w:t>
            </w:r>
            <w:r>
              <w:rPr>
                <w:rFonts w:ascii="宋体" w:hAnsi="宋体" w:cs="宋体" w:eastAsia="宋体" w:hint="default"/>
                <w:sz w:val="21"/>
                <w:szCs w:val="21"/>
              </w:rPr>
              <w:t>统</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发明</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ZL200810071873.6</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0"/>
              <w:ind w:left="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554"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4</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9"/>
                <w:sz w:val="21"/>
                <w:szCs w:val="21"/>
              </w:rPr>
              <w:t>一种并行取证分析装</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ZL201020243379.6</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4"/>
              <w:ind w:left="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554"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5</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9"/>
                <w:sz w:val="21"/>
                <w:szCs w:val="21"/>
              </w:rPr>
              <w:t>一种手机型号自动识</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别装置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ZL201020524243.2</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4"/>
              <w:ind w:left="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827" w:hRule="exact"/>
        </w:trPr>
        <w:tc>
          <w:tcPr>
            <w:tcW w:w="79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6</w:t>
            </w:r>
          </w:p>
        </w:tc>
        <w:tc>
          <w:tcPr>
            <w:tcW w:w="229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9"/>
                <w:sz w:val="21"/>
                <w:szCs w:val="21"/>
              </w:rPr>
              <w:t>一种自动识别存储介</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2" w:lineRule="exact" w:before="26"/>
              <w:ind w:left="103" w:right="79"/>
              <w:jc w:val="left"/>
              <w:rPr>
                <w:rFonts w:ascii="宋体" w:hAnsi="宋体" w:cs="宋体" w:eastAsia="宋体" w:hint="default"/>
                <w:sz w:val="21"/>
                <w:szCs w:val="21"/>
              </w:rPr>
            </w:pPr>
            <w:r>
              <w:rPr>
                <w:rFonts w:ascii="宋体" w:hAnsi="宋体" w:cs="宋体" w:eastAsia="宋体" w:hint="default"/>
                <w:spacing w:val="19"/>
                <w:sz w:val="21"/>
                <w:szCs w:val="21"/>
              </w:rPr>
              <w:t>质所在线路序号的装</w:t>
            </w:r>
            <w:r>
              <w:rPr>
                <w:rFonts w:ascii="宋体" w:hAnsi="宋体" w:cs="宋体" w:eastAsia="宋体" w:hint="default"/>
                <w:spacing w:val="-99"/>
                <w:sz w:val="21"/>
                <w:szCs w:val="21"/>
              </w:rPr>
              <w:t> </w:t>
            </w:r>
            <w:r>
              <w:rPr>
                <w:rFonts w:ascii="宋体" w:hAnsi="宋体" w:cs="宋体" w:eastAsia="宋体" w:hint="default"/>
                <w:sz w:val="21"/>
                <w:szCs w:val="21"/>
              </w:rPr>
              <w:t>置</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ZL201020550205.4</w:t>
            </w:r>
          </w:p>
        </w:tc>
        <w:tc>
          <w:tcPr>
            <w:tcW w:w="2193"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0"/>
              <w:ind w:left="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565" w:hRule="exact"/>
        </w:trPr>
        <w:tc>
          <w:tcPr>
            <w:tcW w:w="797"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7</w:t>
            </w:r>
          </w:p>
        </w:tc>
        <w:tc>
          <w:tcPr>
            <w:tcW w:w="2291" w:type="dxa"/>
            <w:tcBorders>
              <w:top w:val="single" w:sz="4" w:space="0" w:color="000000"/>
              <w:left w:val="single" w:sz="4" w:space="0" w:color="000000"/>
              <w:bottom w:val="single" w:sz="12"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 </w:t>
            </w:r>
            <w:r>
              <w:rPr>
                <w:rFonts w:ascii="Times New Roman" w:hAnsi="Times New Roman" w:cs="Times New Roman" w:eastAsia="Times New Roman" w:hint="default"/>
                <w:sz w:val="21"/>
                <w:szCs w:val="21"/>
              </w:rPr>
              <w:t>WIFI</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连接状态检</w:t>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测装置</w:t>
            </w:r>
          </w:p>
        </w:tc>
        <w:tc>
          <w:tcPr>
            <w:tcW w:w="128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实用新型</w:t>
            </w:r>
          </w:p>
        </w:tc>
        <w:tc>
          <w:tcPr>
            <w:tcW w:w="22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ZL201020690386.0</w:t>
            </w:r>
          </w:p>
        </w:tc>
        <w:tc>
          <w:tcPr>
            <w:tcW w:w="2193"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34"/>
              <w:ind w:left="1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pStyle w:val="BodyText"/>
        <w:spacing w:line="293" w:lineRule="exact"/>
        <w:ind w:left="720" w:right="100"/>
        <w:jc w:val="left"/>
      </w:pPr>
      <w:r>
        <w:rPr/>
        <w:t>发明专利的专利权期限自专利申请日起</w:t>
      </w:r>
      <w:r>
        <w:rPr>
          <w:spacing w:val="-60"/>
        </w:rPr>
        <w:t> </w:t>
      </w:r>
      <w:r>
        <w:rPr>
          <w:rFonts w:ascii="Times New Roman" w:hAnsi="Times New Roman" w:cs="Times New Roman" w:eastAsia="Times New Roman" w:hint="default"/>
        </w:rPr>
        <w:t>20 </w:t>
      </w:r>
      <w:r>
        <w:rPr/>
        <w:t>年内有效</w:t>
      </w:r>
      <w:r>
        <w:rPr>
          <w:spacing w:val="-120"/>
        </w:rPr>
        <w:t>，</w:t>
      </w:r>
      <w:r>
        <w:rPr/>
        <w:t>实用新型专利的专利权期</w:t>
      </w:r>
    </w:p>
    <w:p>
      <w:pPr>
        <w:pStyle w:val="BodyText"/>
        <w:spacing w:line="240" w:lineRule="auto" w:before="135"/>
        <w:ind w:left="240" w:right="180"/>
        <w:jc w:val="left"/>
      </w:pPr>
      <w:r>
        <w:rPr/>
        <w:t>限自专利申请日起</w:t>
      </w:r>
      <w:r>
        <w:rPr>
          <w:spacing w:val="-60"/>
        </w:rPr>
        <w:t> </w:t>
      </w:r>
      <w:r>
        <w:rPr>
          <w:rFonts w:ascii="Times New Roman" w:hAnsi="Times New Roman" w:cs="Times New Roman" w:eastAsia="Times New Roman" w:hint="default"/>
        </w:rPr>
        <w:t>10 </w:t>
      </w:r>
      <w:r>
        <w:rPr/>
        <w:t>年内有效，上述专利都在有效期内。</w:t>
      </w:r>
    </w:p>
    <w:p>
      <w:pPr>
        <w:spacing w:line="240" w:lineRule="auto" w:before="6"/>
        <w:rPr>
          <w:rFonts w:ascii="宋体" w:hAnsi="宋体" w:cs="宋体" w:eastAsia="宋体" w:hint="default"/>
          <w:sz w:val="19"/>
          <w:szCs w:val="19"/>
        </w:rPr>
      </w:pPr>
    </w:p>
    <w:p>
      <w:pPr>
        <w:pStyle w:val="BodyText"/>
        <w:spacing w:line="240" w:lineRule="auto"/>
        <w:ind w:left="720" w:right="180"/>
        <w:jc w:val="left"/>
      </w:pPr>
      <w:r>
        <w:rPr/>
        <w:t>（</w:t>
      </w:r>
      <w:r>
        <w:rPr>
          <w:rFonts w:ascii="Times New Roman" w:hAnsi="Times New Roman" w:cs="Times New Roman" w:eastAsia="Times New Roman" w:hint="default"/>
        </w:rPr>
        <w:t>2</w:t>
      </w:r>
      <w:r>
        <w:rPr/>
        <w:t>）新申请专利</w:t>
      </w:r>
    </w:p>
    <w:p>
      <w:pPr>
        <w:spacing w:line="240" w:lineRule="auto" w:before="6"/>
        <w:rPr>
          <w:rFonts w:ascii="宋体" w:hAnsi="宋体" w:cs="宋体" w:eastAsia="宋体" w:hint="default"/>
          <w:sz w:val="19"/>
          <w:szCs w:val="19"/>
        </w:rPr>
      </w:pPr>
    </w:p>
    <w:p>
      <w:pPr>
        <w:pStyle w:val="BodyText"/>
        <w:spacing w:line="240" w:lineRule="auto"/>
        <w:ind w:left="720" w:right="100"/>
        <w:jc w:val="left"/>
      </w:pPr>
      <w:r>
        <w:rPr>
          <w:spacing w:val="-3"/>
        </w:rPr>
        <w:t>国家知识产权局已受理、正在审核的新申请发明专利</w:t>
      </w:r>
      <w:r>
        <w:rPr>
          <w:spacing w:val="-56"/>
        </w:rPr>
        <w:t> </w:t>
      </w:r>
      <w:r>
        <w:rPr>
          <w:rFonts w:ascii="Times New Roman" w:hAnsi="Times New Roman" w:cs="Times New Roman" w:eastAsia="Times New Roman" w:hint="default"/>
        </w:rPr>
        <w:t>16</w:t>
      </w:r>
      <w:r>
        <w:rPr>
          <w:rFonts w:ascii="Times New Roman" w:hAnsi="Times New Roman" w:cs="Times New Roman" w:eastAsia="Times New Roman" w:hint="default"/>
          <w:spacing w:val="4"/>
        </w:rPr>
        <w:t> </w:t>
      </w:r>
      <w:r>
        <w:rPr>
          <w:spacing w:val="-6"/>
        </w:rPr>
        <w:t>项，新申请实用新型专</w:t>
      </w:r>
    </w:p>
    <w:p>
      <w:pPr>
        <w:pStyle w:val="BodyText"/>
        <w:spacing w:line="240" w:lineRule="auto" w:before="134"/>
        <w:ind w:left="240" w:right="180"/>
        <w:jc w:val="left"/>
      </w:pPr>
      <w:r>
        <w:rPr/>
        <w:t>利</w:t>
      </w:r>
      <w:r>
        <w:rPr>
          <w:spacing w:val="-60"/>
        </w:rPr>
        <w:t> </w:t>
      </w:r>
      <w:r>
        <w:rPr>
          <w:rFonts w:ascii="Times New Roman" w:hAnsi="Times New Roman" w:cs="Times New Roman" w:eastAsia="Times New Roman" w:hint="default"/>
        </w:rPr>
        <w:t>5 </w:t>
      </w:r>
      <w:r>
        <w:rPr/>
        <w:t>项。具体情况如下：</w:t>
      </w:r>
    </w:p>
    <w:p>
      <w:pPr>
        <w:spacing w:after="0" w:line="240" w:lineRule="auto"/>
        <w:jc w:val="left"/>
        <w:sectPr>
          <w:pgSz w:w="12240" w:h="15840"/>
          <w:pgMar w:header="0" w:footer="688" w:top="1400" w:bottom="900" w:left="1560" w:right="160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664"/>
        <w:gridCol w:w="2117"/>
        <w:gridCol w:w="961"/>
        <w:gridCol w:w="1752"/>
        <w:gridCol w:w="2101"/>
        <w:gridCol w:w="1261"/>
      </w:tblGrid>
      <w:tr>
        <w:trPr>
          <w:trHeight w:val="837" w:hRule="exact"/>
        </w:trPr>
        <w:tc>
          <w:tcPr>
            <w:tcW w:w="664"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170"/>
              <w:ind w:right="8"/>
              <w:jc w:val="center"/>
              <w:rPr>
                <w:rFonts w:ascii="宋体" w:hAnsi="宋体" w:cs="宋体" w:eastAsia="宋体" w:hint="default"/>
                <w:sz w:val="21"/>
                <w:szCs w:val="21"/>
              </w:rPr>
            </w:pPr>
            <w:r>
              <w:rPr>
                <w:rFonts w:ascii="宋体" w:hAnsi="宋体" w:cs="宋体" w:eastAsia="宋体" w:hint="default"/>
                <w:sz w:val="21"/>
                <w:szCs w:val="21"/>
              </w:rPr>
              <w:t>序号</w:t>
            </w:r>
          </w:p>
        </w:tc>
        <w:tc>
          <w:tcPr>
            <w:tcW w:w="2117"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961"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266" w:right="0"/>
              <w:jc w:val="left"/>
              <w:rPr>
                <w:rFonts w:ascii="宋体" w:hAnsi="宋体" w:cs="宋体" w:eastAsia="宋体" w:hint="default"/>
                <w:sz w:val="21"/>
                <w:szCs w:val="21"/>
              </w:rPr>
            </w:pPr>
            <w:r>
              <w:rPr>
                <w:rFonts w:ascii="宋体" w:hAnsi="宋体" w:cs="宋体" w:eastAsia="宋体" w:hint="default"/>
                <w:sz w:val="21"/>
                <w:szCs w:val="21"/>
              </w:rPr>
              <w:t>专利</w:t>
            </w:r>
          </w:p>
          <w:p>
            <w:pPr>
              <w:pStyle w:val="TableParagraph"/>
              <w:spacing w:line="240" w:lineRule="auto" w:before="133"/>
              <w:ind w:left="266" w:right="0"/>
              <w:jc w:val="left"/>
              <w:rPr>
                <w:rFonts w:ascii="宋体" w:hAnsi="宋体" w:cs="宋体" w:eastAsia="宋体" w:hint="default"/>
                <w:sz w:val="21"/>
                <w:szCs w:val="21"/>
              </w:rPr>
            </w:pPr>
            <w:r>
              <w:rPr>
                <w:rFonts w:ascii="宋体" w:hAnsi="宋体" w:cs="宋体" w:eastAsia="宋体" w:hint="default"/>
                <w:sz w:val="21"/>
                <w:szCs w:val="21"/>
              </w:rPr>
              <w:t>类别</w:t>
            </w:r>
          </w:p>
        </w:tc>
        <w:tc>
          <w:tcPr>
            <w:tcW w:w="1752"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sz w:val="21"/>
                <w:szCs w:val="21"/>
              </w:rPr>
              <w:t>申请号</w:t>
            </w:r>
          </w:p>
        </w:tc>
        <w:tc>
          <w:tcPr>
            <w:tcW w:w="2101"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专利申请日</w:t>
            </w:r>
          </w:p>
        </w:tc>
        <w:tc>
          <w:tcPr>
            <w:tcW w:w="1261"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170"/>
              <w:ind w:left="9" w:right="0"/>
              <w:jc w:val="center"/>
              <w:rPr>
                <w:rFonts w:ascii="宋体" w:hAnsi="宋体" w:cs="宋体" w:eastAsia="宋体" w:hint="default"/>
                <w:sz w:val="21"/>
                <w:szCs w:val="21"/>
              </w:rPr>
            </w:pPr>
            <w:r>
              <w:rPr>
                <w:rFonts w:ascii="宋体" w:hAnsi="宋体" w:cs="宋体" w:eastAsia="宋体" w:hint="default"/>
                <w:sz w:val="21"/>
                <w:szCs w:val="21"/>
              </w:rPr>
              <w:t>状态</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基于地址映射点的闪</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z w:val="21"/>
                <w:szCs w:val="21"/>
              </w:rPr>
              <w:t>存芯片数据解析方法</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201110008339.2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2</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数据的可靠传输方法</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pacing w:val="-2"/>
                <w:sz w:val="21"/>
              </w:rPr>
              <w:t>201110112310.9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6"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恢复移动终端数据的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方法和装置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pacing w:val="-2"/>
                <w:sz w:val="21"/>
              </w:rPr>
              <w:t>201110112323.6</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图像处理方法、装置</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z w:val="21"/>
                <w:szCs w:val="21"/>
              </w:rPr>
              <w:t>及图像检索方法、系</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201110184923.3</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5</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样本采集方案及复制</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z w:val="21"/>
                <w:szCs w:val="21"/>
              </w:rPr>
              <w:t>设备健康状况的预测</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方法</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201110223364..2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RAID5  </w:t>
            </w:r>
            <w:r>
              <w:rPr>
                <w:rFonts w:ascii="宋体" w:hAnsi="宋体" w:cs="宋体" w:eastAsia="宋体" w:hint="default"/>
                <w:spacing w:val="12"/>
                <w:sz w:val="21"/>
                <w:szCs w:val="21"/>
              </w:rPr>
              <w:t>智能</w:t>
            </w:r>
            <w:r>
              <w:rPr>
                <w:rFonts w:ascii="宋体" w:hAnsi="宋体" w:cs="宋体" w:eastAsia="宋体" w:hint="default"/>
                <w:spacing w:val="-54"/>
                <w:sz w:val="21"/>
                <w:szCs w:val="21"/>
              </w:rPr>
              <w:t> </w:t>
            </w:r>
            <w:r>
              <w:rPr>
                <w:rFonts w:ascii="宋体" w:hAnsi="宋体" w:cs="宋体" w:eastAsia="宋体" w:hint="default"/>
                <w:spacing w:val="16"/>
                <w:sz w:val="21"/>
                <w:szCs w:val="21"/>
              </w:rPr>
              <w:t>重组方</w:t>
            </w:r>
            <w:r>
              <w:rPr>
                <w:rFonts w:ascii="宋体" w:hAnsi="宋体" w:cs="宋体" w:eastAsia="宋体" w:hint="default"/>
                <w:spacing w:val="-80"/>
                <w:sz w:val="21"/>
                <w:szCs w:val="21"/>
              </w:rPr>
              <w:t> </w:t>
            </w:r>
            <w:r>
              <w:rPr>
                <w:rFonts w:ascii="宋体" w:hAnsi="宋体" w:cs="宋体" w:eastAsia="宋体" w:hint="default"/>
                <w:sz w:val="21"/>
                <w:szCs w:val="21"/>
              </w:rPr>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法经和装置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201110250365.6</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一种分布式海量数据</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排重方法及系统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201110264866.X</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6"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8</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 </w:t>
            </w:r>
            <w:r>
              <w:rPr>
                <w:rFonts w:ascii="Times New Roman" w:hAnsi="Times New Roman" w:cs="Times New Roman" w:eastAsia="Times New Roman" w:hint="default"/>
                <w:sz w:val="21"/>
                <w:szCs w:val="21"/>
              </w:rPr>
              <w:t>Sqlite</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删除记录</w:t>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结构重组方法</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201110266852.1</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一种实时检测网页跨</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域请求的方法和装置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201110275500.2</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一种二次重重定向的</w:t>
            </w:r>
          </w:p>
          <w:p>
            <w:pPr>
              <w:pStyle w:val="TableParagraph"/>
              <w:spacing w:line="272" w:lineRule="exact" w:before="26"/>
              <w:ind w:left="103" w:right="84"/>
              <w:jc w:val="left"/>
              <w:rPr>
                <w:rFonts w:ascii="宋体" w:hAnsi="宋体" w:cs="宋体" w:eastAsia="宋体" w:hint="default"/>
                <w:sz w:val="21"/>
                <w:szCs w:val="21"/>
              </w:rPr>
            </w:pPr>
            <w:r>
              <w:rPr>
                <w:rFonts w:ascii="Times New Roman" w:hAnsi="Times New Roman" w:cs="Times New Roman" w:eastAsia="Times New Roman" w:hint="default"/>
                <w:sz w:val="21"/>
                <w:szCs w:val="21"/>
              </w:rPr>
              <w:t>CDN</w:t>
            </w:r>
            <w:r>
              <w:rPr>
                <w:rFonts w:ascii="Times New Roman" w:hAnsi="Times New Roman" w:cs="Times New Roman" w:eastAsia="Times New Roman" w:hint="default"/>
                <w:spacing w:val="13"/>
                <w:sz w:val="21"/>
                <w:szCs w:val="21"/>
              </w:rPr>
              <w:t> </w:t>
            </w:r>
            <w:r>
              <w:rPr>
                <w:rFonts w:ascii="宋体" w:hAnsi="宋体" w:cs="宋体" w:eastAsia="宋体" w:hint="default"/>
                <w:spacing w:val="15"/>
                <w:sz w:val="21"/>
                <w:szCs w:val="21"/>
              </w:rPr>
              <w:t>路由方法及系 </w:t>
            </w:r>
            <w:r>
              <w:rPr>
                <w:rFonts w:ascii="宋体" w:hAnsi="宋体" w:cs="宋体" w:eastAsia="宋体" w:hint="default"/>
                <w:sz w:val="21"/>
                <w:szCs w:val="21"/>
              </w:rPr>
              <w:t>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201110443744.7</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一种基于用户行为分</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z w:val="21"/>
                <w:szCs w:val="21"/>
              </w:rPr>
              <w:t>析的搜索结果改进的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方法及系统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201110445475.8</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12</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一种基于标点连续性</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z w:val="21"/>
                <w:szCs w:val="21"/>
              </w:rPr>
              <w:t>的通用网页正文提取</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方法及系统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201110446701.4</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6"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qlite</w:t>
            </w:r>
            <w:r>
              <w:rPr>
                <w:rFonts w:ascii="Times New Roman" w:hAnsi="Times New Roman" w:cs="Times New Roman" w:eastAsia="Times New Roman" w:hint="default"/>
                <w:spacing w:val="-26"/>
                <w:sz w:val="21"/>
                <w:szCs w:val="21"/>
              </w:rPr>
              <w:t> </w:t>
            </w:r>
            <w:r>
              <w:rPr>
                <w:rFonts w:ascii="宋体" w:hAnsi="宋体" w:cs="宋体" w:eastAsia="宋体" w:hint="default"/>
                <w:sz w:val="21"/>
                <w:szCs w:val="21"/>
              </w:rPr>
              <w:t>空闲链表节</w:t>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点的解析方法和装置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201110443733.9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基于 </w:t>
            </w:r>
            <w:r>
              <w:rPr>
                <w:rFonts w:ascii="Times New Roman" w:hAnsi="Times New Roman" w:cs="Times New Roman" w:eastAsia="Times New Roman" w:hint="default"/>
                <w:sz w:val="21"/>
                <w:szCs w:val="21"/>
              </w:rPr>
              <w:t>Map/Reduce</w:t>
            </w:r>
            <w:r>
              <w:rPr>
                <w:rFonts w:ascii="Times New Roman" w:hAnsi="Times New Roman" w:cs="Times New Roman" w:eastAsia="Times New Roman" w:hint="default"/>
                <w:spacing w:val="36"/>
                <w:sz w:val="21"/>
                <w:szCs w:val="21"/>
              </w:rPr>
              <w:t> </w:t>
            </w:r>
            <w:r>
              <w:rPr>
                <w:rFonts w:ascii="宋体" w:hAnsi="宋体" w:cs="宋体" w:eastAsia="宋体" w:hint="default"/>
                <w:sz w:val="21"/>
                <w:szCs w:val="21"/>
              </w:rPr>
              <w:t>的</w:t>
            </w:r>
          </w:p>
          <w:p>
            <w:pPr>
              <w:pStyle w:val="TableParagraph"/>
              <w:spacing w:line="272" w:lineRule="exact" w:before="18"/>
              <w:ind w:left="103" w:right="101" w:hanging="1"/>
              <w:jc w:val="left"/>
              <w:rPr>
                <w:rFonts w:ascii="宋体" w:hAnsi="宋体" w:cs="宋体" w:eastAsia="宋体" w:hint="default"/>
                <w:sz w:val="21"/>
                <w:szCs w:val="21"/>
              </w:rPr>
            </w:pPr>
            <w:r>
              <w:rPr>
                <w:rFonts w:ascii="宋体" w:hAnsi="宋体" w:cs="宋体" w:eastAsia="宋体" w:hint="default"/>
                <w:sz w:val="21"/>
                <w:szCs w:val="21"/>
              </w:rPr>
              <w:t>快速</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SVDD</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方法及系 统</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201110443726.9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27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827"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15</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一种基于</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MapReduce</w:t>
            </w:r>
          </w:p>
          <w:p>
            <w:pPr>
              <w:pStyle w:val="TableParagraph"/>
              <w:spacing w:line="272" w:lineRule="exact" w:before="18"/>
              <w:ind w:left="103" w:right="99"/>
              <w:jc w:val="left"/>
              <w:rPr>
                <w:rFonts w:ascii="宋体" w:hAnsi="宋体" w:cs="宋体" w:eastAsia="宋体" w:hint="default"/>
                <w:sz w:val="21"/>
                <w:szCs w:val="21"/>
              </w:rPr>
            </w:pPr>
            <w:r>
              <w:rPr>
                <w:rFonts w:ascii="宋体" w:hAnsi="宋体" w:cs="宋体" w:eastAsia="宋体" w:hint="default"/>
                <w:sz w:val="21"/>
                <w:szCs w:val="21"/>
              </w:rPr>
              <w:t>编程架构的索引生成</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方法和装置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201110446325.9</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16</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一种集群 </w:t>
            </w:r>
            <w:r>
              <w:rPr>
                <w:rFonts w:ascii="Times New Roman" w:hAnsi="Times New Roman" w:cs="Times New Roman" w:eastAsia="Times New Roman" w:hint="default"/>
                <w:sz w:val="21"/>
                <w:szCs w:val="21"/>
              </w:rPr>
              <w:t>GPU </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资源</w:t>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调度系统和方法</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发明</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201110446323.x</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28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6"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一种手机数据采集装</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实用新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201120348078.4</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417" w:hRule="exact"/>
        </w:trPr>
        <w:tc>
          <w:tcPr>
            <w:tcW w:w="664"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4"/>
              <w:ind w:right="8"/>
              <w:jc w:val="center"/>
              <w:rPr>
                <w:rFonts w:ascii="Times New Roman" w:hAnsi="Times New Roman" w:cs="Times New Roman" w:eastAsia="Times New Roman" w:hint="default"/>
                <w:sz w:val="21"/>
                <w:szCs w:val="21"/>
              </w:rPr>
            </w:pPr>
            <w:r>
              <w:rPr>
                <w:rFonts w:ascii="Times New Roman"/>
                <w:sz w:val="21"/>
              </w:rPr>
              <w:t>18</w:t>
            </w:r>
          </w:p>
        </w:tc>
        <w:tc>
          <w:tcPr>
            <w:tcW w:w="21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7"/>
              <w:ind w:left="1" w:right="0"/>
              <w:jc w:val="center"/>
              <w:rPr>
                <w:rFonts w:ascii="宋体" w:hAnsi="宋体" w:cs="宋体" w:eastAsia="宋体" w:hint="default"/>
                <w:sz w:val="21"/>
                <w:szCs w:val="21"/>
              </w:rPr>
            </w:pPr>
            <w:r>
              <w:rPr>
                <w:rFonts w:ascii="宋体" w:hAnsi="宋体" w:cs="宋体" w:eastAsia="宋体" w:hint="default"/>
                <w:sz w:val="21"/>
                <w:szCs w:val="21"/>
              </w:rPr>
              <w:t>一种存储卡数据采集</w:t>
            </w:r>
          </w:p>
        </w:tc>
        <w:tc>
          <w:tcPr>
            <w:tcW w:w="96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实用新</w:t>
            </w:r>
          </w:p>
        </w:tc>
        <w:tc>
          <w:tcPr>
            <w:tcW w:w="17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201120357178.3</w:t>
            </w:r>
          </w:p>
        </w:tc>
        <w:tc>
          <w:tcPr>
            <w:tcW w:w="21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7"/>
              <w:ind w:left="11" w:right="0"/>
              <w:jc w:val="center"/>
              <w:rPr>
                <w:rFonts w:ascii="宋体" w:hAnsi="宋体" w:cs="宋体" w:eastAsia="宋体" w:hint="default"/>
                <w:sz w:val="21"/>
                <w:szCs w:val="21"/>
              </w:rPr>
            </w:pPr>
            <w:r>
              <w:rPr>
                <w:rFonts w:ascii="宋体" w:hAnsi="宋体" w:cs="宋体" w:eastAsia="宋体" w:hint="default"/>
                <w:sz w:val="21"/>
                <w:szCs w:val="21"/>
              </w:rPr>
              <w:t>已受理</w:t>
            </w:r>
          </w:p>
        </w:tc>
      </w:tr>
    </w:tbl>
    <w:p>
      <w:pPr>
        <w:spacing w:after="0" w:line="240" w:lineRule="auto"/>
        <w:jc w:val="center"/>
        <w:rPr>
          <w:rFonts w:ascii="宋体" w:hAnsi="宋体" w:cs="宋体" w:eastAsia="宋体" w:hint="default"/>
          <w:sz w:val="21"/>
          <w:szCs w:val="21"/>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664"/>
        <w:gridCol w:w="2117"/>
        <w:gridCol w:w="961"/>
        <w:gridCol w:w="1752"/>
        <w:gridCol w:w="2101"/>
        <w:gridCol w:w="1261"/>
      </w:tblGrid>
      <w:tr>
        <w:trPr>
          <w:trHeight w:val="417" w:hRule="exact"/>
        </w:trPr>
        <w:tc>
          <w:tcPr>
            <w:tcW w:w="664" w:type="dxa"/>
            <w:tcBorders>
              <w:top w:val="single" w:sz="12" w:space="0" w:color="000000"/>
              <w:left w:val="single" w:sz="12" w:space="0" w:color="000000"/>
              <w:bottom w:val="single" w:sz="4" w:space="0" w:color="000000"/>
              <w:right w:val="single" w:sz="4" w:space="0" w:color="000000"/>
            </w:tcBorders>
          </w:tcPr>
          <w:p>
            <w:pPr/>
          </w:p>
        </w:tc>
        <w:tc>
          <w:tcPr>
            <w:tcW w:w="2117"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装置</w:t>
            </w:r>
          </w:p>
        </w:tc>
        <w:tc>
          <w:tcPr>
            <w:tcW w:w="961" w:type="dxa"/>
            <w:tcBorders>
              <w:top w:val="single" w:sz="12"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型</w:t>
            </w:r>
          </w:p>
        </w:tc>
        <w:tc>
          <w:tcPr>
            <w:tcW w:w="1752" w:type="dxa"/>
            <w:tcBorders>
              <w:top w:val="single" w:sz="12" w:space="0" w:color="000000"/>
              <w:left w:val="single" w:sz="4" w:space="0" w:color="000000"/>
              <w:bottom w:val="single" w:sz="4" w:space="0" w:color="000000"/>
              <w:right w:val="single" w:sz="4" w:space="0" w:color="000000"/>
            </w:tcBorders>
          </w:tcPr>
          <w:p>
            <w:pPr/>
          </w:p>
        </w:tc>
        <w:tc>
          <w:tcPr>
            <w:tcW w:w="2101" w:type="dxa"/>
            <w:tcBorders>
              <w:top w:val="single" w:sz="12" w:space="0" w:color="000000"/>
              <w:left w:val="single" w:sz="4" w:space="0" w:color="000000"/>
              <w:bottom w:val="single" w:sz="4" w:space="0" w:color="000000"/>
              <w:right w:val="single" w:sz="4" w:space="0" w:color="000000"/>
            </w:tcBorders>
          </w:tcPr>
          <w:p>
            <w:pPr/>
          </w:p>
        </w:tc>
        <w:tc>
          <w:tcPr>
            <w:tcW w:w="1261" w:type="dxa"/>
            <w:tcBorders>
              <w:top w:val="single" w:sz="12" w:space="0" w:color="000000"/>
              <w:left w:val="single" w:sz="4" w:space="0" w:color="000000"/>
              <w:bottom w:val="single" w:sz="4" w:space="0" w:color="000000"/>
              <w:right w:val="single" w:sz="12" w:space="0" w:color="000000"/>
            </w:tcBorders>
          </w:tcPr>
          <w:p>
            <w:pP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221"/>
              <w:jc w:val="right"/>
              <w:rPr>
                <w:rFonts w:ascii="Times New Roman" w:hAnsi="Times New Roman" w:cs="Times New Roman" w:eastAsia="Times New Roman" w:hint="default"/>
                <w:sz w:val="21"/>
                <w:szCs w:val="21"/>
              </w:rPr>
            </w:pPr>
            <w:r>
              <w:rPr>
                <w:rFonts w:ascii="Times New Roman"/>
                <w:sz w:val="21"/>
              </w:rPr>
              <w:t>19</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一种手机信号屏蔽袋</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实用新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201120488357.0</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87"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54" w:hRule="exact"/>
        </w:trPr>
        <w:tc>
          <w:tcPr>
            <w:tcW w:w="66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221"/>
              <w:jc w:val="right"/>
              <w:rPr>
                <w:rFonts w:ascii="Times New Roman" w:hAnsi="Times New Roman" w:cs="Times New Roman" w:eastAsia="Times New Roman" w:hint="default"/>
                <w:sz w:val="21"/>
                <w:szCs w:val="21"/>
              </w:rPr>
            </w:pPr>
            <w:r>
              <w:rPr>
                <w:rFonts w:ascii="Times New Roman"/>
                <w:sz w:val="21"/>
              </w:rPr>
              <w:t>20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存储卡擦除装置</w:t>
            </w:r>
          </w:p>
        </w:tc>
        <w:tc>
          <w:tcPr>
            <w:tcW w:w="96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实用新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型</w:t>
            </w:r>
          </w:p>
        </w:tc>
        <w:tc>
          <w:tcPr>
            <w:tcW w:w="17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201120501476.5</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5"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r>
        <w:trPr>
          <w:trHeight w:val="566" w:hRule="exact"/>
        </w:trPr>
        <w:tc>
          <w:tcPr>
            <w:tcW w:w="664"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88"/>
              <w:ind w:right="221"/>
              <w:jc w:val="right"/>
              <w:rPr>
                <w:rFonts w:ascii="Times New Roman" w:hAnsi="Times New Roman" w:cs="Times New Roman" w:eastAsia="Times New Roman" w:hint="default"/>
                <w:sz w:val="21"/>
                <w:szCs w:val="21"/>
              </w:rPr>
            </w:pPr>
            <w:r>
              <w:rPr>
                <w:rFonts w:ascii="Times New Roman"/>
                <w:sz w:val="21"/>
              </w:rPr>
              <w:t>21</w:t>
            </w:r>
          </w:p>
        </w:tc>
        <w:tc>
          <w:tcPr>
            <w:tcW w:w="211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一种物证专用封装袋</w:t>
            </w:r>
          </w:p>
        </w:tc>
        <w:tc>
          <w:tcPr>
            <w:tcW w:w="961"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实用新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型</w:t>
            </w:r>
          </w:p>
        </w:tc>
        <w:tc>
          <w:tcPr>
            <w:tcW w:w="17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201120563702.2</w:t>
            </w:r>
          </w:p>
        </w:tc>
        <w:tc>
          <w:tcPr>
            <w:tcW w:w="21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0"/>
              <w:ind w:left="182"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29 </w:t>
            </w:r>
            <w:r>
              <w:rPr>
                <w:rFonts w:ascii="宋体" w:hAnsi="宋体" w:cs="宋体" w:eastAsia="宋体" w:hint="default"/>
                <w:sz w:val="21"/>
                <w:szCs w:val="21"/>
              </w:rPr>
              <w:t>日</w:t>
            </w:r>
          </w:p>
        </w:tc>
        <w:tc>
          <w:tcPr>
            <w:tcW w:w="126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宋体" w:hAnsi="宋体" w:cs="宋体" w:eastAsia="宋体" w:hint="default"/>
                <w:sz w:val="21"/>
                <w:szCs w:val="21"/>
              </w:rPr>
              <w:t>已受理</w:t>
            </w:r>
          </w:p>
        </w:tc>
      </w:tr>
    </w:tbl>
    <w:p>
      <w:pPr>
        <w:spacing w:line="240" w:lineRule="auto" w:before="2"/>
        <w:rPr>
          <w:rFonts w:ascii="Times New Roman" w:hAnsi="Times New Roman" w:cs="Times New Roman" w:eastAsia="Times New Roman" w:hint="default"/>
          <w:sz w:val="15"/>
          <w:szCs w:val="15"/>
        </w:rPr>
      </w:pPr>
    </w:p>
    <w:p>
      <w:pPr>
        <w:pStyle w:val="Heading3"/>
        <w:spacing w:line="240" w:lineRule="auto" w:before="26"/>
        <w:ind w:left="722" w:right="133"/>
        <w:jc w:val="left"/>
        <w:rPr>
          <w:b w:val="0"/>
          <w:bCs w:val="0"/>
        </w:rPr>
      </w:pPr>
      <w:r>
        <w:rPr>
          <w:rFonts w:ascii="Times New Roman" w:hAnsi="Times New Roman" w:cs="Times New Roman" w:eastAsia="Times New Roman" w:hint="default"/>
        </w:rPr>
        <w:t>4</w:t>
      </w:r>
      <w:r>
        <w:rPr/>
        <w:t>、著作权</w:t>
      </w:r>
      <w:r>
        <w:rPr>
          <w:b w:val="0"/>
          <w:bCs w:val="0"/>
        </w:rPr>
      </w:r>
    </w:p>
    <w:p>
      <w:pPr>
        <w:spacing w:line="240" w:lineRule="auto" w:before="8"/>
        <w:rPr>
          <w:rFonts w:ascii="宋体" w:hAnsi="宋体" w:cs="宋体" w:eastAsia="宋体" w:hint="default"/>
          <w:b/>
          <w:bCs/>
          <w:sz w:val="28"/>
          <w:szCs w:val="28"/>
        </w:rPr>
      </w:pPr>
    </w:p>
    <w:p>
      <w:pPr>
        <w:pStyle w:val="BodyText"/>
        <w:spacing w:line="338" w:lineRule="auto"/>
        <w:ind w:left="239" w:right="222" w:firstLine="480"/>
        <w:jc w:val="left"/>
      </w:pPr>
      <w:r>
        <w:rPr>
          <w:spacing w:val="-3"/>
        </w:rPr>
        <w:t>报告期内，公司新取得软件著作权</w:t>
      </w:r>
      <w:r>
        <w:rPr>
          <w:spacing w:val="-53"/>
        </w:rPr>
        <w:t> </w:t>
      </w:r>
      <w:r>
        <w:rPr>
          <w:rFonts w:ascii="Times New Roman" w:hAnsi="Times New Roman" w:cs="Times New Roman" w:eastAsia="Times New Roman" w:hint="default"/>
        </w:rPr>
        <w:t>16</w:t>
      </w:r>
      <w:r>
        <w:rPr>
          <w:rFonts w:ascii="Times New Roman" w:hAnsi="Times New Roman" w:cs="Times New Roman" w:eastAsia="Times New Roman" w:hint="default"/>
          <w:spacing w:val="7"/>
        </w:rPr>
        <w:t> </w:t>
      </w:r>
      <w:r>
        <w:rPr>
          <w:spacing w:val="-5"/>
        </w:rPr>
        <w:t>项，均为自主研发所得，具体情况如下表</w:t>
      </w:r>
      <w:r>
        <w:rPr/>
        <w:t> 所示：</w:t>
      </w:r>
    </w:p>
    <w:p>
      <w:pPr>
        <w:spacing w:line="240" w:lineRule="auto" w:before="4"/>
        <w:rPr>
          <w:rFonts w:ascii="宋体" w:hAnsi="宋体" w:cs="宋体" w:eastAsia="宋体" w:hint="default"/>
          <w:sz w:val="16"/>
          <w:szCs w:val="16"/>
        </w:rPr>
      </w:pPr>
    </w:p>
    <w:tbl>
      <w:tblPr>
        <w:tblW w:w="0" w:type="auto"/>
        <w:jc w:val="left"/>
        <w:tblInd w:w="116" w:type="dxa"/>
        <w:tblLayout w:type="fixed"/>
        <w:tblCellMar>
          <w:top w:w="0" w:type="dxa"/>
          <w:left w:w="0" w:type="dxa"/>
          <w:bottom w:w="0" w:type="dxa"/>
          <w:right w:w="0" w:type="dxa"/>
        </w:tblCellMar>
        <w:tblLook w:val="01E0"/>
      </w:tblPr>
      <w:tblGrid>
        <w:gridCol w:w="715"/>
        <w:gridCol w:w="2183"/>
        <w:gridCol w:w="1531"/>
        <w:gridCol w:w="1980"/>
        <w:gridCol w:w="2001"/>
      </w:tblGrid>
      <w:tr>
        <w:trPr>
          <w:trHeight w:val="428" w:hRule="exact"/>
        </w:trPr>
        <w:tc>
          <w:tcPr>
            <w:tcW w:w="715"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1" w:lineRule="exact"/>
              <w:ind w:right="8"/>
              <w:jc w:val="center"/>
              <w:rPr>
                <w:rFonts w:ascii="宋体" w:hAnsi="宋体" w:cs="宋体" w:eastAsia="宋体" w:hint="default"/>
                <w:sz w:val="21"/>
                <w:szCs w:val="21"/>
              </w:rPr>
            </w:pPr>
            <w:r>
              <w:rPr>
                <w:rFonts w:ascii="宋体" w:hAnsi="宋体" w:cs="宋体" w:eastAsia="宋体" w:hint="default"/>
                <w:sz w:val="21"/>
                <w:szCs w:val="21"/>
              </w:rPr>
              <w:t>序号</w:t>
            </w:r>
          </w:p>
        </w:tc>
        <w:tc>
          <w:tcPr>
            <w:tcW w:w="2183"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351" w:right="0"/>
              <w:jc w:val="left"/>
              <w:rPr>
                <w:rFonts w:ascii="宋体" w:hAnsi="宋体" w:cs="宋体" w:eastAsia="宋体" w:hint="default"/>
                <w:sz w:val="21"/>
                <w:szCs w:val="21"/>
              </w:rPr>
            </w:pPr>
            <w:r>
              <w:rPr>
                <w:rFonts w:ascii="宋体" w:hAnsi="宋体" w:cs="宋体" w:eastAsia="宋体" w:hint="default"/>
                <w:sz w:val="21"/>
                <w:szCs w:val="21"/>
              </w:rPr>
              <w:t>软件著作权名称</w:t>
            </w:r>
          </w:p>
        </w:tc>
        <w:tc>
          <w:tcPr>
            <w:tcW w:w="1531"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235" w:right="0"/>
              <w:jc w:val="left"/>
              <w:rPr>
                <w:rFonts w:ascii="宋体" w:hAnsi="宋体" w:cs="宋体" w:eastAsia="宋体" w:hint="default"/>
                <w:sz w:val="21"/>
                <w:szCs w:val="21"/>
              </w:rPr>
            </w:pPr>
            <w:r>
              <w:rPr>
                <w:rFonts w:ascii="宋体" w:hAnsi="宋体" w:cs="宋体" w:eastAsia="宋体" w:hint="default"/>
                <w:sz w:val="21"/>
                <w:szCs w:val="21"/>
              </w:rPr>
              <w:t>著作权编号</w:t>
            </w:r>
          </w:p>
        </w:tc>
        <w:tc>
          <w:tcPr>
            <w:tcW w:w="198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著作权证书登记号</w:t>
            </w:r>
          </w:p>
        </w:tc>
        <w:tc>
          <w:tcPr>
            <w:tcW w:w="2001"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著作权证书日期</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1</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取证大师电子数据分</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析系统</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V3.0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0274629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2011SR010955</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日</w:t>
            </w:r>
          </w:p>
        </w:tc>
      </w:tr>
      <w:tr>
        <w:trPr>
          <w:trHeight w:val="556"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2</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光安全数据单向传输</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系统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0288857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2011SR025183</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3</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骨干网络信息取证系</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V2.4</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0289404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2011SR025730</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4</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千兆网络信息取证系</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V2.4</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0289405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2011SR025731</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5</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取证云系统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0298510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2011SR034836</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 </w:t>
            </w:r>
            <w:r>
              <w:rPr>
                <w:rFonts w:ascii="宋体" w:hAnsi="宋体" w:cs="宋体" w:eastAsia="宋体" w:hint="default"/>
                <w:sz w:val="21"/>
                <w:szCs w:val="21"/>
              </w:rPr>
              <w:t>日</w:t>
            </w:r>
          </w:p>
        </w:tc>
      </w:tr>
      <w:tr>
        <w:trPr>
          <w:trHeight w:val="556"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6</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取证塔系统</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V1.2.4</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0322975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2011SR059301</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7</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pacing w:val="30"/>
                <w:sz w:val="21"/>
                <w:szCs w:val="21"/>
              </w:rPr>
              <w:t>现场获取</w:t>
            </w:r>
            <w:r>
              <w:rPr>
                <w:rFonts w:ascii="宋体" w:hAnsi="宋体" w:cs="宋体" w:eastAsia="宋体" w:hint="default"/>
                <w:spacing w:val="-63"/>
                <w:sz w:val="21"/>
                <w:szCs w:val="21"/>
              </w:rPr>
              <w:t> </w:t>
            </w:r>
            <w:r>
              <w:rPr>
                <w:rFonts w:ascii="宋体" w:hAnsi="宋体" w:cs="宋体" w:eastAsia="宋体" w:hint="default"/>
                <w:spacing w:val="30"/>
                <w:sz w:val="21"/>
                <w:szCs w:val="21"/>
              </w:rPr>
              <w:t>设备系统</w:t>
            </w:r>
            <w:r>
              <w:rPr>
                <w:rFonts w:ascii="宋体" w:hAnsi="宋体" w:cs="宋体" w:eastAsia="宋体" w:hint="default"/>
                <w:spacing w:val="-65"/>
                <w:sz w:val="21"/>
                <w:szCs w:val="21"/>
              </w:rPr>
              <w:t> </w:t>
            </w:r>
            <w:r>
              <w:rPr>
                <w:rFonts w:ascii="宋体" w:hAnsi="宋体" w:cs="宋体" w:eastAsia="宋体" w:hint="default"/>
                <w:sz w:val="21"/>
                <w:szCs w:val="21"/>
              </w:rPr>
            </w:r>
          </w:p>
          <w:p>
            <w:pPr>
              <w:pStyle w:val="TableParagraph"/>
              <w:spacing w:line="240" w:lineRule="auto" w:before="31"/>
              <w:ind w:left="103" w:right="0"/>
              <w:jc w:val="left"/>
              <w:rPr>
                <w:rFonts w:ascii="Times New Roman" w:hAnsi="Times New Roman" w:cs="Times New Roman" w:eastAsia="Times New Roman" w:hint="default"/>
                <w:sz w:val="21"/>
                <w:szCs w:val="21"/>
              </w:rPr>
            </w:pPr>
            <w:r>
              <w:rPr>
                <w:rFonts w:ascii="Times New Roman"/>
                <w:sz w:val="21"/>
              </w:rPr>
              <w:t>V3.1.26</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0323188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2011SR059514</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8</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多功能高速硬盘复制</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系统</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V1.2.0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0323186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2011SR059512</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9"/>
              <w:jc w:val="center"/>
              <w:rPr>
                <w:rFonts w:ascii="Times New Roman" w:hAnsi="Times New Roman" w:cs="Times New Roman" w:eastAsia="Times New Roman" w:hint="default"/>
                <w:sz w:val="21"/>
                <w:szCs w:val="21"/>
              </w:rPr>
            </w:pPr>
            <w:r>
              <w:rPr>
                <w:rFonts w:ascii="Times New Roman"/>
                <w:sz w:val="21"/>
              </w:rPr>
              <w:t>9</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NF-6300 </w:t>
            </w:r>
            <w:r>
              <w:rPr>
                <w:rFonts w:ascii="宋体" w:hAnsi="宋体" w:cs="宋体" w:eastAsia="宋体" w:hint="default"/>
                <w:sz w:val="21"/>
                <w:szCs w:val="21"/>
              </w:rPr>
              <w:t>取证 </w:t>
            </w:r>
            <w:r>
              <w:rPr>
                <w:rFonts w:ascii="Times New Roman" w:hAnsi="Times New Roman" w:cs="Times New Roman" w:eastAsia="Times New Roman" w:hint="default"/>
                <w:sz w:val="21"/>
                <w:szCs w:val="21"/>
              </w:rPr>
              <w:t>GPS</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系</w:t>
            </w:r>
          </w:p>
          <w:p>
            <w:pPr>
              <w:pStyle w:val="TableParagraph"/>
              <w:spacing w:line="282"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0359014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2011SR095340</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r>
        <w:trPr>
          <w:trHeight w:val="556"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10</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4"/>
                <w:sz w:val="21"/>
                <w:szCs w:val="21"/>
              </w:rPr>
              <w:t>FI-2100</w:t>
            </w:r>
            <w:r>
              <w:rPr>
                <w:rFonts w:ascii="宋体" w:hAnsi="宋体" w:cs="宋体" w:eastAsia="宋体" w:hint="default"/>
                <w:spacing w:val="-4"/>
                <w:sz w:val="21"/>
                <w:szCs w:val="21"/>
              </w:rPr>
              <w:t>“网眼”系列</w:t>
            </w:r>
            <w:r>
              <w:rPr>
                <w:rFonts w:ascii="Times New Roman" w:hAnsi="Times New Roman" w:cs="Times New Roman" w:eastAsia="Times New Roman" w:hint="default"/>
                <w:spacing w:val="-4"/>
                <w:sz w:val="21"/>
                <w:szCs w:val="21"/>
              </w:rPr>
              <w:t>-</w:t>
            </w:r>
          </w:p>
          <w:p>
            <w:pPr>
              <w:pStyle w:val="TableParagraph"/>
              <w:spacing w:line="282"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微博专搜系统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0358989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2011SR095315</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17"/>
              <w:jc w:val="center"/>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取证魔方系统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V2.0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0358995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2011SR095321</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12</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G </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网手机取证设备系</w:t>
            </w:r>
            <w:r>
              <w:rPr>
                <w:rFonts w:ascii="宋体" w:hAnsi="宋体" w:cs="宋体" w:eastAsia="宋体" w:hint="default"/>
                <w:sz w:val="21"/>
                <w:szCs w:val="21"/>
              </w:rPr>
            </w:r>
          </w:p>
          <w:p>
            <w:pPr>
              <w:pStyle w:val="TableParagraph"/>
              <w:spacing w:line="282"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统</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0361204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2011SR097530</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1"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19 </w:t>
            </w:r>
            <w:r>
              <w:rPr>
                <w:rFonts w:ascii="宋体" w:hAnsi="宋体" w:cs="宋体" w:eastAsia="宋体" w:hint="default"/>
                <w:sz w:val="21"/>
                <w:szCs w:val="21"/>
              </w:rPr>
              <w:t>日</w:t>
            </w:r>
          </w:p>
        </w:tc>
      </w:tr>
      <w:tr>
        <w:trPr>
          <w:trHeight w:val="554"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13</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搜索云舆情服务系统</w:t>
            </w:r>
            <w:r>
              <w:rPr>
                <w:rFonts w:ascii="宋体" w:hAnsi="宋体" w:cs="宋体" w:eastAsia="宋体" w:hint="default"/>
                <w:sz w:val="21"/>
                <w:szCs w:val="21"/>
              </w:rPr>
            </w:r>
          </w:p>
          <w:p>
            <w:pPr>
              <w:pStyle w:val="TableParagraph"/>
              <w:spacing w:line="240" w:lineRule="auto" w:before="31"/>
              <w:ind w:left="103" w:right="0"/>
              <w:jc w:val="left"/>
              <w:rPr>
                <w:rFonts w:ascii="Times New Roman" w:hAnsi="Times New Roman" w:cs="Times New Roman" w:eastAsia="Times New Roman" w:hint="default"/>
                <w:sz w:val="21"/>
                <w:szCs w:val="21"/>
              </w:rPr>
            </w:pPr>
            <w:r>
              <w:rPr>
                <w:rFonts w:ascii="Times New Roman"/>
                <w:sz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0331543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2011SR067869</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 </w:t>
            </w:r>
            <w:r>
              <w:rPr>
                <w:rFonts w:ascii="宋体" w:hAnsi="宋体" w:cs="宋体" w:eastAsia="宋体" w:hint="default"/>
                <w:sz w:val="21"/>
                <w:szCs w:val="21"/>
              </w:rPr>
              <w:t>日</w:t>
            </w:r>
          </w:p>
        </w:tc>
      </w:tr>
      <w:tr>
        <w:trPr>
          <w:trHeight w:val="556" w:hRule="exact"/>
        </w:trPr>
        <w:tc>
          <w:tcPr>
            <w:tcW w:w="715"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14</w:t>
            </w:r>
          </w:p>
        </w:tc>
        <w:tc>
          <w:tcPr>
            <w:tcW w:w="2183"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创聚计算机检查软件</w:t>
            </w:r>
            <w:r>
              <w:rPr>
                <w:rFonts w:ascii="宋体" w:hAnsi="宋体" w:cs="宋体" w:eastAsia="宋体" w:hint="default"/>
                <w:sz w:val="21"/>
                <w:szCs w:val="21"/>
              </w:rPr>
            </w:r>
          </w:p>
          <w:p>
            <w:pPr>
              <w:pStyle w:val="TableParagraph"/>
              <w:spacing w:line="240" w:lineRule="auto" w:before="31"/>
              <w:ind w:left="103" w:right="0"/>
              <w:jc w:val="left"/>
              <w:rPr>
                <w:rFonts w:ascii="Times New Roman" w:hAnsi="Times New Roman" w:cs="Times New Roman" w:eastAsia="Times New Roman" w:hint="default"/>
                <w:sz w:val="21"/>
                <w:szCs w:val="21"/>
              </w:rPr>
            </w:pPr>
            <w:r>
              <w:rPr>
                <w:rFonts w:ascii="Times New Roman"/>
                <w:sz w:val="21"/>
              </w:rPr>
              <w:t>V1.0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0345717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Times New Roman" w:hAnsi="Times New Roman" w:cs="Times New Roman" w:eastAsia="Times New Roman" w:hint="default"/>
                <w:sz w:val="21"/>
                <w:szCs w:val="21"/>
              </w:rPr>
            </w:pPr>
            <w:r>
              <w:rPr>
                <w:rFonts w:ascii="Times New Roman"/>
                <w:sz w:val="21"/>
              </w:rPr>
              <w:t>2011SR082043</w:t>
            </w:r>
          </w:p>
        </w:tc>
        <w:tc>
          <w:tcPr>
            <w:tcW w:w="200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0"/>
              <w:ind w:left="10"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r>
        <w:trPr>
          <w:trHeight w:val="565" w:hRule="exact"/>
        </w:trPr>
        <w:tc>
          <w:tcPr>
            <w:tcW w:w="715"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15</w:t>
            </w:r>
          </w:p>
        </w:tc>
        <w:tc>
          <w:tcPr>
            <w:tcW w:w="2183"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9"/>
                <w:sz w:val="21"/>
                <w:szCs w:val="21"/>
              </w:rPr>
              <w:t>创聚数据信息处理软</w:t>
            </w:r>
            <w:r>
              <w:rPr>
                <w:rFonts w:ascii="宋体" w:hAnsi="宋体" w:cs="宋体" w:eastAsia="宋体" w:hint="default"/>
                <w:sz w:val="21"/>
                <w:szCs w:val="21"/>
              </w:rPr>
            </w:r>
          </w:p>
          <w:p>
            <w:pPr>
              <w:pStyle w:val="TableParagraph"/>
              <w:spacing w:line="289"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件</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V1.0</w:t>
            </w:r>
          </w:p>
        </w:tc>
        <w:tc>
          <w:tcPr>
            <w:tcW w:w="1531"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0345720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9"/>
              <w:ind w:right="1"/>
              <w:jc w:val="center"/>
              <w:rPr>
                <w:rFonts w:ascii="Times New Roman" w:hAnsi="Times New Roman" w:cs="Times New Roman" w:eastAsia="Times New Roman" w:hint="default"/>
                <w:sz w:val="21"/>
                <w:szCs w:val="21"/>
              </w:rPr>
            </w:pPr>
            <w:r>
              <w:rPr>
                <w:rFonts w:ascii="Times New Roman"/>
                <w:sz w:val="21"/>
              </w:rPr>
              <w:t>2011SR082046</w:t>
            </w:r>
          </w:p>
        </w:tc>
        <w:tc>
          <w:tcPr>
            <w:tcW w:w="200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0"/>
              <w:ind w:left="9"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bl>
    <w:p>
      <w:pPr>
        <w:spacing w:after="0" w:line="240" w:lineRule="auto"/>
        <w:jc w:val="center"/>
        <w:rPr>
          <w:rFonts w:ascii="宋体" w:hAnsi="宋体" w:cs="宋体" w:eastAsia="宋体" w:hint="default"/>
          <w:sz w:val="21"/>
          <w:szCs w:val="21"/>
        </w:rPr>
        <w:sectPr>
          <w:pgSz w:w="12240" w:h="15840"/>
          <w:pgMar w:header="0" w:footer="688" w:top="1360" w:bottom="88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715"/>
        <w:gridCol w:w="2183"/>
        <w:gridCol w:w="1531"/>
        <w:gridCol w:w="1980"/>
        <w:gridCol w:w="2001"/>
      </w:tblGrid>
      <w:tr>
        <w:trPr>
          <w:trHeight w:val="575" w:hRule="exact"/>
        </w:trPr>
        <w:tc>
          <w:tcPr>
            <w:tcW w:w="715"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88"/>
              <w:ind w:right="8"/>
              <w:jc w:val="center"/>
              <w:rPr>
                <w:rFonts w:ascii="Times New Roman" w:hAnsi="Times New Roman" w:cs="Times New Roman" w:eastAsia="Times New Roman" w:hint="default"/>
                <w:sz w:val="21"/>
                <w:szCs w:val="21"/>
              </w:rPr>
            </w:pPr>
            <w:r>
              <w:rPr>
                <w:rFonts w:ascii="Times New Roman"/>
                <w:sz w:val="21"/>
              </w:rPr>
              <w:t>16</w:t>
            </w:r>
          </w:p>
        </w:tc>
        <w:tc>
          <w:tcPr>
            <w:tcW w:w="218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创聚远程管理软件</w:t>
            </w:r>
          </w:p>
        </w:tc>
        <w:tc>
          <w:tcPr>
            <w:tcW w:w="1531" w:type="dxa"/>
            <w:tcBorders>
              <w:top w:val="single" w:sz="12" w:space="0" w:color="000000"/>
              <w:left w:val="single" w:sz="4" w:space="0" w:color="000000"/>
              <w:bottom w:val="single" w:sz="12" w:space="0" w:color="000000"/>
              <w:right w:val="single" w:sz="4" w:space="0" w:color="000000"/>
            </w:tcBorders>
          </w:tcPr>
          <w:p>
            <w:pPr>
              <w:pStyle w:val="TableParagraph"/>
              <w:spacing w:line="238" w:lineRule="exact"/>
              <w:ind w:left="261" w:right="0" w:hanging="27"/>
              <w:jc w:val="left"/>
              <w:rPr>
                <w:rFonts w:ascii="宋体" w:hAnsi="宋体" w:cs="宋体" w:eastAsia="宋体" w:hint="default"/>
                <w:sz w:val="21"/>
                <w:szCs w:val="21"/>
              </w:rPr>
            </w:pPr>
            <w:r>
              <w:rPr>
                <w:rFonts w:ascii="宋体" w:hAnsi="宋体" w:cs="宋体" w:eastAsia="宋体" w:hint="default"/>
                <w:sz w:val="21"/>
                <w:szCs w:val="21"/>
              </w:rPr>
              <w:t>软著登字第</w:t>
            </w:r>
          </w:p>
          <w:p>
            <w:pPr>
              <w:pStyle w:val="TableParagraph"/>
              <w:spacing w:line="289" w:lineRule="exact"/>
              <w:ind w:left="26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0345714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98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334" w:right="0"/>
              <w:jc w:val="left"/>
              <w:rPr>
                <w:rFonts w:ascii="Times New Roman" w:hAnsi="Times New Roman" w:cs="Times New Roman" w:eastAsia="Times New Roman" w:hint="default"/>
                <w:sz w:val="21"/>
                <w:szCs w:val="21"/>
              </w:rPr>
            </w:pPr>
            <w:r>
              <w:rPr>
                <w:rFonts w:ascii="Times New Roman"/>
                <w:sz w:val="21"/>
              </w:rPr>
              <w:t>2011SR082040</w:t>
            </w:r>
          </w:p>
        </w:tc>
        <w:tc>
          <w:tcPr>
            <w:tcW w:w="2001"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100"/>
              <w:ind w:left="137"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14 </w:t>
            </w:r>
            <w:r>
              <w:rPr>
                <w:rFonts w:ascii="宋体" w:hAnsi="宋体" w:cs="宋体" w:eastAsia="宋体" w:hint="default"/>
                <w:sz w:val="21"/>
                <w:szCs w:val="21"/>
              </w:rPr>
              <w:t>日</w:t>
            </w:r>
          </w:p>
        </w:tc>
      </w:tr>
    </w:tbl>
    <w:p>
      <w:pPr>
        <w:pStyle w:val="BodyText"/>
        <w:spacing w:line="338" w:lineRule="auto" w:before="81"/>
        <w:ind w:left="240" w:right="222" w:firstLine="480"/>
        <w:jc w:val="left"/>
      </w:pPr>
      <w:r>
        <w:rPr/>
        <w:t>软件著作权期限自软件著作权首次发表日期起</w:t>
      </w:r>
      <w:r>
        <w:rPr>
          <w:spacing w:val="-56"/>
        </w:rPr>
        <w:t> </w:t>
      </w:r>
      <w:r>
        <w:rPr>
          <w:rFonts w:ascii="Times New Roman" w:hAnsi="Times New Roman" w:cs="Times New Roman" w:eastAsia="Times New Roman" w:hint="default"/>
        </w:rPr>
        <w:t>50</w:t>
      </w:r>
      <w:r>
        <w:rPr>
          <w:rFonts w:ascii="Times New Roman" w:hAnsi="Times New Roman" w:cs="Times New Roman" w:eastAsia="Times New Roman" w:hint="default"/>
          <w:spacing w:val="4"/>
        </w:rPr>
        <w:t> </w:t>
      </w:r>
      <w:r>
        <w:rPr>
          <w:spacing w:val="-10"/>
        </w:rPr>
        <w:t>年内有效，上述软件著作权都</w:t>
      </w:r>
      <w:r>
        <w:rPr/>
        <w:t> 在有效期内。</w:t>
      </w:r>
    </w:p>
    <w:p>
      <w:pPr>
        <w:spacing w:line="240" w:lineRule="auto" w:before="6"/>
        <w:rPr>
          <w:rFonts w:ascii="宋体" w:hAnsi="宋体" w:cs="宋体" w:eastAsia="宋体" w:hint="default"/>
          <w:sz w:val="22"/>
          <w:szCs w:val="22"/>
        </w:rPr>
      </w:pPr>
    </w:p>
    <w:p>
      <w:pPr>
        <w:spacing w:line="511" w:lineRule="auto" w:before="0"/>
        <w:ind w:left="720" w:right="406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、土地使用权</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报告期内，公司土地使用权无重大变化。</w:t>
      </w:r>
    </w:p>
    <w:p>
      <w:pPr>
        <w:spacing w:line="240" w:lineRule="auto" w:before="0"/>
        <w:rPr>
          <w:rFonts w:ascii="宋体" w:hAnsi="宋体" w:cs="宋体" w:eastAsia="宋体" w:hint="default"/>
          <w:sz w:val="22"/>
          <w:szCs w:val="22"/>
        </w:rPr>
      </w:pPr>
    </w:p>
    <w:p>
      <w:pPr>
        <w:spacing w:line="422" w:lineRule="auto" w:before="0"/>
        <w:ind w:left="719" w:right="221" w:firstLine="2"/>
        <w:jc w:val="left"/>
        <w:rPr>
          <w:rFonts w:ascii="宋体" w:hAnsi="宋体" w:cs="宋体" w:eastAsia="宋体" w:hint="default"/>
          <w:sz w:val="24"/>
          <w:szCs w:val="24"/>
        </w:rPr>
      </w:pPr>
      <w:r>
        <w:rPr>
          <w:rFonts w:ascii="宋体" w:hAnsi="宋体" w:cs="宋体" w:eastAsia="宋体" w:hint="default"/>
          <w:b/>
          <w:bCs/>
          <w:sz w:val="24"/>
          <w:szCs w:val="24"/>
        </w:rPr>
        <w:t>（五）公司核心竞争力</w:t>
      </w:r>
      <w:r>
        <w:rPr>
          <w:rFonts w:ascii="宋体" w:hAnsi="宋体" w:cs="宋体" w:eastAsia="宋体" w:hint="default"/>
          <w:b/>
          <w:bCs/>
          <w:spacing w:val="1"/>
          <w:w w:val="99"/>
          <w:sz w:val="24"/>
          <w:szCs w:val="24"/>
        </w:rPr>
        <w:t> </w:t>
      </w:r>
      <w:r>
        <w:rPr>
          <w:rFonts w:ascii="宋体" w:hAnsi="宋体" w:cs="宋体" w:eastAsia="宋体" w:hint="default"/>
          <w:sz w:val="24"/>
          <w:szCs w:val="24"/>
        </w:rPr>
        <w:t>公司是国内领先的电子数据取证与安全产品及服务提供商，从创业以来一直注</w:t>
      </w:r>
    </w:p>
    <w:p>
      <w:pPr>
        <w:pStyle w:val="BodyText"/>
        <w:spacing w:line="284" w:lineRule="exact"/>
        <w:ind w:left="239" w:right="0"/>
        <w:jc w:val="both"/>
      </w:pPr>
      <w:r>
        <w:rPr/>
        <w:t>重技术研发，至今已经积累了坚实的技术基础，建成了一支富有创造力的、技术精</w:t>
      </w:r>
    </w:p>
    <w:p>
      <w:pPr>
        <w:pStyle w:val="BodyText"/>
        <w:spacing w:line="357" w:lineRule="auto" w:before="152"/>
        <w:ind w:left="239" w:right="239"/>
        <w:jc w:val="both"/>
      </w:pPr>
      <w:r>
        <w:rPr/>
        <w:t>湛的研发团队。此外，公司长期坚持与厦门大学、中国刑警学院等高等院校合作， 实现产、学、研相结合的发展模式，为公司不断提供新的研发力量。公司主要竞争 优势表现如下：</w:t>
      </w:r>
    </w:p>
    <w:p>
      <w:pPr>
        <w:spacing w:line="240" w:lineRule="auto" w:before="0"/>
        <w:rPr>
          <w:rFonts w:ascii="宋体" w:hAnsi="宋体" w:cs="宋体" w:eastAsia="宋体" w:hint="default"/>
          <w:sz w:val="21"/>
          <w:szCs w:val="21"/>
        </w:rPr>
      </w:pPr>
    </w:p>
    <w:p>
      <w:pPr>
        <w:pStyle w:val="Heading3"/>
        <w:spacing w:line="240" w:lineRule="auto"/>
        <w:ind w:left="722" w:right="133"/>
        <w:jc w:val="left"/>
        <w:rPr>
          <w:b w:val="0"/>
          <w:bCs w:val="0"/>
        </w:rPr>
      </w:pPr>
      <w:r>
        <w:rPr>
          <w:rFonts w:ascii="Times New Roman" w:hAnsi="Times New Roman" w:cs="Times New Roman" w:eastAsia="Times New Roman" w:hint="default"/>
        </w:rPr>
        <w:t>1</w:t>
      </w:r>
      <w:r>
        <w:rPr/>
        <w:t>、商业模式</w:t>
      </w:r>
      <w:r>
        <w:rPr>
          <w:b w:val="0"/>
          <w:bCs w:val="0"/>
        </w:rPr>
      </w:r>
    </w:p>
    <w:p>
      <w:pPr>
        <w:spacing w:line="240" w:lineRule="auto" w:before="9"/>
        <w:rPr>
          <w:rFonts w:ascii="宋体" w:hAnsi="宋体" w:cs="宋体" w:eastAsia="宋体" w:hint="default"/>
          <w:b/>
          <w:bCs/>
          <w:sz w:val="28"/>
          <w:szCs w:val="28"/>
        </w:rPr>
      </w:pPr>
    </w:p>
    <w:p>
      <w:pPr>
        <w:pStyle w:val="BodyText"/>
        <w:spacing w:line="343" w:lineRule="auto"/>
        <w:ind w:left="239" w:right="235" w:firstLine="480"/>
        <w:jc w:val="both"/>
      </w:pPr>
      <w:r>
        <w:rPr/>
        <w:t>公司建立了以客户需求的快速响应和提供优质持续服务为核心的 </w:t>
      </w:r>
      <w:r>
        <w:rPr>
          <w:rFonts w:ascii="Times New Roman" w:hAnsi="Times New Roman" w:cs="Times New Roman" w:eastAsia="Times New Roman" w:hint="default"/>
        </w:rPr>
        <w:t>CS PRO</w:t>
      </w:r>
      <w:r>
        <w:rPr>
          <w:rFonts w:ascii="Times New Roman" w:hAnsi="Times New Roman" w:cs="Times New Roman" w:eastAsia="Times New Roman" w:hint="default"/>
          <w:spacing w:val="55"/>
        </w:rPr>
        <w:t> </w:t>
      </w:r>
      <w:r>
        <w:rPr/>
        <w:t>商 </w:t>
      </w:r>
      <w:r>
        <w:rPr>
          <w:spacing w:val="-3"/>
        </w:rPr>
        <w:t>业模式。即变普通的</w:t>
      </w:r>
      <w:r>
        <w:rPr>
          <w:spacing w:val="-58"/>
        </w:rPr>
        <w:t> </w:t>
      </w:r>
      <w:r>
        <w:rPr>
          <w:rFonts w:ascii="Times New Roman" w:hAnsi="Times New Roman" w:cs="Times New Roman" w:eastAsia="Times New Roman" w:hint="default"/>
          <w:spacing w:val="-3"/>
        </w:rPr>
        <w:t>CS</w:t>
      </w:r>
      <w:r>
        <w:rPr>
          <w:spacing w:val="-3"/>
        </w:rPr>
        <w:t>（</w:t>
      </w:r>
      <w:r>
        <w:rPr>
          <w:rFonts w:ascii="Times New Roman" w:hAnsi="Times New Roman" w:cs="Times New Roman" w:eastAsia="Times New Roman" w:hint="default"/>
          <w:spacing w:val="-3"/>
        </w:rPr>
        <w:t>Customer</w:t>
      </w:r>
      <w:r>
        <w:rPr>
          <w:rFonts w:ascii="Times New Roman" w:hAnsi="Times New Roman" w:cs="Times New Roman" w:eastAsia="Times New Roman" w:hint="default"/>
          <w:spacing w:val="2"/>
        </w:rPr>
        <w:t> </w:t>
      </w:r>
      <w:r>
        <w:rPr>
          <w:rFonts w:ascii="Times New Roman" w:hAnsi="Times New Roman" w:cs="Times New Roman" w:eastAsia="Times New Roman" w:hint="default"/>
        </w:rPr>
        <w:t>Service</w:t>
      </w:r>
      <w:r>
        <w:rPr>
          <w:rFonts w:ascii="Times New Roman" w:hAnsi="Times New Roman" w:cs="Times New Roman" w:eastAsia="Times New Roman" w:hint="default"/>
          <w:spacing w:val="2"/>
        </w:rPr>
        <w:t> </w:t>
      </w:r>
      <w:r>
        <w:rPr>
          <w:spacing w:val="-4"/>
        </w:rPr>
        <w:t>客户服务）为专业的</w:t>
      </w:r>
      <w:r>
        <w:rPr>
          <w:spacing w:val="-59"/>
        </w:rPr>
        <w:t> </w:t>
      </w:r>
      <w:r>
        <w:rPr>
          <w:rFonts w:ascii="Times New Roman" w:hAnsi="Times New Roman" w:cs="Times New Roman" w:eastAsia="Times New Roman" w:hint="default"/>
        </w:rPr>
        <w:t>CS</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3"/>
        </w:rPr>
        <w:t>PRO</w:t>
      </w:r>
      <w:r>
        <w:rPr>
          <w:spacing w:val="-3"/>
        </w:rPr>
        <w:t>（</w:t>
      </w:r>
      <w:r>
        <w:rPr>
          <w:rFonts w:ascii="Times New Roman" w:hAnsi="Times New Roman" w:cs="Times New Roman" w:eastAsia="Times New Roman" w:hint="default"/>
          <w:spacing w:val="-3"/>
        </w:rPr>
        <w:t>Customer</w:t>
      </w:r>
      <w:r>
        <w:rPr>
          <w:rFonts w:ascii="Times New Roman" w:hAnsi="Times New Roman" w:cs="Times New Roman" w:eastAsia="Times New Roman" w:hint="default"/>
        </w:rPr>
        <w:t> Satisfaction</w:t>
      </w:r>
      <w:r>
        <w:rPr/>
        <w:t>，客户满意）综合性营销方法，融合换位思考、客户参与、建立信任、</w:t>
      </w:r>
      <w:r>
        <w:rPr>
          <w:spacing w:val="-61"/>
        </w:rPr>
        <w:t> </w:t>
      </w:r>
      <w:r>
        <w:rPr>
          <w:spacing w:val="-61"/>
        </w:rPr>
      </w:r>
      <w:r>
        <w:rPr/>
        <w:t>顾问咨询、快速响应和品牌及口碑效应等多种行销方法，以客户需求为导向，极力</w:t>
      </w:r>
      <w:r>
        <w:rPr/>
        <w:t> 强调客户满意。</w:t>
      </w:r>
    </w:p>
    <w:p>
      <w:pPr>
        <w:pStyle w:val="BodyText"/>
        <w:spacing w:line="357" w:lineRule="auto" w:before="169"/>
        <w:ind w:left="239" w:right="0" w:firstLine="480"/>
        <w:jc w:val="left"/>
      </w:pPr>
      <w:r>
        <w:rPr/>
        <w:t>独特的业务定位。公司发挥在电子数据取证和互联网内容安全搜索方面的技术 优势，聚焦于电子数据取证和网络信息安全的细分市场，定位清晰，不蔓不枝。客 </w:t>
      </w:r>
      <w:r>
        <w:rPr>
          <w:spacing w:val="-4"/>
        </w:rPr>
        <w:t>户单位多由国家、省、地市、区县四级垂直结构构成，很容易形成垂直的规模推广，</w:t>
      </w:r>
      <w:r>
        <w:rPr>
          <w:spacing w:val="-92"/>
        </w:rPr>
        <w:t> </w:t>
      </w:r>
      <w:r>
        <w:rPr>
          <w:spacing w:val="-92"/>
        </w:rPr>
      </w:r>
      <w:r>
        <w:rPr/>
        <w:t>客户单位的示范效果明显。</w:t>
      </w:r>
    </w:p>
    <w:p>
      <w:pPr>
        <w:pStyle w:val="BodyText"/>
        <w:spacing w:line="357" w:lineRule="auto" w:before="155"/>
        <w:ind w:left="239" w:right="221" w:firstLine="480"/>
        <w:jc w:val="left"/>
      </w:pPr>
      <w:r>
        <w:rPr/>
        <w:t>以客户满意为核心的营销理念。公司立足于为客户提供电子数据取证、网络信 息安全等技术培训，以及公司各产品的使用培训，以培训带动销售。至今，公司已</w:t>
      </w:r>
    </w:p>
    <w:p>
      <w:pPr>
        <w:spacing w:after="0" w:line="357" w:lineRule="auto"/>
        <w:jc w:val="left"/>
        <w:sectPr>
          <w:pgSz w:w="12240" w:h="15840"/>
          <w:pgMar w:header="0" w:footer="688" w:top="1360" w:bottom="880" w:left="1560" w:right="1560"/>
        </w:sectPr>
      </w:pPr>
    </w:p>
    <w:p>
      <w:pPr>
        <w:pStyle w:val="BodyText"/>
        <w:spacing w:line="352" w:lineRule="auto" w:before="1"/>
        <w:ind w:left="120" w:right="102"/>
        <w:jc w:val="left"/>
      </w:pPr>
      <w:r>
        <w:rPr/>
        <w:t>完成电子数据取证和网络信息安全相关技术培训</w:t>
      </w:r>
      <w:r>
        <w:rPr>
          <w:spacing w:val="-89"/>
        </w:rPr>
        <w:t> </w:t>
      </w:r>
      <w:r>
        <w:rPr>
          <w:rFonts w:ascii="Times New Roman" w:hAnsi="Times New Roman" w:cs="Times New Roman" w:eastAsia="Times New Roman" w:hint="default"/>
        </w:rPr>
        <w:t>280</w:t>
      </w:r>
      <w:r>
        <w:rPr>
          <w:rFonts w:ascii="Times New Roman" w:hAnsi="Times New Roman" w:cs="Times New Roman" w:eastAsia="Times New Roman" w:hint="default"/>
          <w:spacing w:val="-29"/>
        </w:rPr>
        <w:t> </w:t>
      </w:r>
      <w:r>
        <w:rPr>
          <w:spacing w:val="-14"/>
        </w:rPr>
        <w:t>多期，培养学员人数</w:t>
      </w:r>
      <w:r>
        <w:rPr>
          <w:spacing w:val="-89"/>
        </w:rPr>
        <w:t> </w:t>
      </w:r>
      <w:r>
        <w:rPr>
          <w:rFonts w:ascii="Times New Roman" w:hAnsi="Times New Roman" w:cs="Times New Roman" w:eastAsia="Times New Roman" w:hint="default"/>
        </w:rPr>
        <w:t>5000</w:t>
      </w:r>
      <w:r>
        <w:rPr>
          <w:rFonts w:ascii="Times New Roman" w:hAnsi="Times New Roman" w:cs="Times New Roman" w:eastAsia="Times New Roman" w:hint="default"/>
          <w:spacing w:val="-29"/>
        </w:rPr>
        <w:t> </w:t>
      </w:r>
      <w:r>
        <w:rPr/>
        <w:t>多人； 同时，公司设立了多个专业、快速、高效的技术支持团队，为客户提供现场培训、 </w:t>
      </w:r>
      <w:r>
        <w:rPr>
          <w:spacing w:val="-7"/>
        </w:rPr>
        <w:t>产品售前售后服务、顾问咨询等多种形式的服务，“全程服务，全面安心”的服务理</w:t>
      </w:r>
      <w:r>
        <w:rPr>
          <w:spacing w:val="-101"/>
        </w:rPr>
        <w:t> </w:t>
      </w:r>
      <w:r>
        <w:rPr>
          <w:spacing w:val="-101"/>
        </w:rPr>
      </w:r>
      <w:r>
        <w:rPr/>
        <w:t>念极大地带动了产品销售，并以此树立了良好的口碑，品牌形象逐步得以树立和巩 固。</w:t>
      </w:r>
    </w:p>
    <w:p>
      <w:pPr>
        <w:pStyle w:val="BodyText"/>
        <w:spacing w:line="357" w:lineRule="auto" w:before="160"/>
        <w:ind w:left="120" w:right="239" w:firstLine="480"/>
        <w:jc w:val="both"/>
      </w:pPr>
      <w:r>
        <w:rPr/>
        <w:t>“聚零为整”的销售模式。经过十多年的努力，公司已形成较为全面的产品系 </w:t>
      </w:r>
      <w:r>
        <w:rPr>
          <w:spacing w:val="-7"/>
        </w:rPr>
        <w:t>列，并实现标准化定制，公司逐步走出卖单个产品的销售模式，通过为客户建设“电</w:t>
      </w:r>
      <w:r>
        <w:rPr>
          <w:spacing w:val="-101"/>
        </w:rPr>
        <w:t> </w:t>
      </w:r>
      <w:r>
        <w:rPr>
          <w:spacing w:val="-101"/>
        </w:rPr>
      </w:r>
      <w:r>
        <w:rPr/>
        <w:t>子数据取证实验室”提供整体化的解决方案。这一模式的成功实现，一方面可直接 参与客户的整体规划，增强了客户的依赖性；另一方面更有利于培训与服务的定制 和打包，提高客户的认可度。</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2</w:t>
      </w:r>
      <w:r>
        <w:rPr/>
        <w:t>、自主研发</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120" w:right="239" w:firstLine="480"/>
        <w:jc w:val="both"/>
      </w:pPr>
      <w:r>
        <w:rPr/>
        <w:t>国内电子数据取证起步较晚，很多核心技术都掌握在国外知名取证企业或机构 手中，给国内企业形成了很大的竞争压力。公司经过几年的艰辛努力，成功走过了 “代理—消化吸收—自主研发”的发展道路，掌握了电子数据取证领域的多项核心 技术，形成了全系列具有自主知识产权的产品，成功树立了电子数据取证行业的民 族品牌。</w:t>
      </w:r>
    </w:p>
    <w:p>
      <w:pPr>
        <w:pStyle w:val="BodyText"/>
        <w:spacing w:line="357" w:lineRule="auto" w:before="155"/>
        <w:ind w:left="120" w:right="105" w:firstLine="480"/>
        <w:jc w:val="left"/>
      </w:pPr>
      <w:r>
        <w:rPr>
          <w:spacing w:val="-4"/>
        </w:rPr>
        <w:t>公司已成功研发出具有自主知识产权的电子数据获取设备、电子数据分析系统、</w:t>
      </w:r>
      <w:r>
        <w:rPr/>
        <w:t> 电子数据销毁设备、互联网内容安全搜索、网络数据防护等</w:t>
      </w:r>
      <w:r>
        <w:rPr>
          <w:spacing w:val="-60"/>
        </w:rPr>
        <w:t> </w:t>
      </w:r>
      <w:r>
        <w:rPr>
          <w:rFonts w:ascii="Times New Roman" w:hAnsi="Times New Roman" w:cs="Times New Roman" w:eastAsia="Times New Roman" w:hint="default"/>
        </w:rPr>
        <w:t>100 </w:t>
      </w:r>
      <w:r>
        <w:rPr/>
        <w:t>余款成熟产品，其</w:t>
      </w:r>
    </w:p>
    <w:p>
      <w:pPr>
        <w:pStyle w:val="BodyText"/>
        <w:spacing w:line="240" w:lineRule="auto" w:before="4"/>
        <w:ind w:left="120" w:right="105"/>
        <w:jc w:val="left"/>
        <w:rPr>
          <w:rFonts w:ascii="Times New Roman" w:hAnsi="Times New Roman" w:cs="Times New Roman" w:eastAsia="Times New Roman" w:hint="default"/>
        </w:rPr>
      </w:pPr>
      <w:r>
        <w:rPr/>
        <w:t>中 </w:t>
      </w:r>
      <w:r>
        <w:rPr>
          <w:rFonts w:ascii="Times New Roman" w:hAnsi="Times New Roman" w:cs="Times New Roman" w:eastAsia="Times New Roman" w:hint="default"/>
        </w:rPr>
        <w:t>71 </w:t>
      </w:r>
      <w:r>
        <w:rPr/>
        <w:t>个软件产品已通过国家版权局认证并取得产品著作权证书。截至 </w:t>
      </w:r>
      <w:r>
        <w:rPr>
          <w:rFonts w:ascii="Times New Roman" w:hAnsi="Times New Roman" w:cs="Times New Roman" w:eastAsia="Times New Roman" w:hint="default"/>
          <w:spacing w:val="-3"/>
        </w:rPr>
        <w:t>2011  </w:t>
      </w:r>
      <w:r>
        <w:rPr/>
        <w:t>年</w:t>
      </w:r>
      <w:r>
        <w:rPr>
          <w:spacing w:val="-45"/>
        </w:rPr>
        <w:t> </w:t>
      </w:r>
      <w:r>
        <w:rPr>
          <w:rFonts w:ascii="Times New Roman" w:hAnsi="Times New Roman" w:cs="Times New Roman" w:eastAsia="Times New Roman" w:hint="default"/>
        </w:rPr>
        <w:t>12</w:t>
      </w:r>
    </w:p>
    <w:p>
      <w:pPr>
        <w:pStyle w:val="BodyText"/>
        <w:spacing w:line="350" w:lineRule="auto" w:before="134"/>
        <w:ind w:left="119" w:right="236"/>
        <w:jc w:val="both"/>
      </w:pP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8"/>
        </w:rPr>
        <w:t> </w:t>
      </w:r>
      <w:r>
        <w:rPr/>
        <w:t>日，公司共申请专利</w:t>
      </w:r>
      <w:r>
        <w:rPr>
          <w:spacing w:val="-52"/>
        </w:rPr>
        <w:t> </w:t>
      </w:r>
      <w:r>
        <w:rPr>
          <w:rFonts w:ascii="Times New Roman" w:hAnsi="Times New Roman" w:cs="Times New Roman" w:eastAsia="Times New Roman" w:hint="default"/>
        </w:rPr>
        <w:t>62</w:t>
      </w:r>
      <w:r>
        <w:rPr>
          <w:rFonts w:ascii="Times New Roman" w:hAnsi="Times New Roman" w:cs="Times New Roman" w:eastAsia="Times New Roman" w:hint="default"/>
          <w:spacing w:val="8"/>
        </w:rPr>
        <w:t> </w:t>
      </w:r>
      <w:r>
        <w:rPr/>
        <w:t>项，其中授权专利</w:t>
      </w:r>
      <w:r>
        <w:rPr>
          <w:spacing w:val="-52"/>
        </w:rPr>
        <w:t> </w:t>
      </w:r>
      <w:r>
        <w:rPr>
          <w:rFonts w:ascii="Times New Roman" w:hAnsi="Times New Roman" w:cs="Times New Roman" w:eastAsia="Times New Roman" w:hint="default"/>
        </w:rPr>
        <w:t>17</w:t>
      </w:r>
      <w:r>
        <w:rPr>
          <w:rFonts w:ascii="Times New Roman" w:hAnsi="Times New Roman" w:cs="Times New Roman" w:eastAsia="Times New Roman" w:hint="default"/>
          <w:spacing w:val="8"/>
        </w:rPr>
        <w:t> </w:t>
      </w:r>
      <w:r>
        <w:rPr/>
        <w:t>项。</w:t>
      </w:r>
      <w:r>
        <w:rPr>
          <w:rFonts w:ascii="Times New Roman" w:hAnsi="Times New Roman" w:cs="Times New Roman" w:eastAsia="Times New Roman" w:hint="default"/>
        </w:rPr>
        <w:t>2006</w:t>
      </w:r>
      <w:r>
        <w:rPr>
          <w:rFonts w:ascii="Times New Roman" w:hAnsi="Times New Roman" w:cs="Times New Roman" w:eastAsia="Times New Roman" w:hint="default"/>
          <w:spacing w:val="8"/>
        </w:rPr>
        <w:t> </w:t>
      </w:r>
      <w:r>
        <w:rPr/>
        <w:t>年，公司被厦门市科 技局认定为厦门市信息安全工程技术研究中心，</w:t>
      </w: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月，公司被认定为福建 </w:t>
      </w:r>
      <w:r>
        <w:rPr>
          <w:spacing w:val="-7"/>
        </w:rPr>
        <w:t>省电子数据取证及鉴定工程技术研究中心。公司先后被评为国家创新型试点企业（第</w:t>
      </w:r>
      <w:r>
        <w:rPr>
          <w:spacing w:val="-101"/>
        </w:rPr>
        <w:t> </w:t>
      </w:r>
      <w:r>
        <w:rPr>
          <w:spacing w:val="-101"/>
        </w:rPr>
      </w:r>
      <w:r>
        <w:rPr>
          <w:spacing w:val="-7"/>
        </w:rPr>
        <w:t>四批）、国家火炬计划重点高新技术企业、国家规划布局重点软件企业。至今已先后</w:t>
      </w:r>
      <w:r>
        <w:rPr>
          <w:spacing w:val="-101"/>
        </w:rPr>
        <w:t> </w:t>
      </w:r>
      <w:r>
        <w:rPr>
          <w:spacing w:val="-101"/>
        </w:rPr>
      </w:r>
      <w:r>
        <w:rPr/>
        <w:t>承担国家发改委高新技术产业化专项、公安部科技计划项目、国家科技部中小企业 </w:t>
      </w:r>
      <w:r>
        <w:rPr>
          <w:spacing w:val="-7"/>
        </w:rPr>
        <w:t>创新基金项目、国家重点产业振兴和技术改造项目、“十一五”国家科技支撑计划项</w:t>
      </w:r>
      <w:r>
        <w:rPr>
          <w:spacing w:val="-101"/>
        </w:rPr>
        <w:t> </w:t>
      </w:r>
      <w:r>
        <w:rPr>
          <w:spacing w:val="-101"/>
        </w:rPr>
      </w:r>
      <w:r>
        <w:rPr>
          <w:spacing w:val="-7"/>
        </w:rPr>
        <w:t>目、“十二五”国家科技支撑计划项目、国家财政部产业化支出资助项目、国家火炬</w:t>
      </w:r>
    </w:p>
    <w:p>
      <w:pPr>
        <w:spacing w:after="0" w:line="350" w:lineRule="auto"/>
        <w:jc w:val="both"/>
        <w:sectPr>
          <w:pgSz w:w="12240" w:h="15840"/>
          <w:pgMar w:header="0" w:footer="688" w:top="1400" w:bottom="880" w:left="1680" w:right="1560"/>
        </w:sectPr>
      </w:pPr>
    </w:p>
    <w:p>
      <w:pPr>
        <w:pStyle w:val="BodyText"/>
        <w:spacing w:line="357" w:lineRule="auto" w:before="1"/>
        <w:ind w:left="120" w:right="239"/>
        <w:jc w:val="both"/>
      </w:pPr>
      <w:r>
        <w:rPr/>
        <w:t>计划项目、国家重点新产品计划项目、省市级科技计划项目多项，研究成果多次获 得了省部级和市级科技管理部门的奖励。</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3</w:t>
      </w:r>
      <w:r>
        <w:rPr/>
        <w:t>、创新发展</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left="120" w:right="239" w:firstLine="480"/>
        <w:jc w:val="both"/>
      </w:pPr>
      <w:r>
        <w:rPr/>
        <w:t>截至本报告期末，公司拥有包括教授、博士、硕士及技术、管理等高级人才在 内的各类人员</w:t>
      </w:r>
      <w:r>
        <w:rPr>
          <w:spacing w:val="-60"/>
        </w:rPr>
        <w:t> </w:t>
      </w:r>
      <w:r>
        <w:rPr>
          <w:rFonts w:ascii="Times New Roman" w:hAnsi="Times New Roman" w:cs="Times New Roman" w:eastAsia="Times New Roman" w:hint="default"/>
        </w:rPr>
        <w:t>641 </w:t>
      </w:r>
      <w:r>
        <w:rPr/>
        <w:t>人，云集了行业众多技术专家，是行业前瞻技术和新技术研究的 重要力量。</w:t>
      </w:r>
    </w:p>
    <w:p>
      <w:pPr>
        <w:pStyle w:val="BodyText"/>
        <w:spacing w:line="357" w:lineRule="auto" w:before="164"/>
        <w:ind w:left="120" w:right="239" w:firstLine="480"/>
        <w:jc w:val="both"/>
      </w:pPr>
      <w:r>
        <w:rPr/>
        <w:t>为了充分发挥人才优势，巩固公司的持续创新能力，公司特别组建了专门的技 术专家委员会和运营专家委员会，致力于行业的前瞻性技术和先进技术的研究，探 索有利于公司持续、健康、稳定发展的运营模式，提升公司的综合竞争实力，保持 公司的行业领先地位。此外，公司先后与厦门大学、中国刑警学院、华东政法大学 等高校及科研机构建立了长期的研发合作关系，这些高校及科研机构也是企业研发 工作的坚强后盾。</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4</w:t>
      </w:r>
      <w:r>
        <w:rPr/>
        <w:t>、行业先发优势</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120" w:right="105" w:firstLine="480"/>
        <w:jc w:val="left"/>
      </w:pPr>
      <w:r>
        <w:rPr/>
        <w:t>立足于计算机和互联网技术的电子数据取证是一个对技术水平要求非常高的行 </w:t>
      </w:r>
      <w:r>
        <w:rPr>
          <w:spacing w:val="-4"/>
        </w:rPr>
        <w:t>业，在我国尚处于起步阶段，是一个社会需求广泛的新兴行业，准入门槛相对较高。</w:t>
      </w:r>
    </w:p>
    <w:p>
      <w:pPr>
        <w:pStyle w:val="BodyText"/>
        <w:spacing w:line="240" w:lineRule="auto" w:before="155"/>
        <w:ind w:left="600" w:right="105"/>
        <w:jc w:val="left"/>
      </w:pPr>
      <w:r>
        <w:rPr/>
        <w:t>公司于 </w:t>
      </w:r>
      <w:r>
        <w:rPr>
          <w:rFonts w:ascii="Times New Roman" w:hAnsi="Times New Roman" w:cs="Times New Roman" w:eastAsia="Times New Roman" w:hint="default"/>
        </w:rPr>
        <w:t>1999</w:t>
      </w:r>
      <w:r>
        <w:rPr>
          <w:rFonts w:ascii="Times New Roman" w:hAnsi="Times New Roman" w:cs="Times New Roman" w:eastAsia="Times New Roman" w:hint="default"/>
          <w:spacing w:val="-35"/>
        </w:rPr>
        <w:t> </w:t>
      </w:r>
      <w:r>
        <w:rPr>
          <w:spacing w:val="-5"/>
        </w:rPr>
        <w:t>年成立之初即定位于此，是国内电子数据取证行业的先行者。经过</w:t>
      </w:r>
    </w:p>
    <w:p>
      <w:pPr>
        <w:pStyle w:val="BodyText"/>
        <w:spacing w:line="240" w:lineRule="auto" w:before="134"/>
        <w:ind w:left="120" w:right="0"/>
        <w:jc w:val="both"/>
      </w:pPr>
      <w:r>
        <w:rPr>
          <w:spacing w:val="-4"/>
        </w:rPr>
        <w:t>两年的努力，公司于</w:t>
      </w:r>
      <w:r>
        <w:rPr>
          <w:spacing w:val="-52"/>
        </w:rPr>
        <w:t> </w:t>
      </w:r>
      <w:r>
        <w:rPr>
          <w:rFonts w:ascii="Times New Roman" w:hAnsi="Times New Roman" w:cs="Times New Roman" w:eastAsia="Times New Roman" w:hint="default"/>
        </w:rPr>
        <w:t>2002</w:t>
      </w:r>
      <w:r>
        <w:rPr>
          <w:rFonts w:ascii="Times New Roman" w:hAnsi="Times New Roman" w:cs="Times New Roman" w:eastAsia="Times New Roman" w:hint="default"/>
          <w:spacing w:val="8"/>
        </w:rPr>
        <w:t> </w:t>
      </w:r>
      <w:r>
        <w:rPr>
          <w:spacing w:val="-4"/>
        </w:rPr>
        <w:t>年在国内率先开发出“计算机取证勘察箱”和“计算机取</w:t>
      </w:r>
    </w:p>
    <w:p>
      <w:pPr>
        <w:pStyle w:val="BodyText"/>
        <w:spacing w:line="338" w:lineRule="auto" w:before="134"/>
        <w:ind w:left="120" w:right="232"/>
        <w:jc w:val="both"/>
      </w:pPr>
      <w:r>
        <w:rPr>
          <w:spacing w:val="-23"/>
        </w:rPr>
        <w:t>证专用机”，于</w:t>
      </w:r>
      <w:r>
        <w:rPr>
          <w:spacing w:val="-49"/>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1"/>
        </w:rPr>
        <w:t> </w:t>
      </w:r>
      <w:r>
        <w:rPr>
          <w:spacing w:val="-8"/>
        </w:rPr>
        <w:t>年开发出“车载取证勘察平台”，从而奠定了公司在电子数据取</w:t>
      </w:r>
      <w:r>
        <w:rPr/>
        <w:t> </w:t>
      </w:r>
      <w:r>
        <w:rPr>
          <w:spacing w:val="8"/>
        </w:rPr>
        <w:t>证行业的领先地位。公司还参与制定了中华人民共和国公共安全行业标准</w:t>
      </w:r>
      <w:r>
        <w:rPr>
          <w:spacing w:val="12"/>
        </w:rPr>
        <w:t> </w:t>
      </w:r>
      <w:r>
        <w:rPr>
          <w:rFonts w:ascii="Times New Roman" w:hAnsi="Times New Roman" w:cs="Times New Roman" w:eastAsia="Times New Roman" w:hint="default"/>
        </w:rPr>
        <w:t>GA/T</w:t>
      </w:r>
      <w:r>
        <w:rPr>
          <w:rFonts w:ascii="Times New Roman" w:hAnsi="Times New Roman" w:cs="Times New Roman" w:eastAsia="Times New Roman" w:hint="default"/>
          <w:spacing w:val="-1"/>
          <w:w w:val="99"/>
        </w:rPr>
        <w:t> </w:t>
      </w:r>
      <w:r>
        <w:rPr>
          <w:rFonts w:ascii="Times New Roman" w:hAnsi="Times New Roman" w:cs="Times New Roman" w:eastAsia="Times New Roman" w:hint="default"/>
          <w:spacing w:val="-4"/>
          <w:w w:val="99"/>
        </w:rPr>
        <w:t>754-2008</w:t>
      </w:r>
      <w:r>
        <w:rPr>
          <w:spacing w:val="-4"/>
          <w:w w:val="99"/>
        </w:rPr>
        <w:t>《电子数据存储介质复制工具要求及检测方法》、</w:t>
      </w:r>
      <w:r>
        <w:rPr>
          <w:rFonts w:ascii="Times New Roman" w:hAnsi="Times New Roman" w:cs="Times New Roman" w:eastAsia="Times New Roman" w:hint="default"/>
          <w:spacing w:val="-4"/>
          <w:w w:val="99"/>
        </w:rPr>
        <w:t>GA/T</w:t>
      </w:r>
      <w:r>
        <w:rPr>
          <w:rFonts w:ascii="Times New Roman" w:hAnsi="Times New Roman" w:cs="Times New Roman" w:eastAsia="Times New Roman" w:hint="default"/>
          <w:spacing w:val="10"/>
          <w:w w:val="99"/>
        </w:rPr>
        <w:t> </w:t>
      </w:r>
      <w:r>
        <w:rPr>
          <w:rFonts w:ascii="Times New Roman" w:hAnsi="Times New Roman" w:cs="Times New Roman" w:eastAsia="Times New Roman" w:hint="default"/>
        </w:rPr>
        <w:t>755-2008</w:t>
      </w:r>
      <w:r>
        <w:rPr/>
        <w:t>《电子数 </w:t>
      </w:r>
      <w:r>
        <w:rPr>
          <w:spacing w:val="-6"/>
          <w:w w:val="99"/>
        </w:rPr>
        <w:t>据存储介质写保护设备要求及检测方法》、</w:t>
      </w:r>
      <w:r>
        <w:rPr>
          <w:rFonts w:ascii="Times New Roman" w:hAnsi="Times New Roman" w:cs="Times New Roman" w:eastAsia="Times New Roman" w:hint="default"/>
          <w:spacing w:val="-6"/>
          <w:w w:val="99"/>
        </w:rPr>
        <w:t>GA/T</w:t>
      </w:r>
      <w:r>
        <w:rPr>
          <w:rFonts w:ascii="Times New Roman" w:hAnsi="Times New Roman" w:cs="Times New Roman" w:eastAsia="Times New Roman" w:hint="default"/>
          <w:spacing w:val="50"/>
          <w:w w:val="99"/>
        </w:rPr>
        <w:t> </w:t>
      </w:r>
      <w:r>
        <w:rPr>
          <w:rFonts w:ascii="Times New Roman" w:hAnsi="Times New Roman" w:cs="Times New Roman" w:eastAsia="Times New Roman" w:hint="default"/>
          <w:spacing w:val="-1"/>
        </w:rPr>
        <w:t>756-2008</w:t>
      </w:r>
      <w:r>
        <w:rPr>
          <w:spacing w:val="-1"/>
        </w:rPr>
        <w:t>《数字化设备证据数据发</w:t>
      </w:r>
      <w:r>
        <w:rPr>
          <w:spacing w:val="-116"/>
        </w:rPr>
        <w:t> </w:t>
      </w:r>
      <w:r>
        <w:rPr/>
        <w:t>现提取固定方法》等多个行业标准。</w:t>
      </w:r>
    </w:p>
    <w:p>
      <w:pPr>
        <w:pStyle w:val="BodyText"/>
        <w:spacing w:line="338" w:lineRule="auto" w:before="174"/>
        <w:ind w:left="119" w:right="236" w:firstLine="480"/>
        <w:jc w:val="both"/>
      </w:pPr>
      <w:r>
        <w:rPr>
          <w:rFonts w:ascii="Times New Roman" w:hAnsi="Times New Roman" w:cs="Times New Roman" w:eastAsia="Times New Roman" w:hint="default"/>
          <w:spacing w:val="-3"/>
        </w:rPr>
        <w:t>2011 </w:t>
      </w:r>
      <w:r>
        <w:rPr>
          <w:spacing w:val="-5"/>
        </w:rPr>
        <w:t>年，公司参与编写的《电子数据勘查取证与鉴定》系列教材</w:t>
      </w:r>
      <w:r>
        <w:rPr>
          <w:rFonts w:ascii="Times New Roman" w:hAnsi="Times New Roman" w:cs="Times New Roman" w:eastAsia="Times New Roman" w:hint="default"/>
          <w:spacing w:val="-5"/>
        </w:rPr>
        <w:t>(</w:t>
      </w:r>
      <w:r>
        <w:rPr>
          <w:spacing w:val="-5"/>
        </w:rPr>
        <w:t>共 </w:t>
      </w:r>
      <w:r>
        <w:rPr>
          <w:rFonts w:ascii="Times New Roman" w:hAnsi="Times New Roman" w:cs="Times New Roman" w:eastAsia="Times New Roman" w:hint="default"/>
        </w:rPr>
        <w:t>10</w:t>
      </w:r>
      <w:r>
        <w:rPr>
          <w:rFonts w:ascii="Times New Roman" w:hAnsi="Times New Roman" w:cs="Times New Roman" w:eastAsia="Times New Roman" w:hint="default"/>
          <w:spacing w:val="-29"/>
        </w:rPr>
        <w:t> </w:t>
      </w:r>
      <w:r>
        <w:rPr/>
        <w:t>本</w:t>
      </w:r>
      <w:r>
        <w:rPr>
          <w:rFonts w:ascii="Times New Roman" w:hAnsi="Times New Roman" w:cs="Times New Roman" w:eastAsia="Times New Roman" w:hint="default"/>
        </w:rPr>
        <w:t>)</w:t>
      </w:r>
      <w:r>
        <w:rPr/>
        <w:t>已正 </w:t>
      </w:r>
      <w:r>
        <w:rPr>
          <w:spacing w:val="-3"/>
        </w:rPr>
        <w:t>式出版，成为中国首套完整的电子数据勘查取证与鉴定教材。</w:t>
      </w:r>
      <w:r>
        <w:rPr>
          <w:rFonts w:ascii="Times New Roman" w:hAnsi="Times New Roman" w:cs="Times New Roman" w:eastAsia="Times New Roman" w:hint="default"/>
          <w:spacing w:val="-3"/>
        </w:rPr>
        <w:t>MCE</w:t>
      </w:r>
      <w:r>
        <w:rPr>
          <w:rFonts w:ascii="Times New Roman" w:hAnsi="Times New Roman" w:cs="Times New Roman" w:eastAsia="Times New Roman" w:hint="default"/>
          <w:spacing w:val="22"/>
        </w:rPr>
        <w:t> </w:t>
      </w:r>
      <w:r>
        <w:rPr>
          <w:spacing w:val="-5"/>
        </w:rPr>
        <w:t>认证（美亚电子</w:t>
      </w:r>
    </w:p>
    <w:p>
      <w:pPr>
        <w:spacing w:after="0" w:line="338" w:lineRule="auto"/>
        <w:jc w:val="both"/>
        <w:sectPr>
          <w:pgSz w:w="12240" w:h="15840"/>
          <w:pgMar w:header="0" w:footer="688" w:top="1400" w:bottom="880" w:left="1680" w:right="1560"/>
        </w:sectPr>
      </w:pPr>
    </w:p>
    <w:p>
      <w:pPr>
        <w:pStyle w:val="BodyText"/>
        <w:spacing w:line="357" w:lineRule="auto" w:before="1"/>
        <w:ind w:right="220"/>
        <w:jc w:val="left"/>
      </w:pPr>
      <w:r>
        <w:rPr/>
        <w:t>数据取证认证考试体系）是国内电子数据取证领域的首个专业技术认证，已经成为 一些职能部门的岗位任职资格考试或职称评选的参考指标之一。</w:t>
      </w:r>
    </w:p>
    <w:p>
      <w:pPr>
        <w:pStyle w:val="BodyText"/>
        <w:spacing w:line="338" w:lineRule="auto" w:before="155"/>
        <w:ind w:right="185" w:firstLine="480"/>
        <w:jc w:val="both"/>
      </w:pPr>
      <w:r>
        <w:rPr>
          <w:rFonts w:ascii="Times New Roman" w:hAnsi="Times New Roman" w:cs="Times New Roman" w:eastAsia="Times New Roman" w:hint="default"/>
        </w:rPr>
        <w:t>CCID </w:t>
      </w:r>
      <w:r>
        <w:rPr/>
        <w:t>调查数据显示，</w:t>
      </w:r>
      <w:r>
        <w:rPr>
          <w:rFonts w:ascii="Times New Roman" w:hAnsi="Times New Roman" w:cs="Times New Roman" w:eastAsia="Times New Roman" w:hint="default"/>
        </w:rPr>
        <w:t>2008 </w:t>
      </w:r>
      <w:r>
        <w:rPr/>
        <w:t>年公司的电子数据取证产品市场占有率为</w:t>
      </w:r>
      <w:r>
        <w:rPr>
          <w:spacing w:val="-65"/>
        </w:rPr>
        <w:t> </w:t>
      </w:r>
      <w:r>
        <w:rPr>
          <w:rFonts w:ascii="Times New Roman" w:hAnsi="Times New Roman" w:cs="Times New Roman" w:eastAsia="Times New Roman" w:hint="default"/>
        </w:rPr>
        <w:t>41.78%</w:t>
      </w:r>
      <w:r>
        <w:rPr/>
        <w:t>，</w:t>
      </w:r>
      <w:r>
        <w:rPr>
          <w:w w:val="99"/>
        </w:rPr>
        <w:t> </w:t>
      </w:r>
      <w:r>
        <w:rPr/>
        <w:t>位列国内同行业第一，先发优势明显。</w:t>
      </w:r>
    </w:p>
    <w:p>
      <w:pPr>
        <w:spacing w:line="240" w:lineRule="auto" w:before="6"/>
        <w:rPr>
          <w:rFonts w:ascii="宋体" w:hAnsi="宋体" w:cs="宋体" w:eastAsia="宋体" w:hint="default"/>
          <w:sz w:val="22"/>
          <w:szCs w:val="22"/>
        </w:rPr>
      </w:pPr>
    </w:p>
    <w:p>
      <w:pPr>
        <w:pStyle w:val="Heading3"/>
        <w:spacing w:line="240" w:lineRule="auto"/>
        <w:ind w:left="582" w:right="114"/>
        <w:jc w:val="left"/>
        <w:rPr>
          <w:b w:val="0"/>
          <w:bCs w:val="0"/>
        </w:rPr>
      </w:pPr>
      <w:r>
        <w:rPr>
          <w:rFonts w:ascii="Times New Roman" w:hAnsi="Times New Roman" w:cs="Times New Roman" w:eastAsia="Times New Roman" w:hint="default"/>
        </w:rPr>
        <w:t>5</w:t>
      </w:r>
      <w:r>
        <w:rPr/>
        <w:t>、突出优势</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right="112" w:firstLine="480"/>
        <w:jc w:val="left"/>
      </w:pPr>
      <w:r>
        <w:rPr>
          <w:rFonts w:ascii="Times New Roman" w:hAnsi="Times New Roman" w:cs="Times New Roman" w:eastAsia="Times New Roman" w:hint="default"/>
          <w:spacing w:val="-7"/>
        </w:rPr>
        <w:t>1</w:t>
      </w:r>
      <w:r>
        <w:rPr>
          <w:spacing w:val="-7"/>
        </w:rPr>
        <w:t>）客户优势：公司与国内各级司法机关和行政执法部门建立了良好的合作关系，</w:t>
      </w:r>
      <w:r>
        <w:rPr/>
        <w:t> 这些客户对电子数据取证的要求是最高的，为公司向其他行业市场拓展打下了良好 的品牌和信任基础。</w:t>
      </w:r>
    </w:p>
    <w:p>
      <w:pPr>
        <w:pStyle w:val="BodyText"/>
        <w:spacing w:line="352" w:lineRule="auto" w:before="166"/>
        <w:ind w:right="236" w:firstLine="480"/>
        <w:jc w:val="both"/>
      </w:pPr>
      <w:r>
        <w:rPr>
          <w:rFonts w:ascii="Times New Roman" w:hAnsi="Times New Roman" w:cs="Times New Roman" w:eastAsia="Times New Roman" w:hint="default"/>
          <w:spacing w:val="-4"/>
        </w:rPr>
        <w:t>2</w:t>
      </w:r>
      <w:r>
        <w:rPr>
          <w:spacing w:val="-4"/>
        </w:rPr>
        <w:t>）平台优势：公司拥有国内首家电子数据鉴定实验室，国内领先水平的仿真实</w:t>
      </w:r>
      <w:r>
        <w:rPr/>
        <w:t> 验室、网络技术研究实验室，以及国内为数不多的顶级无尘实验室，配备精良的专 业实验设备，为探索领域更尖端的技术提供完备的研发环境，同时也给国家相关政 </w:t>
      </w:r>
      <w:r>
        <w:rPr>
          <w:spacing w:val="-7"/>
        </w:rPr>
        <w:t>府部门在电子数据取证和网络信息安全方面提供相应服务和技术支持。“厦门超级计</w:t>
      </w:r>
      <w:r>
        <w:rPr>
          <w:spacing w:val="-101"/>
        </w:rPr>
        <w:t> </w:t>
      </w:r>
      <w:r>
        <w:rPr>
          <w:spacing w:val="-101"/>
        </w:rPr>
      </w:r>
      <w:r>
        <w:rPr>
          <w:spacing w:val="-13"/>
        </w:rPr>
        <w:t>算（云计算）中心”的建设，为公司开展“取证云”、“搜索云”、“公证云”等云计</w:t>
      </w:r>
      <w:r>
        <w:rPr>
          <w:spacing w:val="-106"/>
        </w:rPr>
        <w:t> </w:t>
      </w:r>
      <w:r>
        <w:rPr>
          <w:spacing w:val="-106"/>
        </w:rPr>
      </w:r>
      <w:r>
        <w:rPr/>
        <w:t>算服务业务奠定了坚实的基础。</w:t>
      </w:r>
    </w:p>
    <w:p>
      <w:pPr>
        <w:pStyle w:val="BodyText"/>
        <w:spacing w:line="338" w:lineRule="auto" w:before="160"/>
        <w:ind w:right="239" w:firstLine="480"/>
        <w:jc w:val="both"/>
      </w:pPr>
      <w:r>
        <w:rPr>
          <w:rFonts w:ascii="Times New Roman" w:hAnsi="Times New Roman" w:cs="Times New Roman" w:eastAsia="Times New Roman" w:hint="default"/>
          <w:spacing w:val="-4"/>
        </w:rPr>
        <w:t>3</w:t>
      </w:r>
      <w:r>
        <w:rPr>
          <w:spacing w:val="-4"/>
        </w:rPr>
        <w:t>）资质优势：</w:t>
      </w:r>
      <w:r>
        <w:rPr>
          <w:rFonts w:ascii="Times New Roman" w:hAnsi="Times New Roman" w:cs="Times New Roman" w:eastAsia="Times New Roman" w:hint="default"/>
          <w:spacing w:val="-4"/>
        </w:rPr>
        <w:t>2001 </w:t>
      </w:r>
      <w:r>
        <w:rPr/>
        <w:t>年 </w:t>
      </w:r>
      <w:r>
        <w:rPr>
          <w:rFonts w:ascii="Times New Roman" w:hAnsi="Times New Roman" w:cs="Times New Roman" w:eastAsia="Times New Roman" w:hint="default"/>
        </w:rPr>
        <w:t>12</w:t>
      </w:r>
      <w:r>
        <w:rPr>
          <w:rFonts w:ascii="Times New Roman" w:hAnsi="Times New Roman" w:cs="Times New Roman" w:eastAsia="Times New Roman" w:hint="default"/>
          <w:spacing w:val="-33"/>
        </w:rPr>
        <w:t> </w:t>
      </w:r>
      <w:r>
        <w:rPr>
          <w:spacing w:val="-3"/>
        </w:rPr>
        <w:t>月取得厦门市科学技术委员会认定的“软件企业”资</w:t>
      </w:r>
      <w:r>
        <w:rPr/>
        <w:t> </w:t>
      </w:r>
      <w:r>
        <w:rPr>
          <w:spacing w:val="-5"/>
        </w:rPr>
        <w:t>质；</w:t>
      </w:r>
      <w:r>
        <w:rPr>
          <w:rFonts w:ascii="Times New Roman" w:hAnsi="Times New Roman" w:cs="Times New Roman" w:eastAsia="Times New Roman" w:hint="default"/>
          <w:spacing w:val="-5"/>
        </w:rPr>
        <w:t>2005</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spacing w:val="-4"/>
        </w:rPr>
        <w:t>月取得福建省司法厅电子数据“司法鉴定许可”资质；</w:t>
      </w:r>
      <w:r>
        <w:rPr>
          <w:rFonts w:ascii="Times New Roman" w:hAnsi="Times New Roman" w:cs="Times New Roman" w:eastAsia="Times New Roman" w:hint="default"/>
          <w:spacing w:val="-4"/>
        </w:rPr>
        <w:t>2006</w:t>
      </w:r>
      <w:r>
        <w:rPr>
          <w:rFonts w:ascii="Times New Roman" w:hAnsi="Times New Roman" w:cs="Times New Roman" w:eastAsia="Times New Roman" w:hint="default"/>
          <w:spacing w:val="3"/>
        </w:rPr>
        <w:t> </w:t>
      </w:r>
      <w:r>
        <w:rPr/>
        <w:t>年</w:t>
      </w:r>
      <w:r>
        <w:rPr>
          <w:spacing w:val="-57"/>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月取 </w:t>
      </w:r>
      <w:r>
        <w:rPr>
          <w:spacing w:val="-6"/>
        </w:rPr>
        <w:t>得中国人民解放军总参通信部“军队网络采购信息发布资格认证”；</w:t>
      </w:r>
      <w:r>
        <w:rPr>
          <w:rFonts w:ascii="Times New Roman" w:hAnsi="Times New Roman" w:cs="Times New Roman" w:eastAsia="Times New Roman" w:hint="default"/>
          <w:spacing w:val="-6"/>
        </w:rPr>
        <w:t>2006</w:t>
      </w:r>
      <w:r>
        <w:rPr>
          <w:rFonts w:ascii="Times New Roman" w:hAnsi="Times New Roman" w:cs="Times New Roman" w:eastAsia="Times New Roman" w:hint="default"/>
        </w:rPr>
        <w:t> </w:t>
      </w:r>
      <w:r>
        <w:rPr/>
        <w:t>年 </w:t>
      </w:r>
      <w:r>
        <w:rPr>
          <w:rFonts w:ascii="Times New Roman" w:hAnsi="Times New Roman" w:cs="Times New Roman" w:eastAsia="Times New Roman" w:hint="default"/>
        </w:rPr>
        <w:t>10</w:t>
      </w:r>
      <w:r>
        <w:rPr>
          <w:rFonts w:ascii="Times New Roman" w:hAnsi="Times New Roman" w:cs="Times New Roman" w:eastAsia="Times New Roman" w:hint="default"/>
          <w:spacing w:val="-37"/>
        </w:rPr>
        <w:t> </w:t>
      </w:r>
      <w:r>
        <w:rPr/>
        <w:t>月取 得中国质量认证中心“质量管理体系认证”资质；</w:t>
      </w:r>
      <w:r>
        <w:rPr>
          <w:rFonts w:ascii="Times New Roman" w:hAnsi="Times New Roman" w:cs="Times New Roman" w:eastAsia="Times New Roman" w:hint="default"/>
        </w:rPr>
        <w:t>2006 </w:t>
      </w:r>
      <w:r>
        <w:rPr/>
        <w:t>年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7"/>
        </w:rPr>
        <w:t> </w:t>
      </w:r>
      <w:r>
        <w:rPr/>
        <w:t>月取得原国家信息产 </w:t>
      </w:r>
      <w:r>
        <w:rPr>
          <w:spacing w:val="-13"/>
        </w:rPr>
        <w:t>业部“计算机信息系统集成资质（三级）”；</w:t>
      </w:r>
      <w:r>
        <w:rPr>
          <w:rFonts w:ascii="Times New Roman" w:hAnsi="Times New Roman" w:cs="Times New Roman" w:eastAsia="Times New Roman" w:hint="default"/>
          <w:spacing w:val="-13"/>
        </w:rPr>
        <w:t>2008</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月取得厦门市科学技术局认定 的“高新技术企业”资质。</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年获得</w:t>
      </w:r>
      <w:r>
        <w:rPr>
          <w:spacing w:val="-61"/>
        </w:rPr>
        <w:t> </w:t>
      </w:r>
      <w:r>
        <w:rPr>
          <w:rFonts w:ascii="Times New Roman" w:hAnsi="Times New Roman" w:cs="Times New Roman" w:eastAsia="Times New Roman" w:hint="default"/>
        </w:rPr>
        <w:t>CMMI</w:t>
      </w:r>
      <w:r>
        <w:rPr>
          <w:rFonts w:ascii="Times New Roman" w:hAnsi="Times New Roman" w:cs="Times New Roman" w:eastAsia="Times New Roman" w:hint="default"/>
          <w:spacing w:val="-1"/>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级资质。</w:t>
      </w:r>
    </w:p>
    <w:p>
      <w:pPr>
        <w:pStyle w:val="BodyText"/>
        <w:spacing w:line="352" w:lineRule="auto" w:before="145"/>
        <w:ind w:right="239" w:firstLine="480"/>
        <w:jc w:val="both"/>
      </w:pPr>
      <w:r>
        <w:rPr>
          <w:rFonts w:ascii="Times New Roman" w:hAnsi="Times New Roman" w:cs="Times New Roman" w:eastAsia="Times New Roman" w:hint="default"/>
          <w:spacing w:val="-4"/>
        </w:rPr>
        <w:t>4</w:t>
      </w:r>
      <w:r>
        <w:rPr>
          <w:spacing w:val="-4"/>
        </w:rPr>
        <w:t>）本地化解决方案：公司在产品和技术研发过程中，着眼于中国的国情，重点</w:t>
      </w:r>
      <w:r>
        <w:rPr/>
        <w:t> </w:t>
      </w:r>
      <w:r>
        <w:rPr>
          <w:spacing w:val="-7"/>
        </w:rPr>
        <w:t>对本地品牌设备和本地化应用程序的取证分析方法进行研究，并创造性地提出了“自</w:t>
      </w:r>
      <w:r>
        <w:rPr>
          <w:spacing w:val="-101"/>
        </w:rPr>
        <w:t> </w:t>
      </w:r>
      <w:r>
        <w:rPr>
          <w:spacing w:val="-101"/>
        </w:rPr>
      </w:r>
      <w:r>
        <w:rPr>
          <w:spacing w:val="-7"/>
        </w:rPr>
        <w:t>动取证”、“移动取证”等取证新思想，产品研发和设计过程中始终坚持自动、智能</w:t>
      </w:r>
      <w:r>
        <w:rPr>
          <w:spacing w:val="-101"/>
        </w:rPr>
        <w:t> </w:t>
      </w:r>
      <w:r>
        <w:rPr>
          <w:spacing w:val="-101"/>
        </w:rPr>
      </w:r>
      <w:r>
        <w:rPr/>
        <w:t>的原则，所研发的产品操作简单，符合国内广大用户的需求，大大弥补了国外取证 设备的不足。</w:t>
      </w:r>
    </w:p>
    <w:p>
      <w:pPr>
        <w:spacing w:after="0" w:line="352" w:lineRule="auto"/>
        <w:jc w:val="both"/>
        <w:sectPr>
          <w:pgSz w:w="12240" w:h="15840"/>
          <w:pgMar w:header="0" w:footer="688" w:top="1400" w:bottom="880" w:left="1700" w:right="1560"/>
        </w:sectPr>
      </w:pPr>
    </w:p>
    <w:p>
      <w:pPr>
        <w:pStyle w:val="Heading3"/>
        <w:spacing w:line="240" w:lineRule="auto" w:before="7"/>
        <w:ind w:left="722" w:right="133"/>
        <w:jc w:val="left"/>
        <w:rPr>
          <w:b w:val="0"/>
          <w:bCs w:val="0"/>
        </w:rPr>
      </w:pPr>
      <w:r>
        <w:rPr/>
        <w:t>（六）公司研发情况</w:t>
      </w:r>
      <w:r>
        <w:rPr>
          <w:b w:val="0"/>
          <w:bCs w:val="0"/>
        </w:rPr>
      </w:r>
    </w:p>
    <w:p>
      <w:pPr>
        <w:spacing w:line="240" w:lineRule="auto" w:before="4"/>
        <w:rPr>
          <w:rFonts w:ascii="宋体" w:hAnsi="宋体" w:cs="宋体" w:eastAsia="宋体" w:hint="default"/>
          <w:b/>
          <w:bCs/>
          <w:sz w:val="18"/>
          <w:szCs w:val="18"/>
        </w:rPr>
      </w:pPr>
    </w:p>
    <w:p>
      <w:pPr>
        <w:spacing w:before="0"/>
        <w:ind w:left="722" w:right="13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、研发费用</w:t>
      </w:r>
      <w:r>
        <w:rPr>
          <w:rFonts w:ascii="宋体" w:hAnsi="宋体" w:cs="宋体" w:eastAsia="宋体" w:hint="default"/>
          <w:sz w:val="24"/>
          <w:szCs w:val="24"/>
        </w:rPr>
      </w:r>
    </w:p>
    <w:p>
      <w:pPr>
        <w:spacing w:line="240" w:lineRule="auto" w:before="3"/>
        <w:rPr>
          <w:rFonts w:ascii="宋体" w:hAnsi="宋体" w:cs="宋体" w:eastAsia="宋体" w:hint="default"/>
          <w:b/>
          <w:bCs/>
          <w:sz w:val="26"/>
          <w:szCs w:val="26"/>
        </w:rPr>
      </w:pPr>
    </w:p>
    <w:p>
      <w:pPr>
        <w:spacing w:before="35"/>
        <w:ind w:left="0" w:right="239" w:firstLine="0"/>
        <w:jc w:val="right"/>
        <w:rPr>
          <w:rFonts w:ascii="宋体" w:hAnsi="宋体" w:cs="宋体" w:eastAsia="宋体" w:hint="default"/>
          <w:sz w:val="21"/>
          <w:szCs w:val="21"/>
        </w:rPr>
      </w:pPr>
      <w:r>
        <w:rPr/>
        <w:pict>
          <v:group style="position:absolute;margin-left:87.089996pt;margin-top:16.383644pt;width:437.5pt;height:85.4pt;mso-position-horizontal-relative:page;mso-position-vertical-relative:paragraph;z-index:-743008" coordorigin="1742,328" coordsize="8750,1708">
            <v:group style="position:absolute;left:1787;top:738;width:2854;height:2" coordorigin="1787,738" coordsize="2854,2">
              <v:shape style="position:absolute;left:1787;top:738;width:2854;height:2" coordorigin="1787,738" coordsize="2854,0" path="m1787,738l4640,738e" filled="false" stroked="true" strokeweight="3.1pt" strokecolor="#dcdcdc">
                <v:path arrowok="t"/>
              </v:shape>
            </v:group>
            <v:group style="position:absolute;left:1793;top:435;width:2;height:272" coordorigin="1793,435" coordsize="2,272">
              <v:shape style="position:absolute;left:1793;top:435;width:2;height:272" coordorigin="1793,435" coordsize="0,272" path="m1793,435l1793,707e" filled="false" stroked="true" strokeweight=".66pt" strokecolor="#dcdcdc">
                <v:path arrowok="t"/>
              </v:shape>
            </v:group>
            <v:group style="position:absolute;left:1787;top:404;width:2854;height:2" coordorigin="1787,404" coordsize="2854,2">
              <v:shape style="position:absolute;left:1787;top:404;width:2854;height:2" coordorigin="1787,404" coordsize="2854,0" path="m1787,404l4640,404e" filled="false" stroked="true" strokeweight="3.1pt" strokecolor="#dcdcdc">
                <v:path arrowok="t"/>
              </v:shape>
            </v:group>
            <v:group style="position:absolute;left:4629;top:435;width:2;height:273" coordorigin="4629,435" coordsize="2,273">
              <v:shape style="position:absolute;left:4629;top:435;width:2;height:273" coordorigin="4629,435" coordsize="0,273" path="m4629,435l4629,707e" filled="false" stroked="true" strokeweight="1.140pt" strokecolor="#dcdcdc">
                <v:path arrowok="t"/>
              </v:shape>
            </v:group>
            <v:group style="position:absolute;left:1800;top:435;width:2818;height:273" coordorigin="1800,435" coordsize="2818,273">
              <v:shape style="position:absolute;left:1800;top:435;width:2818;height:273" coordorigin="1800,435" coordsize="2818,273" path="m1800,707l4618,707,4618,435,1800,435,1800,707xe" filled="true" fillcolor="#dcdcdc" stroked="false">
                <v:path arrowok="t"/>
                <v:fill type="solid"/>
              </v:shape>
            </v:group>
            <v:group style="position:absolute;left:4650;top:730;width:1931;height:2" coordorigin="4650,730" coordsize="1931,2">
              <v:shape style="position:absolute;left:4650;top:730;width:1931;height:2" coordorigin="4650,730" coordsize="1931,0" path="m4650,730l6581,730e" filled="false" stroked="true" strokeweight="3.9pt" strokecolor="#dcdcdc">
                <v:path arrowok="t"/>
              </v:shape>
            </v:group>
            <v:group style="position:absolute;left:4661;top:451;width:2;height:240" coordorigin="4661,451" coordsize="2,240">
              <v:shape style="position:absolute;left:4661;top:451;width:2;height:240" coordorigin="4661,451" coordsize="0,240" path="m4661,451l4661,691e" filled="false" stroked="true" strokeweight="1.140pt" strokecolor="#dcdcdc">
                <v:path arrowok="t"/>
              </v:shape>
            </v:group>
            <v:group style="position:absolute;left:4650;top:412;width:1931;height:2" coordorigin="4650,412" coordsize="1931,2">
              <v:shape style="position:absolute;left:4650;top:412;width:1931;height:2" coordorigin="4650,412" coordsize="1931,0" path="m4650,412l6581,412e" filled="false" stroked="true" strokeweight="3.9pt" strokecolor="#dcdcdc">
                <v:path arrowok="t"/>
              </v:shape>
            </v:group>
            <v:group style="position:absolute;left:6569;top:451;width:2;height:242" coordorigin="6569,451" coordsize="2,242">
              <v:shape style="position:absolute;left:6569;top:451;width:2;height:242" coordorigin="6569,451" coordsize="0,242" path="m6569,451l6569,692e" filled="false" stroked="true" strokeweight="1.140pt" strokecolor="#dcdcdc">
                <v:path arrowok="t"/>
              </v:shape>
            </v:group>
            <v:group style="position:absolute;left:4673;top:451;width:1886;height:242" coordorigin="4673,451" coordsize="1886,242">
              <v:shape style="position:absolute;left:4673;top:451;width:1886;height:242" coordorigin="4673,451" coordsize="1886,242" path="m4673,692l6558,692,6558,451,4673,451,4673,692xe" filled="true" fillcolor="#dcdcdc" stroked="false">
                <v:path arrowok="t"/>
                <v:fill type="solid"/>
              </v:shape>
            </v:group>
            <v:group style="position:absolute;left:6590;top:730;width:1932;height:2" coordorigin="6590,730" coordsize="1932,2">
              <v:shape style="position:absolute;left:6590;top:730;width:1932;height:2" coordorigin="6590,730" coordsize="1932,0" path="m6590,730l8522,730e" filled="false" stroked="true" strokeweight="3.9pt" strokecolor="#dcdcdc">
                <v:path arrowok="t"/>
              </v:shape>
            </v:group>
            <v:group style="position:absolute;left:6602;top:451;width:2;height:240" coordorigin="6602,451" coordsize="2,240">
              <v:shape style="position:absolute;left:6602;top:451;width:2;height:240" coordorigin="6602,451" coordsize="0,240" path="m6602,451l6602,691e" filled="false" stroked="true" strokeweight="1.2pt" strokecolor="#dcdcdc">
                <v:path arrowok="t"/>
              </v:shape>
            </v:group>
            <v:group style="position:absolute;left:6590;top:412;width:1932;height:2" coordorigin="6590,412" coordsize="1932,2">
              <v:shape style="position:absolute;left:6590;top:412;width:1932;height:2" coordorigin="6590,412" coordsize="1932,0" path="m6590,412l8522,412e" filled="false" stroked="true" strokeweight="3.9pt" strokecolor="#dcdcdc">
                <v:path arrowok="t"/>
              </v:shape>
            </v:group>
            <v:group style="position:absolute;left:8511;top:451;width:2;height:242" coordorigin="8511,451" coordsize="2,242">
              <v:shape style="position:absolute;left:8511;top:451;width:2;height:242" coordorigin="8511,451" coordsize="0,242" path="m8511,451l8511,692e" filled="false" stroked="true" strokeweight="1.140pt" strokecolor="#dcdcdc">
                <v:path arrowok="t"/>
              </v:shape>
            </v:group>
            <v:group style="position:absolute;left:6614;top:451;width:1886;height:242" coordorigin="6614,451" coordsize="1886,242">
              <v:shape style="position:absolute;left:6614;top:451;width:1886;height:242" coordorigin="6614,451" coordsize="1886,242" path="m6614,692l8500,692,8500,451,6614,451,6614,692xe" filled="true" fillcolor="#dcdcdc" stroked="false">
                <v:path arrowok="t"/>
                <v:fill type="solid"/>
              </v:shape>
            </v:group>
            <v:group style="position:absolute;left:8532;top:730;width:1920;height:2" coordorigin="8532,730" coordsize="1920,2">
              <v:shape style="position:absolute;left:8532;top:730;width:1920;height:2" coordorigin="8532,730" coordsize="1920,0" path="m8532,730l10452,730e" filled="false" stroked="true" strokeweight="3.9pt" strokecolor="#dcdcdc">
                <v:path arrowok="t"/>
              </v:shape>
            </v:group>
            <v:group style="position:absolute;left:8543;top:451;width:2;height:240" coordorigin="8543,451" coordsize="2,240">
              <v:shape style="position:absolute;left:8543;top:451;width:2;height:240" coordorigin="8543,451" coordsize="0,240" path="m8543,451l8543,691e" filled="false" stroked="true" strokeweight="1.140pt" strokecolor="#dcdcdc">
                <v:path arrowok="t"/>
              </v:shape>
            </v:group>
            <v:group style="position:absolute;left:8532;top:412;width:1920;height:2" coordorigin="8532,412" coordsize="1920,2">
              <v:shape style="position:absolute;left:8532;top:412;width:1920;height:2" coordorigin="8532,412" coordsize="1920,0" path="m8532,412l10452,412e" filled="false" stroked="true" strokeweight="3.9pt" strokecolor="#dcdcdc">
                <v:path arrowok="t"/>
              </v:shape>
            </v:group>
            <v:group style="position:absolute;left:10446;top:451;width:2;height:242" coordorigin="10446,451" coordsize="2,242">
              <v:shape style="position:absolute;left:10446;top:451;width:2;height:242" coordorigin="10446,451" coordsize="0,242" path="m10446,451l10446,692e" filled="false" stroked="true" strokeweight=".6pt" strokecolor="#dcdcdc">
                <v:path arrowok="t"/>
              </v:shape>
            </v:group>
            <v:group style="position:absolute;left:8555;top:451;width:1886;height:242" coordorigin="8555,451" coordsize="1886,242">
              <v:shape style="position:absolute;left:8555;top:451;width:1886;height:242" coordorigin="8555,451" coordsize="1886,242" path="m8555,692l10440,692,10440,451,8555,451,8555,692xe" filled="true" fillcolor="#dcdcdc" stroked="false">
                <v:path arrowok="t"/>
                <v:fill type="solid"/>
              </v:shape>
            </v:group>
            <v:group style="position:absolute;left:1757;top:358;width:6796;height:2" coordorigin="1757,358" coordsize="6796,2">
              <v:shape style="position:absolute;left:1757;top:358;width:6796;height:2" coordorigin="1757,358" coordsize="6796,0" path="m1757,358l8552,358e" filled="false" stroked="true" strokeweight="1.5pt" strokecolor="#000000">
                <v:path arrowok="t"/>
              </v:shape>
            </v:group>
            <v:group style="position:absolute;left:8552;top:358;width:1900;height:2" coordorigin="8552,358" coordsize="1900,2">
              <v:shape style="position:absolute;left:8552;top:358;width:1900;height:2" coordorigin="8552,358" coordsize="1900,0" path="m8552,358l10452,358e" filled="false" stroked="true" strokeweight="1.5pt" strokecolor="#000000">
                <v:path arrowok="t"/>
              </v:shape>
            </v:group>
            <v:group style="position:absolute;left:4645;top:373;width:2;height:398" coordorigin="4645,373" coordsize="2,398">
              <v:shape style="position:absolute;left:4645;top:373;width:2;height:398" coordorigin="4645,373" coordsize="0,398" path="m4645,373l4645,770e" filled="false" stroked="true" strokeweight=".48pt" strokecolor="#000000">
                <v:path arrowok="t"/>
              </v:shape>
            </v:group>
            <v:group style="position:absolute;left:6586;top:373;width:2;height:398" coordorigin="6586,373" coordsize="2,398">
              <v:shape style="position:absolute;left:6586;top:373;width:2;height:398" coordorigin="6586,373" coordsize="0,398" path="m6586,373l6586,770e" filled="false" stroked="true" strokeweight=".48pt" strokecolor="#000000">
                <v:path arrowok="t"/>
              </v:shape>
            </v:group>
            <v:group style="position:absolute;left:8527;top:373;width:2;height:398" coordorigin="8527,373" coordsize="2,398">
              <v:shape style="position:absolute;left:8527;top:373;width:2;height:398" coordorigin="8527,373" coordsize="0,398" path="m8527,373l8527,770e" filled="false" stroked="true" strokeweight=".48pt" strokecolor="#000000">
                <v:path arrowok="t"/>
              </v:shape>
            </v:group>
            <v:group style="position:absolute;left:1793;top:841;width:2;height:272" coordorigin="1793,841" coordsize="2,272">
              <v:shape style="position:absolute;left:1793;top:841;width:2;height:272" coordorigin="1793,841" coordsize="0,272" path="m1793,841l1793,1113e" filled="false" stroked="true" strokeweight=".66pt" strokecolor="#dcdcdc">
                <v:path arrowok="t"/>
              </v:shape>
            </v:group>
            <v:group style="position:absolute;left:1787;top:810;width:2854;height:2" coordorigin="1787,810" coordsize="2854,2">
              <v:shape style="position:absolute;left:1787;top:810;width:2854;height:2" coordorigin="1787,810" coordsize="2854,0" path="m1787,810l4640,810e" filled="false" stroked="true" strokeweight="3.1pt" strokecolor="#dcdcdc">
                <v:path arrowok="t"/>
              </v:shape>
            </v:group>
            <v:group style="position:absolute;left:4629;top:842;width:2;height:273" coordorigin="4629,842" coordsize="2,273">
              <v:shape style="position:absolute;left:4629;top:842;width:2;height:273" coordorigin="4629,842" coordsize="0,273" path="m4629,842l4629,1114e" filled="false" stroked="true" strokeweight="1.140pt" strokecolor="#dcdcdc">
                <v:path arrowok="t"/>
              </v:shape>
            </v:group>
            <v:group style="position:absolute;left:1800;top:842;width:2818;height:273" coordorigin="1800,842" coordsize="2818,273">
              <v:shape style="position:absolute;left:1800;top:842;width:2818;height:273" coordorigin="1800,842" coordsize="2818,273" path="m1800,1114l4618,1114,4618,842,1800,842,1800,1114xe" filled="true" fillcolor="#dcdcdc" stroked="false">
                <v:path arrowok="t"/>
                <v:fill type="solid"/>
              </v:shape>
            </v:group>
            <v:group style="position:absolute;left:1757;top:775;width:8726;height:2" coordorigin="1757,775" coordsize="8726,2">
              <v:shape style="position:absolute;left:1757;top:775;width:8726;height:2" coordorigin="1757,775" coordsize="8726,0" path="m1757,775l10482,775e" filled="false" stroked="true" strokeweight=".48pt" strokecolor="#000000">
                <v:path arrowok="t"/>
              </v:shape>
            </v:group>
            <v:group style="position:absolute;left:4645;top:779;width:2;height:398" coordorigin="4645,779" coordsize="2,398">
              <v:shape style="position:absolute;left:4645;top:779;width:2;height:398" coordorigin="4645,779" coordsize="0,398" path="m4645,779l4645,1177e" filled="false" stroked="true" strokeweight=".48pt" strokecolor="#000000">
                <v:path arrowok="t"/>
              </v:shape>
            </v:group>
            <v:group style="position:absolute;left:6586;top:779;width:2;height:398" coordorigin="6586,779" coordsize="2,398">
              <v:shape style="position:absolute;left:6586;top:779;width:2;height:398" coordorigin="6586,779" coordsize="0,398" path="m6586,779l6586,1177e" filled="false" stroked="true" strokeweight=".48pt" strokecolor="#000000">
                <v:path arrowok="t"/>
              </v:shape>
            </v:group>
            <v:group style="position:absolute;left:8527;top:779;width:2;height:398" coordorigin="8527,779" coordsize="2,398">
              <v:shape style="position:absolute;left:8527;top:779;width:2;height:398" coordorigin="8527,779" coordsize="0,398" path="m8527,779l8527,1177e" filled="false" stroked="true" strokeweight=".48pt" strokecolor="#000000">
                <v:path arrowok="t"/>
              </v:shape>
            </v:group>
            <v:group style="position:absolute;left:1787;top:1552;width:2854;height:2" coordorigin="1787,1552" coordsize="2854,2">
              <v:shape style="position:absolute;left:1787;top:1552;width:2854;height:2" coordorigin="1787,1552" coordsize="2854,0" path="m1787,1552l4640,1552e" filled="false" stroked="true" strokeweight="3.1pt" strokecolor="#dcdcdc">
                <v:path arrowok="t"/>
              </v:shape>
            </v:group>
            <v:group style="position:absolute;left:1793;top:1249;width:2;height:272" coordorigin="1793,1249" coordsize="2,272">
              <v:shape style="position:absolute;left:1793;top:1249;width:2;height:272" coordorigin="1793,1249" coordsize="0,272" path="m1793,1249l1793,1521e" filled="false" stroked="true" strokeweight=".66pt" strokecolor="#dcdcdc">
                <v:path arrowok="t"/>
              </v:shape>
            </v:group>
            <v:group style="position:absolute;left:4629;top:1249;width:2;height:273" coordorigin="4629,1249" coordsize="2,273">
              <v:shape style="position:absolute;left:4629;top:1249;width:2;height:273" coordorigin="4629,1249" coordsize="0,273" path="m4629,1249l4629,1521e" filled="false" stroked="true" strokeweight="1.140pt" strokecolor="#dcdcdc">
                <v:path arrowok="t"/>
              </v:shape>
            </v:group>
            <v:group style="position:absolute;left:1800;top:1249;width:2818;height:273" coordorigin="1800,1249" coordsize="2818,273">
              <v:shape style="position:absolute;left:1800;top:1249;width:2818;height:273" coordorigin="1800,1249" coordsize="2818,273" path="m1800,1521l4618,1521,4618,1249,1800,1249,1800,1521xe" filled="true" fillcolor="#dcdcdc" stroked="false">
                <v:path arrowok="t"/>
                <v:fill type="solid"/>
              </v:shape>
            </v:group>
            <v:group style="position:absolute;left:4645;top:1186;width:2;height:398" coordorigin="4645,1186" coordsize="2,398">
              <v:shape style="position:absolute;left:4645;top:1186;width:2;height:398" coordorigin="4645,1186" coordsize="0,398" path="m4645,1186l4645,1583e" filled="false" stroked="true" strokeweight=".48pt" strokecolor="#000000">
                <v:path arrowok="t"/>
              </v:shape>
            </v:group>
            <v:group style="position:absolute;left:6586;top:1186;width:2;height:398" coordorigin="6586,1186" coordsize="2,398">
              <v:shape style="position:absolute;left:6586;top:1186;width:2;height:398" coordorigin="6586,1186" coordsize="0,398" path="m6586,1186l6586,1583e" filled="false" stroked="true" strokeweight=".48pt" strokecolor="#000000">
                <v:path arrowok="t"/>
              </v:shape>
            </v:group>
            <v:group style="position:absolute;left:8527;top:1186;width:2;height:398" coordorigin="8527,1186" coordsize="2,398">
              <v:shape style="position:absolute;left:8527;top:1186;width:2;height:398" coordorigin="8527,1186" coordsize="0,398" path="m8527,1186l8527,1583e" filled="false" stroked="true" strokeweight=".48pt" strokecolor="#000000">
                <v:path arrowok="t"/>
              </v:shape>
            </v:group>
            <v:group style="position:absolute;left:1787;top:1958;width:2854;height:2" coordorigin="1787,1958" coordsize="2854,2">
              <v:shape style="position:absolute;left:1787;top:1958;width:2854;height:2" coordorigin="1787,1958" coordsize="2854,0" path="m1787,1958l4640,1958e" filled="false" stroked="true" strokeweight="3.1pt" strokecolor="#dcdcdc">
                <v:path arrowok="t"/>
              </v:shape>
            </v:group>
            <v:group style="position:absolute;left:1793;top:1655;width:2;height:272" coordorigin="1793,1655" coordsize="2,272">
              <v:shape style="position:absolute;left:1793;top:1655;width:2;height:272" coordorigin="1793,1655" coordsize="0,272" path="m1793,1655l1793,1927e" filled="false" stroked="true" strokeweight=".66pt" strokecolor="#dcdcdc">
                <v:path arrowok="t"/>
              </v:shape>
            </v:group>
            <v:group style="position:absolute;left:1787;top:1624;width:2854;height:2" coordorigin="1787,1624" coordsize="2854,2">
              <v:shape style="position:absolute;left:1787;top:1624;width:2854;height:2" coordorigin="1787,1624" coordsize="2854,0" path="m1787,1624l4640,1624e" filled="false" stroked="true" strokeweight="3.1pt" strokecolor="#dcdcdc">
                <v:path arrowok="t"/>
              </v:shape>
            </v:group>
            <v:group style="position:absolute;left:4629;top:1655;width:2;height:273" coordorigin="4629,1655" coordsize="2,273">
              <v:shape style="position:absolute;left:4629;top:1655;width:2;height:273" coordorigin="4629,1655" coordsize="0,273" path="m4629,1655l4629,1928e" filled="false" stroked="true" strokeweight="1.140pt" strokecolor="#dcdcdc">
                <v:path arrowok="t"/>
              </v:shape>
            </v:group>
            <v:group style="position:absolute;left:1800;top:1655;width:2818;height:273" coordorigin="1800,1655" coordsize="2818,273">
              <v:shape style="position:absolute;left:1800;top:1655;width:2818;height:273" coordorigin="1800,1655" coordsize="2818,273" path="m1800,1928l4618,1928,4618,1655,1800,1655,1800,1928xe" filled="true" fillcolor="#dcdcdc" stroked="false">
                <v:path arrowok="t"/>
                <v:fill type="solid"/>
              </v:shape>
            </v:group>
            <v:group style="position:absolute;left:1757;top:1588;width:8726;height:2" coordorigin="1757,1588" coordsize="8726,2">
              <v:shape style="position:absolute;left:1757;top:1588;width:8726;height:2" coordorigin="1757,1588" coordsize="8726,0" path="m1757,1588l10482,1588e" filled="false" stroked="true" strokeweight=".48pt" strokecolor="#000000">
                <v:path arrowok="t"/>
              </v:shape>
            </v:group>
            <v:group style="position:absolute;left:1772;top:343;width:2;height:1678" coordorigin="1772,343" coordsize="2,1678">
              <v:shape style="position:absolute;left:1772;top:343;width:2;height:1678" coordorigin="1772,343" coordsize="0,1678" path="m1772,343l1772,2020e" filled="false" stroked="true" strokeweight="1.5pt" strokecolor="#000000">
                <v:path arrowok="t"/>
              </v:shape>
            </v:group>
            <v:group style="position:absolute;left:1757;top:2005;width:2884;height:2" coordorigin="1757,2005" coordsize="2884,2">
              <v:shape style="position:absolute;left:1757;top:2005;width:2884;height:2" coordorigin="1757,2005" coordsize="2884,0" path="m1757,2005l4640,2005e" filled="false" stroked="true" strokeweight="1.5pt" strokecolor="#000000">
                <v:path arrowok="t"/>
              </v:shape>
            </v:group>
            <v:group style="position:absolute;left:4645;top:1593;width:2;height:398" coordorigin="4645,1593" coordsize="2,398">
              <v:shape style="position:absolute;left:4645;top:1593;width:2;height:398" coordorigin="4645,1593" coordsize="0,398" path="m4645,1593l4645,1990e" filled="false" stroked="true" strokeweight=".48pt" strokecolor="#000000">
                <v:path arrowok="t"/>
              </v:shape>
            </v:group>
            <v:group style="position:absolute;left:4640;top:2005;width:1941;height:2" coordorigin="4640,2005" coordsize="1941,2">
              <v:shape style="position:absolute;left:4640;top:2005;width:1941;height:2" coordorigin="4640,2005" coordsize="1941,0" path="m4640,2005l6581,2005e" filled="false" stroked="true" strokeweight="1.5pt" strokecolor="#000000">
                <v:path arrowok="t"/>
              </v:shape>
            </v:group>
            <v:group style="position:absolute;left:6586;top:1593;width:2;height:398" coordorigin="6586,1593" coordsize="2,398">
              <v:shape style="position:absolute;left:6586;top:1593;width:2;height:398" coordorigin="6586,1593" coordsize="0,398" path="m6586,1593l6586,1990e" filled="false" stroked="true" strokeweight=".48pt" strokecolor="#000000">
                <v:path arrowok="t"/>
              </v:shape>
            </v:group>
            <v:group style="position:absolute;left:6581;top:2005;width:1942;height:2" coordorigin="6581,2005" coordsize="1942,2">
              <v:shape style="position:absolute;left:6581;top:2005;width:1942;height:2" coordorigin="6581,2005" coordsize="1942,0" path="m6581,2005l8522,2005e" filled="false" stroked="true" strokeweight="1.5pt" strokecolor="#000000">
                <v:path arrowok="t"/>
              </v:shape>
            </v:group>
            <v:group style="position:absolute;left:8527;top:1593;width:2;height:398" coordorigin="8527,1593" coordsize="2,398">
              <v:shape style="position:absolute;left:8527;top:1593;width:2;height:398" coordorigin="8527,1593" coordsize="0,398" path="m8527,1593l8527,1990e" filled="false" stroked="true" strokeweight=".48pt" strokecolor="#000000">
                <v:path arrowok="t"/>
              </v:shape>
            </v:group>
            <v:group style="position:absolute;left:8522;top:2005;width:30;height:2" coordorigin="8522,2005" coordsize="30,2">
              <v:shape style="position:absolute;left:8522;top:2005;width:30;height:2" coordorigin="8522,2005" coordsize="30,0" path="m8522,2005l8552,2005e" filled="false" stroked="true" strokeweight="1.5pt" strokecolor="#000000">
                <v:path arrowok="t"/>
              </v:shape>
            </v:group>
            <v:group style="position:absolute;left:8552;top:2005;width:1900;height:2" coordorigin="8552,2005" coordsize="1900,2">
              <v:shape style="position:absolute;left:8552;top:2005;width:1900;height:2" coordorigin="8552,2005" coordsize="1900,0" path="m8552,2005l10452,2005e" filled="false" stroked="true" strokeweight="1.5pt" strokecolor="#000000">
                <v:path arrowok="t"/>
              </v:shape>
            </v:group>
            <v:group style="position:absolute;left:10467;top:343;width:2;height:1678" coordorigin="10467,343" coordsize="2,1678">
              <v:shape style="position:absolute;left:10467;top:343;width:2;height:1678" coordorigin="10467,343" coordsize="0,1678" path="m10467,343l10467,2020e" filled="false" stroked="true" strokeweight="1.5pt" strokecolor="#000000">
                <v:path arrowok="t"/>
              </v:shape>
            </v:group>
            <w10:wrap type="none"/>
          </v:group>
        </w:pict>
      </w:r>
      <w:r>
        <w:rPr>
          <w:rFonts w:ascii="宋体" w:hAnsi="宋体" w:cs="宋体" w:eastAsia="宋体" w:hint="default"/>
          <w:sz w:val="21"/>
          <w:szCs w:val="21"/>
        </w:rPr>
        <w:t>单位：万元</w:t>
      </w:r>
    </w:p>
    <w:p>
      <w:pPr>
        <w:spacing w:line="240" w:lineRule="auto" w:before="9"/>
        <w:rPr>
          <w:rFonts w:ascii="宋体" w:hAnsi="宋体" w:cs="宋体" w:eastAsia="宋体" w:hint="default"/>
          <w:sz w:val="6"/>
          <w:szCs w:val="6"/>
        </w:rPr>
      </w:pPr>
    </w:p>
    <w:tbl>
      <w:tblPr>
        <w:tblW w:w="0" w:type="auto"/>
        <w:jc w:val="left"/>
        <w:tblInd w:w="211" w:type="dxa"/>
        <w:tblLayout w:type="fixed"/>
        <w:tblCellMar>
          <w:top w:w="0" w:type="dxa"/>
          <w:left w:w="0" w:type="dxa"/>
          <w:bottom w:w="0" w:type="dxa"/>
          <w:right w:w="0" w:type="dxa"/>
        </w:tblCellMar>
        <w:tblLook w:val="01E0"/>
      </w:tblPr>
      <w:tblGrid>
        <w:gridCol w:w="2873"/>
        <w:gridCol w:w="1940"/>
        <w:gridCol w:w="1942"/>
        <w:gridCol w:w="1940"/>
      </w:tblGrid>
      <w:tr>
        <w:trPr>
          <w:trHeight w:val="338" w:hRule="exact"/>
        </w:trPr>
        <w:tc>
          <w:tcPr>
            <w:tcW w:w="2873"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40"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52"/>
              <w:ind w:right="0"/>
              <w:jc w:val="center"/>
              <w:rPr>
                <w:rFonts w:ascii="Times New Roman" w:hAnsi="Times New Roman" w:cs="Times New Roman" w:eastAsia="Times New Roman" w:hint="default"/>
                <w:sz w:val="21"/>
                <w:szCs w:val="21"/>
              </w:rPr>
            </w:pPr>
            <w:r>
              <w:rPr>
                <w:rFonts w:ascii="Times New Roman"/>
                <w:sz w:val="21"/>
              </w:rPr>
              <w:t>2009</w:t>
            </w:r>
          </w:p>
        </w:tc>
        <w:tc>
          <w:tcPr>
            <w:tcW w:w="1942"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52"/>
              <w:ind w:left="1" w:right="0"/>
              <w:jc w:val="center"/>
              <w:rPr>
                <w:rFonts w:ascii="Times New Roman" w:hAnsi="Times New Roman" w:cs="Times New Roman" w:eastAsia="Times New Roman" w:hint="default"/>
                <w:sz w:val="21"/>
                <w:szCs w:val="21"/>
              </w:rPr>
            </w:pPr>
            <w:r>
              <w:rPr>
                <w:rFonts w:ascii="Times New Roman"/>
                <w:sz w:val="21"/>
              </w:rPr>
              <w:t>2010</w:t>
            </w:r>
          </w:p>
        </w:tc>
        <w:tc>
          <w:tcPr>
            <w:tcW w:w="1940" w:type="dxa"/>
            <w:tcBorders>
              <w:top w:val="nil" w:sz="6" w:space="0" w:color="auto"/>
              <w:left w:val="nil" w:sz="6" w:space="0" w:color="auto"/>
              <w:bottom w:val="nil" w:sz="6" w:space="0" w:color="auto"/>
              <w:right w:val="nil" w:sz="6" w:space="0" w:color="auto"/>
            </w:tcBorders>
            <w:shd w:val="clear" w:color="auto" w:fill="DCDCDC"/>
          </w:tcPr>
          <w:p>
            <w:pPr>
              <w:pStyle w:val="TableParagraph"/>
              <w:spacing w:line="240" w:lineRule="auto" w:before="52"/>
              <w:ind w:right="1"/>
              <w:jc w:val="center"/>
              <w:rPr>
                <w:rFonts w:ascii="Times New Roman" w:hAnsi="Times New Roman" w:cs="Times New Roman" w:eastAsia="Times New Roman" w:hint="default"/>
                <w:sz w:val="21"/>
                <w:szCs w:val="21"/>
              </w:rPr>
            </w:pPr>
            <w:r>
              <w:rPr>
                <w:rFonts w:ascii="Times New Roman"/>
                <w:spacing w:val="-3"/>
                <w:sz w:val="21"/>
              </w:rPr>
              <w:t>2011</w:t>
            </w:r>
          </w:p>
        </w:tc>
      </w:tr>
      <w:tr>
        <w:trPr>
          <w:trHeight w:val="106" w:hRule="exact"/>
        </w:trPr>
        <w:tc>
          <w:tcPr>
            <w:tcW w:w="2873" w:type="dxa"/>
            <w:tcBorders>
              <w:top w:val="nil" w:sz="6" w:space="0" w:color="auto"/>
              <w:left w:val="nil" w:sz="6" w:space="0" w:color="auto"/>
              <w:bottom w:val="nil" w:sz="6" w:space="0" w:color="auto"/>
              <w:right w:val="nil" w:sz="6" w:space="0" w:color="auto"/>
            </w:tcBorders>
          </w:tcPr>
          <w:p>
            <w:pPr/>
          </w:p>
        </w:tc>
        <w:tc>
          <w:tcPr>
            <w:tcW w:w="1940" w:type="dxa"/>
            <w:tcBorders>
              <w:top w:val="nil" w:sz="6" w:space="0" w:color="auto"/>
              <w:left w:val="nil" w:sz="6" w:space="0" w:color="auto"/>
              <w:bottom w:val="nil" w:sz="6" w:space="0" w:color="auto"/>
              <w:right w:val="nil" w:sz="6" w:space="0" w:color="auto"/>
            </w:tcBorders>
          </w:tcPr>
          <w:p>
            <w:pPr/>
          </w:p>
        </w:tc>
        <w:tc>
          <w:tcPr>
            <w:tcW w:w="1942" w:type="dxa"/>
            <w:tcBorders>
              <w:top w:val="nil" w:sz="6" w:space="0" w:color="auto"/>
              <w:left w:val="nil" w:sz="6" w:space="0" w:color="auto"/>
              <w:bottom w:val="nil" w:sz="6" w:space="0" w:color="auto"/>
              <w:right w:val="nil" w:sz="6" w:space="0" w:color="auto"/>
            </w:tcBorders>
          </w:tcPr>
          <w:p>
            <w:pPr/>
          </w:p>
        </w:tc>
        <w:tc>
          <w:tcPr>
            <w:tcW w:w="1940" w:type="dxa"/>
            <w:tcBorders>
              <w:top w:val="nil" w:sz="6" w:space="0" w:color="auto"/>
              <w:left w:val="nil" w:sz="6" w:space="0" w:color="auto"/>
              <w:bottom w:val="nil" w:sz="6" w:space="0" w:color="auto"/>
              <w:right w:val="nil" w:sz="6" w:space="0" w:color="auto"/>
            </w:tcBorders>
          </w:tcPr>
          <w:p>
            <w:pPr/>
          </w:p>
        </w:tc>
      </w:tr>
      <w:tr>
        <w:trPr>
          <w:trHeight w:val="306" w:hRule="exact"/>
        </w:trPr>
        <w:tc>
          <w:tcPr>
            <w:tcW w:w="2873" w:type="dxa"/>
            <w:tcBorders>
              <w:top w:val="nil" w:sz="6" w:space="0" w:color="auto"/>
              <w:left w:val="nil" w:sz="6" w:space="0" w:color="auto"/>
              <w:bottom w:val="single" w:sz="4" w:space="0" w:color="000000"/>
              <w:right w:val="nil" w:sz="6" w:space="0" w:color="auto"/>
            </w:tcBorders>
            <w:shd w:val="clear" w:color="auto" w:fill="DCDCDC"/>
          </w:tcPr>
          <w:p>
            <w:pPr>
              <w:pStyle w:val="TableParagraph"/>
              <w:spacing w:line="240" w:lineRule="exact"/>
              <w:ind w:left="28" w:right="0"/>
              <w:jc w:val="left"/>
              <w:rPr>
                <w:rFonts w:ascii="宋体" w:hAnsi="宋体" w:cs="宋体" w:eastAsia="宋体" w:hint="default"/>
                <w:sz w:val="21"/>
                <w:szCs w:val="21"/>
              </w:rPr>
            </w:pPr>
            <w:r>
              <w:rPr>
                <w:rFonts w:ascii="宋体" w:hAnsi="宋体" w:cs="宋体" w:eastAsia="宋体" w:hint="default"/>
                <w:sz w:val="21"/>
                <w:szCs w:val="21"/>
              </w:rPr>
              <w:t>研发投入金额</w:t>
            </w:r>
          </w:p>
        </w:tc>
        <w:tc>
          <w:tcPr>
            <w:tcW w:w="1940"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21"/>
                <w:szCs w:val="21"/>
              </w:rPr>
            </w:pPr>
            <w:r>
              <w:rPr>
                <w:rFonts w:ascii="Times New Roman"/>
                <w:spacing w:val="-1"/>
                <w:sz w:val="21"/>
              </w:rPr>
              <w:t>1,155.79</w:t>
            </w:r>
            <w:r>
              <w:rPr>
                <w:rFonts w:ascii="Times New Roman"/>
                <w:sz w:val="21"/>
              </w:rPr>
            </w:r>
          </w:p>
        </w:tc>
        <w:tc>
          <w:tcPr>
            <w:tcW w:w="1942"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27"/>
              <w:jc w:val="right"/>
              <w:rPr>
                <w:rFonts w:ascii="Times New Roman" w:hAnsi="Times New Roman" w:cs="Times New Roman" w:eastAsia="Times New Roman" w:hint="default"/>
                <w:sz w:val="21"/>
                <w:szCs w:val="21"/>
              </w:rPr>
            </w:pPr>
            <w:r>
              <w:rPr>
                <w:rFonts w:ascii="Times New Roman"/>
                <w:spacing w:val="-1"/>
                <w:sz w:val="21"/>
              </w:rPr>
              <w:t>1,750.90</w:t>
            </w:r>
            <w:r>
              <w:rPr>
                <w:rFonts w:ascii="Times New Roman"/>
                <w:sz w:val="21"/>
              </w:rPr>
            </w:r>
          </w:p>
        </w:tc>
        <w:tc>
          <w:tcPr>
            <w:tcW w:w="1940"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27"/>
              <w:jc w:val="right"/>
              <w:rPr>
                <w:rFonts w:ascii="Times New Roman" w:hAnsi="Times New Roman" w:cs="Times New Roman" w:eastAsia="Times New Roman" w:hint="default"/>
                <w:sz w:val="21"/>
                <w:szCs w:val="21"/>
              </w:rPr>
            </w:pPr>
            <w:r>
              <w:rPr>
                <w:rFonts w:ascii="Times New Roman"/>
                <w:spacing w:val="-1"/>
                <w:sz w:val="21"/>
              </w:rPr>
              <w:t>3,008.82</w:t>
            </w:r>
            <w:r>
              <w:rPr>
                <w:rFonts w:ascii="Times New Roman"/>
                <w:sz w:val="21"/>
              </w:rPr>
            </w:r>
          </w:p>
        </w:tc>
      </w:tr>
      <w:tr>
        <w:trPr>
          <w:trHeight w:val="101" w:hRule="exact"/>
        </w:trPr>
        <w:tc>
          <w:tcPr>
            <w:tcW w:w="2873" w:type="dxa"/>
            <w:tcBorders>
              <w:top w:val="single" w:sz="4" w:space="0" w:color="000000"/>
              <w:left w:val="nil" w:sz="6" w:space="0" w:color="auto"/>
              <w:bottom w:val="nil" w:sz="6" w:space="0" w:color="auto"/>
              <w:right w:val="nil" w:sz="6" w:space="0" w:color="auto"/>
            </w:tcBorders>
            <w:shd w:val="clear" w:color="auto" w:fill="DCDCDC"/>
          </w:tcPr>
          <w:p>
            <w:pPr/>
          </w:p>
        </w:tc>
        <w:tc>
          <w:tcPr>
            <w:tcW w:w="1940" w:type="dxa"/>
            <w:tcBorders>
              <w:top w:val="single" w:sz="4" w:space="0" w:color="000000"/>
              <w:left w:val="nil" w:sz="6" w:space="0" w:color="auto"/>
              <w:bottom w:val="nil" w:sz="6" w:space="0" w:color="auto"/>
              <w:right w:val="nil" w:sz="6" w:space="0" w:color="auto"/>
            </w:tcBorders>
          </w:tcPr>
          <w:p>
            <w:pPr/>
          </w:p>
        </w:tc>
        <w:tc>
          <w:tcPr>
            <w:tcW w:w="1942" w:type="dxa"/>
            <w:tcBorders>
              <w:top w:val="single" w:sz="4" w:space="0" w:color="000000"/>
              <w:left w:val="nil" w:sz="6" w:space="0" w:color="auto"/>
              <w:bottom w:val="nil" w:sz="6" w:space="0" w:color="auto"/>
              <w:right w:val="nil" w:sz="6" w:space="0" w:color="auto"/>
            </w:tcBorders>
          </w:tcPr>
          <w:p>
            <w:pPr/>
          </w:p>
        </w:tc>
        <w:tc>
          <w:tcPr>
            <w:tcW w:w="1940" w:type="dxa"/>
            <w:tcBorders>
              <w:top w:val="single" w:sz="4" w:space="0" w:color="000000"/>
              <w:left w:val="nil" w:sz="6" w:space="0" w:color="auto"/>
              <w:bottom w:val="nil" w:sz="6" w:space="0" w:color="auto"/>
              <w:right w:val="nil" w:sz="6" w:space="0" w:color="auto"/>
            </w:tcBorders>
          </w:tcPr>
          <w:p>
            <w:pPr/>
          </w:p>
        </w:tc>
      </w:tr>
      <w:tr>
        <w:trPr>
          <w:trHeight w:val="373" w:hRule="exact"/>
        </w:trPr>
        <w:tc>
          <w:tcPr>
            <w:tcW w:w="2873" w:type="dxa"/>
            <w:tcBorders>
              <w:top w:val="nil" w:sz="6" w:space="0" w:color="auto"/>
              <w:left w:val="nil" w:sz="6" w:space="0" w:color="auto"/>
              <w:bottom w:val="nil" w:sz="6" w:space="0" w:color="auto"/>
              <w:right w:val="nil" w:sz="6" w:space="0" w:color="auto"/>
            </w:tcBorders>
          </w:tcPr>
          <w:p>
            <w:pPr>
              <w:pStyle w:val="TableParagraph"/>
              <w:spacing w:line="239" w:lineRule="exact"/>
              <w:ind w:left="28" w:right="0"/>
              <w:jc w:val="left"/>
              <w:rPr>
                <w:rFonts w:ascii="宋体" w:hAnsi="宋体" w:cs="宋体" w:eastAsia="宋体" w:hint="default"/>
                <w:sz w:val="21"/>
                <w:szCs w:val="21"/>
              </w:rPr>
            </w:pPr>
            <w:r>
              <w:rPr>
                <w:rFonts w:ascii="宋体" w:hAnsi="宋体" w:cs="宋体" w:eastAsia="宋体" w:hint="default"/>
                <w:sz w:val="21"/>
                <w:szCs w:val="21"/>
              </w:rPr>
              <w:t>其中：开发支出资本化</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
              <w:jc w:val="right"/>
              <w:rPr>
                <w:rFonts w:ascii="Times New Roman" w:hAnsi="Times New Roman" w:cs="Times New Roman" w:eastAsia="Times New Roman" w:hint="default"/>
                <w:sz w:val="21"/>
                <w:szCs w:val="21"/>
              </w:rPr>
            </w:pPr>
            <w:r>
              <w:rPr>
                <w:rFonts w:ascii="Times New Roman"/>
                <w:spacing w:val="-1"/>
                <w:sz w:val="21"/>
              </w:rPr>
              <w:t>750.35</w:t>
            </w:r>
          </w:p>
        </w:tc>
      </w:tr>
      <w:tr>
        <w:trPr>
          <w:trHeight w:val="383" w:hRule="exact"/>
        </w:trPr>
        <w:tc>
          <w:tcPr>
            <w:tcW w:w="2873" w:type="dxa"/>
            <w:tcBorders>
              <w:top w:val="nil" w:sz="6" w:space="0" w:color="auto"/>
              <w:left w:val="nil" w:sz="6" w:space="0" w:color="auto"/>
              <w:bottom w:val="nil" w:sz="6" w:space="0" w:color="auto"/>
              <w:right w:val="nil" w:sz="6" w:space="0" w:color="auto"/>
            </w:tcBorders>
          </w:tcPr>
          <w:p>
            <w:pPr>
              <w:pStyle w:val="TableParagraph"/>
              <w:spacing w:line="273" w:lineRule="exact"/>
              <w:ind w:left="28" w:right="0"/>
              <w:jc w:val="left"/>
              <w:rPr>
                <w:rFonts w:ascii="宋体" w:hAnsi="宋体" w:cs="宋体" w:eastAsia="宋体" w:hint="default"/>
                <w:sz w:val="21"/>
                <w:szCs w:val="21"/>
              </w:rPr>
            </w:pPr>
            <w:r>
              <w:rPr>
                <w:rFonts w:ascii="宋体" w:hAnsi="宋体" w:cs="宋体" w:eastAsia="宋体" w:hint="default"/>
                <w:sz w:val="21"/>
                <w:szCs w:val="21"/>
              </w:rPr>
              <w:t>研发投入占营业收入比例</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
              <w:jc w:val="right"/>
              <w:rPr>
                <w:rFonts w:ascii="Times New Roman" w:hAnsi="Times New Roman" w:cs="Times New Roman" w:eastAsia="Times New Roman" w:hint="default"/>
                <w:sz w:val="21"/>
                <w:szCs w:val="21"/>
              </w:rPr>
            </w:pPr>
            <w:r>
              <w:rPr>
                <w:rFonts w:ascii="Times New Roman"/>
                <w:spacing w:val="-1"/>
                <w:sz w:val="21"/>
              </w:rPr>
              <w:t>9.39%</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5"/>
              <w:jc w:val="right"/>
              <w:rPr>
                <w:rFonts w:ascii="Times New Roman" w:hAnsi="Times New Roman" w:cs="Times New Roman" w:eastAsia="Times New Roman" w:hint="default"/>
                <w:sz w:val="21"/>
                <w:szCs w:val="21"/>
              </w:rPr>
            </w:pPr>
            <w:r>
              <w:rPr>
                <w:rFonts w:ascii="Times New Roman"/>
                <w:spacing w:val="-1"/>
                <w:sz w:val="21"/>
              </w:rPr>
              <w:t>9.31%</w:t>
            </w:r>
          </w:p>
        </w:tc>
        <w:tc>
          <w:tcPr>
            <w:tcW w:w="19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4"/>
              <w:jc w:val="right"/>
              <w:rPr>
                <w:rFonts w:ascii="Times New Roman" w:hAnsi="Times New Roman" w:cs="Times New Roman" w:eastAsia="Times New Roman" w:hint="default"/>
                <w:sz w:val="21"/>
                <w:szCs w:val="21"/>
              </w:rPr>
            </w:pPr>
            <w:r>
              <w:rPr>
                <w:rFonts w:ascii="Times New Roman"/>
                <w:spacing w:val="-2"/>
                <w:sz w:val="21"/>
              </w:rPr>
              <w:t>11.21%</w:t>
            </w:r>
          </w:p>
        </w:tc>
      </w:tr>
    </w:tbl>
    <w:p>
      <w:pPr>
        <w:spacing w:line="240" w:lineRule="auto" w:before="5"/>
        <w:rPr>
          <w:rFonts w:ascii="宋体" w:hAnsi="宋体" w:cs="宋体" w:eastAsia="宋体" w:hint="default"/>
          <w:sz w:val="5"/>
          <w:szCs w:val="5"/>
        </w:rPr>
      </w:pPr>
    </w:p>
    <w:p>
      <w:pPr>
        <w:pStyle w:val="BodyText"/>
        <w:spacing w:line="338" w:lineRule="auto" w:before="26"/>
        <w:ind w:left="239" w:right="239" w:firstLine="480"/>
        <w:jc w:val="both"/>
      </w:pPr>
      <w:r>
        <w:rPr>
          <w:spacing w:val="-3"/>
        </w:rPr>
        <w:t>公司坚持技术创新，提高核心竞争力，</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年公司继续加大投入研发力度，研 发投入总额 </w:t>
      </w:r>
      <w:r>
        <w:rPr>
          <w:rFonts w:ascii="Times New Roman" w:hAnsi="Times New Roman" w:cs="Times New Roman" w:eastAsia="Times New Roman" w:hint="default"/>
        </w:rPr>
        <w:t>3,008.82 </w:t>
      </w:r>
      <w:r>
        <w:rPr>
          <w:spacing w:val="-5"/>
        </w:rPr>
        <w:t>万元，占营业收入</w:t>
      </w:r>
      <w:r>
        <w:rPr>
          <w:spacing w:val="-96"/>
        </w:rPr>
        <w:t> </w:t>
      </w:r>
      <w:r>
        <w:rPr>
          <w:rFonts w:ascii="Times New Roman" w:hAnsi="Times New Roman" w:cs="Times New Roman" w:eastAsia="Times New Roman" w:hint="default"/>
          <w:spacing w:val="-3"/>
        </w:rPr>
        <w:t>11.21%</w:t>
      </w:r>
      <w:r>
        <w:rPr>
          <w:spacing w:val="-3"/>
        </w:rPr>
        <w:t>，研发支出的大量投入增加了公司的</w:t>
      </w:r>
      <w:r>
        <w:rPr/>
        <w:t> 竞争力。</w:t>
      </w:r>
    </w:p>
    <w:p>
      <w:pPr>
        <w:pStyle w:val="BodyText"/>
        <w:spacing w:line="345" w:lineRule="auto" w:before="175"/>
        <w:ind w:left="239" w:right="119" w:firstLine="480"/>
        <w:jc w:val="both"/>
      </w:pPr>
      <w:r>
        <w:rPr/>
        <w:t>公司将内部研究开发项目的支出，区分研究阶段支出与开发阶段支出进行相应 处理。研究阶段的支出，于发生时计入当期损益；开发阶段的支出，同时满足下列 </w:t>
      </w:r>
      <w:r>
        <w:rPr>
          <w:spacing w:val="-4"/>
        </w:rPr>
        <w:t>条件的确认为无形资产，否则于发生时计入当期损益：（</w:t>
      </w:r>
      <w:r>
        <w:rPr>
          <w:rFonts w:ascii="Times New Roman" w:hAnsi="Times New Roman" w:cs="Times New Roman" w:eastAsia="Times New Roman" w:hint="default"/>
          <w:spacing w:val="-4"/>
        </w:rPr>
        <w:t>1</w:t>
      </w:r>
      <w:r>
        <w:rPr>
          <w:spacing w:val="-4"/>
        </w:rPr>
        <w:t>）完成该无形资产以使其</w:t>
      </w:r>
      <w:r>
        <w:rPr>
          <w:spacing w:val="-92"/>
        </w:rPr>
        <w:t> </w:t>
      </w:r>
      <w:r>
        <w:rPr>
          <w:spacing w:val="-4"/>
        </w:rPr>
        <w:t>能够使用或出售在技术上具有可行性；（</w:t>
      </w:r>
      <w:r>
        <w:rPr>
          <w:rFonts w:ascii="Times New Roman" w:hAnsi="Times New Roman" w:cs="Times New Roman" w:eastAsia="Times New Roman" w:hint="default"/>
          <w:spacing w:val="-4"/>
        </w:rPr>
        <w:t>2</w:t>
      </w:r>
      <w:r>
        <w:rPr>
          <w:spacing w:val="-4"/>
        </w:rPr>
        <w:t>）具有完成该无形资产并使用或出售的意</w:t>
      </w:r>
      <w:r>
        <w:rPr>
          <w:spacing w:val="-92"/>
        </w:rPr>
        <w:t> </w:t>
      </w:r>
      <w:r>
        <w:rPr>
          <w:spacing w:val="-4"/>
        </w:rPr>
        <w:t>图；（</w:t>
      </w:r>
      <w:r>
        <w:rPr>
          <w:rFonts w:ascii="Times New Roman" w:hAnsi="Times New Roman" w:cs="Times New Roman" w:eastAsia="Times New Roman" w:hint="default"/>
          <w:spacing w:val="-4"/>
        </w:rPr>
        <w:t>3</w:t>
      </w:r>
      <w:r>
        <w:rPr>
          <w:spacing w:val="-4"/>
        </w:rPr>
        <w:t>）无形资产产生经济利益的方式，包括能够证明运用该无形资产生产的产品</w:t>
      </w:r>
      <w:r>
        <w:rPr>
          <w:spacing w:val="-92"/>
        </w:rPr>
        <w:t> </w:t>
      </w:r>
      <w:r>
        <w:rPr>
          <w:spacing w:val="-4"/>
        </w:rPr>
        <w:t>存在市场或无形资产自身存在市场，无形资产将在内部使用的，应当证明其有用性；</w:t>
      </w:r>
    </w:p>
    <w:p>
      <w:pPr>
        <w:pStyle w:val="BodyText"/>
        <w:spacing w:line="348" w:lineRule="auto" w:before="47"/>
        <w:ind w:left="239" w:right="0"/>
        <w:jc w:val="left"/>
      </w:pPr>
      <w:r>
        <w:rPr>
          <w:spacing w:val="-4"/>
        </w:rPr>
        <w:t>（</w:t>
      </w:r>
      <w:r>
        <w:rPr>
          <w:rFonts w:ascii="Times New Roman" w:hAnsi="Times New Roman" w:cs="Times New Roman" w:eastAsia="Times New Roman" w:hint="default"/>
          <w:spacing w:val="-4"/>
        </w:rPr>
        <w:t>4</w:t>
      </w:r>
      <w:r>
        <w:rPr>
          <w:spacing w:val="-4"/>
        </w:rPr>
        <w:t>）有足够的技术、财务资源和其他资源支持，以完成该无形资产的开发，并有能</w:t>
      </w:r>
      <w:r>
        <w:rPr>
          <w:spacing w:val="-92"/>
        </w:rPr>
        <w:t> </w:t>
      </w:r>
      <w:r>
        <w:rPr>
          <w:spacing w:val="-92"/>
        </w:rPr>
      </w:r>
      <w:r>
        <w:rPr>
          <w:spacing w:val="-7"/>
        </w:rPr>
        <w:t>力使用或出售该无形资产；（</w:t>
      </w:r>
      <w:r>
        <w:rPr>
          <w:rFonts w:ascii="Times New Roman" w:hAnsi="Times New Roman" w:cs="Times New Roman" w:eastAsia="Times New Roman" w:hint="default"/>
          <w:spacing w:val="-7"/>
        </w:rPr>
        <w:t>5</w:t>
      </w:r>
      <w:r>
        <w:rPr>
          <w:spacing w:val="-7"/>
        </w:rPr>
        <w:t>）归属于该无形资产开发阶段的支出能够可靠地计量。</w:t>
      </w:r>
      <w:r>
        <w:rPr>
          <w:spacing w:val="-94"/>
        </w:rPr>
        <w:t> </w:t>
      </w:r>
      <w:r>
        <w:rPr>
          <w:spacing w:val="-94"/>
        </w:rPr>
      </w:r>
      <w:r>
        <w:rPr/>
        <w:t>前期已计入损益的开发支出不在以后期间确认为资产。已资本化的开发阶段的支出 在资产负债表上列示为开发支出，自该项目达到预定可使用状态之日起转为无形资 产。公司根据上述原则</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年将</w:t>
      </w:r>
      <w:r>
        <w:rPr>
          <w:spacing w:val="-60"/>
        </w:rPr>
        <w:t> </w:t>
      </w:r>
      <w:r>
        <w:rPr>
          <w:rFonts w:ascii="Times New Roman" w:hAnsi="Times New Roman" w:cs="Times New Roman" w:eastAsia="Times New Roman" w:hint="default"/>
        </w:rPr>
        <w:t>750.35 </w:t>
      </w:r>
      <w:r>
        <w:rPr/>
        <w:t>万元开发支出资本化。</w:t>
      </w:r>
    </w:p>
    <w:p>
      <w:pPr>
        <w:spacing w:line="240" w:lineRule="auto" w:before="6"/>
        <w:rPr>
          <w:rFonts w:ascii="宋体" w:hAnsi="宋体" w:cs="宋体" w:eastAsia="宋体" w:hint="default"/>
          <w:sz w:val="19"/>
          <w:szCs w:val="19"/>
        </w:rPr>
      </w:pPr>
    </w:p>
    <w:p>
      <w:pPr>
        <w:spacing w:line="511" w:lineRule="auto" w:before="0"/>
        <w:ind w:left="719" w:right="3101"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、研发进展</w:t>
      </w:r>
      <w:r>
        <w:rPr>
          <w:rFonts w:ascii="宋体" w:hAnsi="宋体" w:cs="宋体" w:eastAsia="宋体" w:hint="default"/>
          <w:b/>
          <w:bCs/>
          <w:w w:val="99"/>
          <w:sz w:val="24"/>
          <w:szCs w:val="24"/>
        </w:rPr>
        <w:t> </w:t>
      </w:r>
      <w:r>
        <w:rPr>
          <w:rFonts w:ascii="宋体" w:hAnsi="宋体" w:cs="宋体" w:eastAsia="宋体" w:hint="default"/>
          <w:sz w:val="24"/>
          <w:szCs w:val="24"/>
        </w:rPr>
        <w:t>报告期内公司主要研发项目及研发进展情况如下：</w:t>
      </w:r>
    </w:p>
    <w:p>
      <w:pPr>
        <w:spacing w:line="240" w:lineRule="auto" w:before="1"/>
        <w:rPr>
          <w:rFonts w:ascii="宋体" w:hAnsi="宋体" w:cs="宋体" w:eastAsia="宋体" w:hint="default"/>
          <w:sz w:val="3"/>
          <w:szCs w:val="3"/>
        </w:rPr>
      </w:pPr>
    </w:p>
    <w:tbl>
      <w:tblPr>
        <w:tblW w:w="0" w:type="auto"/>
        <w:jc w:val="left"/>
        <w:tblInd w:w="116" w:type="dxa"/>
        <w:tblLayout w:type="fixed"/>
        <w:tblCellMar>
          <w:top w:w="0" w:type="dxa"/>
          <w:left w:w="0" w:type="dxa"/>
          <w:bottom w:w="0" w:type="dxa"/>
          <w:right w:w="0" w:type="dxa"/>
        </w:tblCellMar>
        <w:tblLook w:val="01E0"/>
      </w:tblPr>
      <w:tblGrid>
        <w:gridCol w:w="649"/>
        <w:gridCol w:w="1620"/>
        <w:gridCol w:w="3780"/>
        <w:gridCol w:w="2699"/>
      </w:tblGrid>
      <w:tr>
        <w:trPr>
          <w:trHeight w:val="417" w:hRule="exact"/>
        </w:trPr>
        <w:tc>
          <w:tcPr>
            <w:tcW w:w="649"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27"/>
              <w:ind w:right="7"/>
              <w:jc w:val="center"/>
              <w:rPr>
                <w:rFonts w:ascii="宋体" w:hAnsi="宋体" w:cs="宋体" w:eastAsia="宋体" w:hint="default"/>
                <w:sz w:val="21"/>
                <w:szCs w:val="21"/>
              </w:rPr>
            </w:pPr>
            <w:r>
              <w:rPr>
                <w:rFonts w:ascii="宋体" w:hAnsi="宋体" w:cs="宋体" w:eastAsia="宋体" w:hint="default"/>
                <w:sz w:val="21"/>
                <w:szCs w:val="21"/>
              </w:rPr>
              <w:t>序号</w:t>
            </w:r>
          </w:p>
        </w:tc>
        <w:tc>
          <w:tcPr>
            <w:tcW w:w="162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8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研发目标</w:t>
            </w:r>
          </w:p>
        </w:tc>
        <w:tc>
          <w:tcPr>
            <w:tcW w:w="2699"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27"/>
              <w:ind w:left="10" w:right="0"/>
              <w:jc w:val="center"/>
              <w:rPr>
                <w:rFonts w:ascii="宋体" w:hAnsi="宋体" w:cs="宋体" w:eastAsia="宋体" w:hint="default"/>
                <w:sz w:val="21"/>
                <w:szCs w:val="21"/>
              </w:rPr>
            </w:pPr>
            <w:r>
              <w:rPr>
                <w:rFonts w:ascii="宋体" w:hAnsi="宋体" w:cs="宋体" w:eastAsia="宋体" w:hint="default"/>
                <w:sz w:val="21"/>
                <w:szCs w:val="21"/>
              </w:rPr>
              <w:t>进展</w:t>
            </w:r>
          </w:p>
        </w:tc>
      </w:tr>
      <w:tr>
        <w:trPr>
          <w:trHeight w:val="837" w:hRule="exact"/>
        </w:trPr>
        <w:tc>
          <w:tcPr>
            <w:tcW w:w="64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1</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取证魔方</w:t>
            </w:r>
          </w:p>
        </w:tc>
        <w:tc>
          <w:tcPr>
            <w:tcW w:w="3780"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对取证魔方一代进行改造升级，对硬件</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进行全面改造，改善产品外观，提升硬 件性能同时升级硬件及软件，增加支持</w:t>
            </w:r>
          </w:p>
        </w:tc>
        <w:tc>
          <w:tcPr>
            <w:tcW w:w="2699" w:type="dxa"/>
            <w:tcBorders>
              <w:top w:val="single" w:sz="4" w:space="0" w:color="000000"/>
              <w:left w:val="single" w:sz="4" w:space="0" w:color="000000"/>
              <w:bottom w:val="single" w:sz="12" w:space="0" w:color="000000"/>
              <w:right w:val="single" w:sz="12" w:space="0" w:color="000000"/>
            </w:tcBorders>
          </w:tcPr>
          <w:p>
            <w:pPr>
              <w:pStyle w:val="TableParagraph"/>
              <w:spacing w:line="24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月份取证魔方二</w:t>
            </w:r>
          </w:p>
          <w:p>
            <w:pPr>
              <w:pStyle w:val="TableParagraph"/>
              <w:spacing w:line="272" w:lineRule="exact" w:before="18"/>
              <w:ind w:left="103" w:right="90"/>
              <w:jc w:val="left"/>
              <w:rPr>
                <w:rFonts w:ascii="宋体" w:hAnsi="宋体" w:cs="宋体" w:eastAsia="宋体" w:hint="default"/>
                <w:sz w:val="21"/>
                <w:szCs w:val="21"/>
              </w:rPr>
            </w:pPr>
            <w:r>
              <w:rPr>
                <w:rFonts w:ascii="宋体" w:hAnsi="宋体" w:cs="宋体" w:eastAsia="宋体" w:hint="default"/>
                <w:spacing w:val="-3"/>
                <w:sz w:val="21"/>
                <w:szCs w:val="21"/>
              </w:rPr>
              <w:t>代研发完成，并进入市场销</w:t>
            </w:r>
            <w:r>
              <w:rPr>
                <w:rFonts w:ascii="宋体" w:hAnsi="宋体" w:cs="宋体" w:eastAsia="宋体" w:hint="default"/>
                <w:sz w:val="21"/>
                <w:szCs w:val="21"/>
              </w:rPr>
              <w:t> 售。</w:t>
            </w:r>
          </w:p>
        </w:tc>
      </w:tr>
    </w:tbl>
    <w:p>
      <w:pPr>
        <w:spacing w:after="0" w:line="272" w:lineRule="exact"/>
        <w:jc w:val="left"/>
        <w:rPr>
          <w:rFonts w:ascii="宋体" w:hAnsi="宋体" w:cs="宋体" w:eastAsia="宋体" w:hint="default"/>
          <w:sz w:val="21"/>
          <w:szCs w:val="21"/>
        </w:rPr>
        <w:sectPr>
          <w:pgSz w:w="12240" w:h="15840"/>
          <w:pgMar w:header="0" w:footer="688" w:top="144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649"/>
        <w:gridCol w:w="1620"/>
        <w:gridCol w:w="3780"/>
        <w:gridCol w:w="2699"/>
      </w:tblGrid>
      <w:tr>
        <w:trPr>
          <w:trHeight w:val="407" w:hRule="exact"/>
        </w:trPr>
        <w:tc>
          <w:tcPr>
            <w:tcW w:w="649" w:type="dxa"/>
            <w:tcBorders>
              <w:top w:val="single" w:sz="4" w:space="0" w:color="000000"/>
              <w:left w:val="single" w:sz="12"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的并发操作数。</w:t>
            </w:r>
          </w:p>
        </w:tc>
        <w:tc>
          <w:tcPr>
            <w:tcW w:w="2699" w:type="dxa"/>
            <w:tcBorders>
              <w:top w:val="single" w:sz="4" w:space="0" w:color="000000"/>
              <w:left w:val="single" w:sz="4" w:space="0" w:color="000000"/>
              <w:bottom w:val="single" w:sz="4" w:space="0" w:color="000000"/>
              <w:right w:val="single" w:sz="12" w:space="0" w:color="000000"/>
            </w:tcBorders>
          </w:tcPr>
          <w:p>
            <w:pPr/>
          </w:p>
        </w:tc>
      </w:tr>
      <w:tr>
        <w:trPr>
          <w:trHeight w:val="1099"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2"/>
              <w:ind w:left="103" w:right="0"/>
              <w:jc w:val="left"/>
              <w:rPr>
                <w:rFonts w:ascii="宋体" w:hAnsi="宋体" w:cs="宋体" w:eastAsia="宋体" w:hint="default"/>
                <w:sz w:val="21"/>
                <w:szCs w:val="21"/>
              </w:rPr>
            </w:pPr>
            <w:r>
              <w:rPr>
                <w:rFonts w:ascii="宋体" w:hAnsi="宋体" w:cs="宋体" w:eastAsia="宋体" w:hint="default"/>
                <w:sz w:val="21"/>
                <w:szCs w:val="21"/>
              </w:rPr>
              <w:t>取证塔</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对取证塔一代进行改造升级，全面提升</w:t>
            </w:r>
          </w:p>
          <w:p>
            <w:pPr>
              <w:pStyle w:val="TableParagraph"/>
              <w:spacing w:line="272" w:lineRule="exact" w:before="26"/>
              <w:ind w:left="103" w:right="95"/>
              <w:jc w:val="both"/>
              <w:rPr>
                <w:rFonts w:ascii="宋体" w:hAnsi="宋体" w:cs="宋体" w:eastAsia="宋体" w:hint="default"/>
                <w:sz w:val="21"/>
                <w:szCs w:val="21"/>
              </w:rPr>
            </w:pPr>
            <w:r>
              <w:rPr>
                <w:rFonts w:ascii="宋体" w:hAnsi="宋体" w:cs="宋体" w:eastAsia="宋体" w:hint="default"/>
                <w:sz w:val="21"/>
                <w:szCs w:val="21"/>
              </w:rPr>
              <w:t>硬件性能，升级操作系统及网络支持， 并研发相应的软件系统，以支持网络存 储的全面利用。</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6" w:lineRule="exact"/>
              <w:ind w:left="103" w:right="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月取证塔产品完</w:t>
            </w:r>
          </w:p>
          <w:p>
            <w:pPr>
              <w:pStyle w:val="TableParagraph"/>
              <w:spacing w:line="272" w:lineRule="exact" w:before="18"/>
              <w:ind w:left="103" w:right="90"/>
              <w:jc w:val="both"/>
              <w:rPr>
                <w:rFonts w:ascii="宋体" w:hAnsi="宋体" w:cs="宋体" w:eastAsia="宋体" w:hint="default"/>
                <w:sz w:val="21"/>
                <w:szCs w:val="21"/>
              </w:rPr>
            </w:pPr>
            <w:r>
              <w:rPr>
                <w:rFonts w:ascii="宋体" w:hAnsi="宋体" w:cs="宋体" w:eastAsia="宋体" w:hint="default"/>
                <w:spacing w:val="-3"/>
                <w:sz w:val="21"/>
                <w:szCs w:val="21"/>
              </w:rPr>
              <w:t>成升级改造，全面从一代升</w:t>
            </w:r>
            <w:r>
              <w:rPr>
                <w:rFonts w:ascii="宋体" w:hAnsi="宋体" w:cs="宋体" w:eastAsia="宋体" w:hint="default"/>
                <w:sz w:val="21"/>
                <w:szCs w:val="21"/>
              </w:rPr>
              <w:t> </w:t>
            </w:r>
            <w:r>
              <w:rPr>
                <w:rFonts w:ascii="宋体" w:hAnsi="宋体" w:cs="宋体" w:eastAsia="宋体" w:hint="default"/>
                <w:spacing w:val="-3"/>
                <w:sz w:val="21"/>
                <w:szCs w:val="21"/>
              </w:rPr>
              <w:t>级到二代产品。已进入市场</w:t>
            </w:r>
            <w:r>
              <w:rPr>
                <w:rFonts w:ascii="宋体" w:hAnsi="宋体" w:cs="宋体" w:eastAsia="宋体" w:hint="default"/>
                <w:sz w:val="21"/>
                <w:szCs w:val="21"/>
              </w:rPr>
              <w:t> 销售。</w:t>
            </w:r>
          </w:p>
        </w:tc>
      </w:tr>
      <w:tr>
        <w:trPr>
          <w:trHeight w:val="828"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数据销毁设备</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研发出符合国际及国家保密标准的数</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据销毁及消除系统，数据消除可以多路 并发操作，速度达到国际领先水平。</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6"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15"/>
                <w:sz w:val="21"/>
                <w:szCs w:val="21"/>
              </w:rPr>
              <w:t> </w:t>
            </w:r>
            <w:r>
              <w:rPr>
                <w:rFonts w:ascii="宋体" w:hAnsi="宋体" w:cs="宋体" w:eastAsia="宋体" w:hint="default"/>
                <w:spacing w:val="7"/>
                <w:sz w:val="21"/>
                <w:szCs w:val="21"/>
              </w:rPr>
              <w:t>年完成了多种销毁产</w:t>
            </w:r>
          </w:p>
          <w:p>
            <w:pPr>
              <w:pStyle w:val="TableParagraph"/>
              <w:spacing w:line="272" w:lineRule="exact" w:before="18"/>
              <w:ind w:left="103" w:right="90"/>
              <w:jc w:val="left"/>
              <w:rPr>
                <w:rFonts w:ascii="宋体" w:hAnsi="宋体" w:cs="宋体" w:eastAsia="宋体" w:hint="default"/>
                <w:sz w:val="21"/>
                <w:szCs w:val="21"/>
              </w:rPr>
            </w:pPr>
            <w:r>
              <w:rPr>
                <w:rFonts w:ascii="宋体" w:hAnsi="宋体" w:cs="宋体" w:eastAsia="宋体" w:hint="default"/>
                <w:spacing w:val="-3"/>
                <w:sz w:val="21"/>
                <w:szCs w:val="21"/>
              </w:rPr>
              <w:t>品，相关产品已进入市场销</w:t>
            </w:r>
            <w:r>
              <w:rPr>
                <w:rFonts w:ascii="宋体" w:hAnsi="宋体" w:cs="宋体" w:eastAsia="宋体" w:hint="default"/>
                <w:sz w:val="21"/>
                <w:szCs w:val="21"/>
              </w:rPr>
              <w:t> 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现场取证设备</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提升现场取证设备的软硬件系统功能，</w:t>
            </w:r>
          </w:p>
          <w:p>
            <w:pPr>
              <w:pStyle w:val="TableParagraph"/>
              <w:spacing w:line="272" w:lineRule="exact" w:before="26"/>
              <w:ind w:left="103" w:right="99"/>
              <w:jc w:val="left"/>
              <w:rPr>
                <w:rFonts w:ascii="宋体" w:hAnsi="宋体" w:cs="宋体" w:eastAsia="宋体" w:hint="default"/>
                <w:sz w:val="21"/>
                <w:szCs w:val="21"/>
              </w:rPr>
            </w:pPr>
            <w:r>
              <w:rPr>
                <w:rFonts w:ascii="宋体" w:hAnsi="宋体" w:cs="宋体" w:eastAsia="宋体" w:hint="default"/>
                <w:spacing w:val="12"/>
                <w:sz w:val="21"/>
                <w:szCs w:val="21"/>
              </w:rPr>
              <w:t>并针对各行业需求定制专用的现场取</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证产品。</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54"/>
              <w:jc w:val="right"/>
              <w:rPr>
                <w:rFonts w:ascii="宋体" w:hAnsi="宋体" w:cs="宋体" w:eastAsia="宋体" w:hint="default"/>
                <w:sz w:val="21"/>
                <w:szCs w:val="21"/>
              </w:rPr>
            </w:pPr>
            <w:r>
              <w:rPr>
                <w:rFonts w:ascii="宋体" w:hAnsi="宋体" w:cs="宋体" w:eastAsia="宋体" w:hint="default"/>
                <w:sz w:val="21"/>
                <w:szCs w:val="21"/>
              </w:rPr>
              <w:t>相关产品已进入市场销售。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动态仿真取证</w:t>
            </w:r>
            <w:r>
              <w:rPr>
                <w:rFonts w:ascii="宋体" w:hAnsi="宋体" w:cs="宋体" w:eastAsia="宋体" w:hint="default"/>
                <w:spacing w:val="-77"/>
                <w:sz w:val="21"/>
                <w:szCs w:val="21"/>
              </w:rPr>
              <w:t> </w:t>
            </w:r>
            <w:r>
              <w:rPr>
                <w:rFonts w:ascii="宋体" w:hAnsi="宋体" w:cs="宋体" w:eastAsia="宋体" w:hint="default"/>
                <w:sz w:val="21"/>
                <w:szCs w:val="21"/>
              </w:rPr>
              <w:t>系统</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对现有仿真系列产品进行升级改造，提</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高对操作系统的仿真成功率，提高系统 的易用性，扩展系统的适用范围。</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54"/>
              <w:jc w:val="right"/>
              <w:rPr>
                <w:rFonts w:ascii="宋体" w:hAnsi="宋体" w:cs="宋体" w:eastAsia="宋体" w:hint="default"/>
                <w:sz w:val="21"/>
                <w:szCs w:val="21"/>
              </w:rPr>
            </w:pPr>
            <w:r>
              <w:rPr>
                <w:rFonts w:ascii="宋体" w:hAnsi="宋体" w:cs="宋体" w:eastAsia="宋体" w:hint="default"/>
                <w:sz w:val="21"/>
                <w:szCs w:val="21"/>
              </w:rPr>
              <w:t>相关产品已进入市场销售。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高速硬盘复制</w:t>
            </w:r>
            <w:r>
              <w:rPr>
                <w:rFonts w:ascii="宋体" w:hAnsi="宋体" w:cs="宋体" w:eastAsia="宋体" w:hint="default"/>
                <w:spacing w:val="-77"/>
                <w:sz w:val="21"/>
                <w:szCs w:val="21"/>
              </w:rPr>
              <w:t> </w:t>
            </w:r>
            <w:r>
              <w:rPr>
                <w:rFonts w:ascii="宋体" w:hAnsi="宋体" w:cs="宋体" w:eastAsia="宋体" w:hint="default"/>
                <w:sz w:val="21"/>
                <w:szCs w:val="21"/>
              </w:rPr>
              <w:t>设备</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对现有的硬盘复制设备进行升级，完善</w:t>
            </w:r>
          </w:p>
          <w:p>
            <w:pPr>
              <w:pStyle w:val="TableParagraph"/>
              <w:spacing w:line="272" w:lineRule="exact" w:before="26"/>
              <w:ind w:left="103" w:right="102"/>
              <w:jc w:val="left"/>
              <w:rPr>
                <w:rFonts w:ascii="宋体" w:hAnsi="宋体" w:cs="宋体" w:eastAsia="宋体" w:hint="default"/>
                <w:sz w:val="21"/>
                <w:szCs w:val="21"/>
              </w:rPr>
            </w:pPr>
            <w:r>
              <w:rPr>
                <w:rFonts w:ascii="宋体" w:hAnsi="宋体" w:cs="宋体" w:eastAsia="宋体" w:hint="default"/>
                <w:sz w:val="21"/>
                <w:szCs w:val="21"/>
              </w:rPr>
              <w:t>接口支持，增加产品功能，全面提升复 制速度。</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54"/>
              <w:jc w:val="right"/>
              <w:rPr>
                <w:rFonts w:ascii="宋体" w:hAnsi="宋体" w:cs="宋体" w:eastAsia="宋体" w:hint="default"/>
                <w:sz w:val="21"/>
                <w:szCs w:val="21"/>
              </w:rPr>
            </w:pPr>
            <w:r>
              <w:rPr>
                <w:rFonts w:ascii="宋体" w:hAnsi="宋体" w:cs="宋体" w:eastAsia="宋体" w:hint="default"/>
                <w:sz w:val="21"/>
                <w:szCs w:val="21"/>
              </w:rPr>
              <w:t>相关产品已进入市场销售。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电子数据取证</w:t>
            </w:r>
            <w:r>
              <w:rPr>
                <w:rFonts w:ascii="宋体" w:hAnsi="宋体" w:cs="宋体" w:eastAsia="宋体" w:hint="default"/>
                <w:spacing w:val="-77"/>
                <w:sz w:val="21"/>
                <w:szCs w:val="21"/>
              </w:rPr>
              <w:t> </w:t>
            </w:r>
            <w:r>
              <w:rPr>
                <w:rFonts w:ascii="宋体" w:hAnsi="宋体" w:cs="宋体" w:eastAsia="宋体" w:hint="default"/>
                <w:sz w:val="21"/>
                <w:szCs w:val="21"/>
              </w:rPr>
              <w:t>综合平台</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2"/>
                <w:sz w:val="21"/>
                <w:szCs w:val="21"/>
              </w:rPr>
              <w:t>将最新的电子数据取证设备和功能集</w:t>
            </w:r>
          </w:p>
          <w:p>
            <w:pPr>
              <w:pStyle w:val="TableParagraph"/>
              <w:spacing w:line="272" w:lineRule="exact" w:before="26"/>
              <w:ind w:left="103" w:right="95"/>
              <w:jc w:val="left"/>
              <w:rPr>
                <w:rFonts w:ascii="宋体" w:hAnsi="宋体" w:cs="宋体" w:eastAsia="宋体" w:hint="default"/>
                <w:sz w:val="21"/>
                <w:szCs w:val="21"/>
              </w:rPr>
            </w:pPr>
            <w:r>
              <w:rPr>
                <w:rFonts w:ascii="宋体" w:hAnsi="宋体" w:cs="宋体" w:eastAsia="宋体" w:hint="default"/>
                <w:sz w:val="21"/>
                <w:szCs w:val="21"/>
              </w:rPr>
              <w:t>成到取证综合平台中，不断完善电子数 据取证综合平台的功能，提升其性能。</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54"/>
              <w:jc w:val="right"/>
              <w:rPr>
                <w:rFonts w:ascii="宋体" w:hAnsi="宋体" w:cs="宋体" w:eastAsia="宋体" w:hint="default"/>
                <w:sz w:val="21"/>
                <w:szCs w:val="21"/>
              </w:rPr>
            </w:pPr>
            <w:r>
              <w:rPr>
                <w:rFonts w:ascii="宋体" w:hAnsi="宋体" w:cs="宋体" w:eastAsia="宋体" w:hint="default"/>
                <w:sz w:val="21"/>
                <w:szCs w:val="21"/>
              </w:rPr>
              <w:t>相关产品已进入市场销售。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勘查取证车</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99"/>
              <w:jc w:val="left"/>
              <w:rPr>
                <w:rFonts w:ascii="宋体" w:hAnsi="宋体" w:cs="宋体" w:eastAsia="宋体" w:hint="default"/>
                <w:sz w:val="21"/>
                <w:szCs w:val="21"/>
              </w:rPr>
            </w:pPr>
            <w:r>
              <w:rPr>
                <w:rFonts w:ascii="宋体" w:hAnsi="宋体" w:cs="宋体" w:eastAsia="宋体" w:hint="default"/>
                <w:spacing w:val="12"/>
                <w:sz w:val="21"/>
                <w:szCs w:val="21"/>
              </w:rPr>
              <w:t>将多种电子数据取证设备集成到取证</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车上，实现一个移动取证实验室。</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相关产品已经在多次现场</w:t>
            </w:r>
          </w:p>
          <w:p>
            <w:pPr>
              <w:pStyle w:val="TableParagraph"/>
              <w:spacing w:line="272" w:lineRule="exact" w:before="26"/>
              <w:ind w:left="103" w:right="54"/>
              <w:jc w:val="left"/>
              <w:rPr>
                <w:rFonts w:ascii="宋体" w:hAnsi="宋体" w:cs="宋体" w:eastAsia="宋体" w:hint="default"/>
                <w:sz w:val="21"/>
                <w:szCs w:val="21"/>
              </w:rPr>
            </w:pPr>
            <w:r>
              <w:rPr>
                <w:rFonts w:ascii="宋体" w:hAnsi="宋体" w:cs="宋体" w:eastAsia="宋体" w:hint="default"/>
                <w:sz w:val="21"/>
                <w:szCs w:val="21"/>
              </w:rPr>
              <w:t>技术支持中发挥重要作用， 并已进入市场销售。</w:t>
            </w:r>
          </w:p>
        </w:tc>
      </w:tr>
      <w:tr>
        <w:trPr>
          <w:trHeight w:val="828"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8"/>
              <w:jc w:val="center"/>
              <w:rPr>
                <w:rFonts w:ascii="Times New Roman" w:hAnsi="Times New Roman" w:cs="Times New Roman" w:eastAsia="Times New Roman" w:hint="default"/>
                <w:sz w:val="21"/>
                <w:szCs w:val="21"/>
              </w:rPr>
            </w:pPr>
            <w:r>
              <w:rPr>
                <w:rFonts w:ascii="Times New Roman"/>
                <w:sz w:val="21"/>
              </w:rPr>
              <w:t>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手机取证一体</w:t>
            </w:r>
            <w:r>
              <w:rPr>
                <w:rFonts w:ascii="宋体" w:hAnsi="宋体" w:cs="宋体" w:eastAsia="宋体" w:hint="default"/>
                <w:spacing w:val="-77"/>
                <w:sz w:val="21"/>
                <w:szCs w:val="21"/>
              </w:rPr>
              <w:t> </w:t>
            </w:r>
            <w:r>
              <w:rPr>
                <w:rFonts w:ascii="宋体" w:hAnsi="宋体" w:cs="宋体" w:eastAsia="宋体" w:hint="default"/>
                <w:sz w:val="21"/>
                <w:szCs w:val="21"/>
              </w:rPr>
              <w:t>机</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实现从手机数据采集、数据取证分析至</w:t>
            </w:r>
          </w:p>
          <w:p>
            <w:pPr>
              <w:pStyle w:val="TableParagraph"/>
              <w:spacing w:line="272" w:lineRule="exact" w:before="26"/>
              <w:ind w:left="103" w:right="101"/>
              <w:jc w:val="left"/>
              <w:rPr>
                <w:rFonts w:ascii="宋体" w:hAnsi="宋体" w:cs="宋体" w:eastAsia="宋体" w:hint="default"/>
                <w:sz w:val="21"/>
                <w:szCs w:val="21"/>
              </w:rPr>
            </w:pPr>
            <w:r>
              <w:rPr>
                <w:rFonts w:ascii="宋体" w:hAnsi="宋体" w:cs="宋体" w:eastAsia="宋体" w:hint="default"/>
                <w:sz w:val="21"/>
                <w:szCs w:val="21"/>
              </w:rPr>
              <w:t>形成报告的一体化手机取证设备；增加 新型号手机取证功能。</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right="54"/>
              <w:jc w:val="right"/>
              <w:rPr>
                <w:rFonts w:ascii="宋体" w:hAnsi="宋体" w:cs="宋体" w:eastAsia="宋体" w:hint="default"/>
                <w:sz w:val="21"/>
                <w:szCs w:val="21"/>
              </w:rPr>
            </w:pPr>
            <w:r>
              <w:rPr>
                <w:rFonts w:ascii="宋体" w:hAnsi="宋体" w:cs="宋体" w:eastAsia="宋体" w:hint="default"/>
                <w:sz w:val="21"/>
                <w:szCs w:val="21"/>
              </w:rPr>
              <w:t>相关产品已经入市场销售。</w:t>
            </w:r>
          </w:p>
        </w:tc>
      </w:tr>
      <w:tr>
        <w:trPr>
          <w:trHeight w:val="1099"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10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2"/>
              <w:ind w:left="103" w:right="0"/>
              <w:jc w:val="left"/>
              <w:rPr>
                <w:rFonts w:ascii="宋体" w:hAnsi="宋体" w:cs="宋体" w:eastAsia="宋体" w:hint="default"/>
                <w:sz w:val="21"/>
                <w:szCs w:val="21"/>
              </w:rPr>
            </w:pPr>
            <w:r>
              <w:rPr>
                <w:rFonts w:ascii="宋体" w:hAnsi="宋体" w:cs="宋体" w:eastAsia="宋体" w:hint="default"/>
                <w:sz w:val="21"/>
                <w:szCs w:val="21"/>
              </w:rPr>
              <w:t>取证大师</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取证大师软件系统升级研发，优化文件</w:t>
            </w:r>
          </w:p>
          <w:p>
            <w:pPr>
              <w:pStyle w:val="TableParagraph"/>
              <w:spacing w:line="272" w:lineRule="exact" w:before="26"/>
              <w:ind w:left="103" w:right="99"/>
              <w:jc w:val="both"/>
              <w:rPr>
                <w:rFonts w:ascii="宋体" w:hAnsi="宋体" w:cs="宋体" w:eastAsia="宋体" w:hint="default"/>
                <w:sz w:val="21"/>
                <w:szCs w:val="21"/>
              </w:rPr>
            </w:pPr>
            <w:r>
              <w:rPr>
                <w:rFonts w:ascii="宋体" w:hAnsi="宋体" w:cs="宋体" w:eastAsia="宋体" w:hint="default"/>
                <w:sz w:val="21"/>
                <w:szCs w:val="21"/>
              </w:rPr>
              <w:t>加载速度和删除数据恢复速度；增加镜 </w:t>
            </w:r>
            <w:r>
              <w:rPr>
                <w:rFonts w:ascii="宋体" w:hAnsi="宋体" w:cs="宋体" w:eastAsia="宋体" w:hint="default"/>
                <w:spacing w:val="12"/>
                <w:sz w:val="21"/>
                <w:szCs w:val="21"/>
              </w:rPr>
              <w:t>像文件支持率；增强并行取证分析功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能；增加与取证服务云的联动。</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2"/>
              <w:ind w:right="54"/>
              <w:jc w:val="right"/>
              <w:rPr>
                <w:rFonts w:ascii="宋体" w:hAnsi="宋体" w:cs="宋体" w:eastAsia="宋体" w:hint="default"/>
                <w:sz w:val="21"/>
                <w:szCs w:val="21"/>
              </w:rPr>
            </w:pPr>
            <w:r>
              <w:rPr>
                <w:rFonts w:ascii="宋体" w:hAnsi="宋体" w:cs="宋体" w:eastAsia="宋体" w:hint="default"/>
                <w:sz w:val="21"/>
                <w:szCs w:val="21"/>
              </w:rPr>
              <w:t>相关产品已经入市场销售。</w:t>
            </w:r>
          </w:p>
        </w:tc>
      </w:tr>
      <w:tr>
        <w:trPr>
          <w:trHeight w:val="827"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17"/>
              <w:jc w:val="center"/>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互联网舆情分</w:t>
            </w:r>
            <w:r>
              <w:rPr>
                <w:rFonts w:ascii="宋体" w:hAnsi="宋体" w:cs="宋体" w:eastAsia="宋体" w:hint="default"/>
                <w:spacing w:val="-77"/>
                <w:sz w:val="21"/>
                <w:szCs w:val="21"/>
              </w:rPr>
              <w:t> </w:t>
            </w:r>
            <w:r>
              <w:rPr>
                <w:rFonts w:ascii="宋体" w:hAnsi="宋体" w:cs="宋体" w:eastAsia="宋体" w:hint="default"/>
                <w:sz w:val="21"/>
                <w:szCs w:val="21"/>
              </w:rPr>
              <w:t>析系统</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互联网舆情分析系统升级研发，增强微</w:t>
            </w:r>
          </w:p>
          <w:p>
            <w:pPr>
              <w:pStyle w:val="TableParagraph"/>
              <w:spacing w:line="272" w:lineRule="exact" w:before="26"/>
              <w:ind w:left="103" w:right="102"/>
              <w:jc w:val="left"/>
              <w:rPr>
                <w:rFonts w:ascii="宋体" w:hAnsi="宋体" w:cs="宋体" w:eastAsia="宋体" w:hint="default"/>
                <w:sz w:val="21"/>
                <w:szCs w:val="21"/>
              </w:rPr>
            </w:pPr>
            <w:r>
              <w:rPr>
                <w:rFonts w:ascii="宋体" w:hAnsi="宋体" w:cs="宋体" w:eastAsia="宋体" w:hint="default"/>
                <w:sz w:val="21"/>
                <w:szCs w:val="21"/>
              </w:rPr>
              <w:t>博、论坛数据分析功能；增强海量数据 抓取分析功能等。</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72" w:lineRule="exact" w:before="128"/>
              <w:ind w:left="103" w:right="90"/>
              <w:jc w:val="left"/>
              <w:rPr>
                <w:rFonts w:ascii="宋体" w:hAnsi="宋体" w:cs="宋体" w:eastAsia="宋体" w:hint="default"/>
                <w:sz w:val="21"/>
                <w:szCs w:val="21"/>
              </w:rPr>
            </w:pPr>
            <w:r>
              <w:rPr>
                <w:rFonts w:ascii="宋体" w:hAnsi="宋体" w:cs="宋体" w:eastAsia="宋体" w:hint="default"/>
                <w:spacing w:val="-3"/>
                <w:sz w:val="21"/>
                <w:szCs w:val="21"/>
              </w:rPr>
              <w:t>发布了多个升级版本，相关</w:t>
            </w:r>
            <w:r>
              <w:rPr>
                <w:rFonts w:ascii="宋体" w:hAnsi="宋体" w:cs="宋体" w:eastAsia="宋体" w:hint="default"/>
                <w:sz w:val="21"/>
                <w:szCs w:val="21"/>
              </w:rPr>
              <w:t> 产品已进入市场销售。</w:t>
            </w:r>
          </w:p>
        </w:tc>
      </w:tr>
      <w:tr>
        <w:trPr>
          <w:trHeight w:val="554"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49"/>
              <w:ind w:right="7"/>
              <w:jc w:val="center"/>
              <w:rPr>
                <w:rFonts w:ascii="Times New Roman" w:hAnsi="Times New Roman" w:cs="Times New Roman" w:eastAsia="Times New Roman" w:hint="default"/>
                <w:sz w:val="21"/>
                <w:szCs w:val="21"/>
              </w:rPr>
            </w:pPr>
            <w:r>
              <w:rPr>
                <w:rFonts w:ascii="Times New Roman"/>
                <w:sz w:val="21"/>
              </w:rPr>
              <w:t>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10"/>
                <w:sz w:val="21"/>
                <w:szCs w:val="21"/>
              </w:rPr>
              <w:t>超算平台（云计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算平台）建设</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一期实现</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万亿次</w:t>
            </w:r>
            <w:r>
              <w:rPr>
                <w:rFonts w:ascii="Times New Roman" w:hAnsi="Times New Roman" w:cs="Times New Roman" w:eastAsia="Times New Roman" w:hint="default"/>
                <w:sz w:val="21"/>
                <w:szCs w:val="21"/>
              </w:rPr>
              <w:t>/</w:t>
            </w:r>
            <w:r>
              <w:rPr>
                <w:rFonts w:ascii="宋体" w:hAnsi="宋体" w:cs="宋体" w:eastAsia="宋体" w:hint="default"/>
                <w:spacing w:val="-2"/>
                <w:sz w:val="21"/>
                <w:szCs w:val="21"/>
              </w:rPr>
              <w:t>秒</w:t>
            </w:r>
            <w:r>
              <w:rPr>
                <w:rFonts w:ascii="宋体" w:hAnsi="宋体" w:cs="宋体" w:eastAsia="宋体" w:hint="default"/>
                <w:sz w:val="21"/>
                <w:szCs w:val="21"/>
              </w:rPr>
              <w:t>计算能力</w:t>
            </w:r>
            <w:r>
              <w:rPr>
                <w:rFonts w:ascii="宋体" w:hAnsi="宋体" w:cs="宋体" w:eastAsia="宋体" w:hint="default"/>
                <w:spacing w:val="-105"/>
                <w:sz w:val="21"/>
                <w:szCs w:val="21"/>
              </w:rPr>
              <w:t>、</w:t>
            </w:r>
            <w:r>
              <w:rPr>
                <w:rFonts w:ascii="Times New Roman" w:hAnsi="Times New Roman" w:cs="Times New Roman" w:eastAsia="Times New Roman" w:hint="default"/>
                <w:spacing w:val="-1"/>
                <w:sz w:val="21"/>
                <w:szCs w:val="21"/>
              </w:rPr>
              <w:t>50TB</w:t>
            </w:r>
            <w:r>
              <w:rPr>
                <w:rFonts w:ascii="Times New Roman" w:hAnsi="Times New Roman" w:cs="Times New Roman" w:eastAsia="Times New Roman" w:hint="default"/>
                <w:sz w:val="21"/>
                <w:szCs w:val="21"/>
              </w:rPr>
            </w:r>
          </w:p>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存储能力。</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46" w:lineRule="exact"/>
              <w:ind w:left="103" w:right="0"/>
              <w:jc w:val="left"/>
              <w:rPr>
                <w:rFonts w:ascii="Times New Roman" w:hAnsi="Times New Roman" w:cs="Times New Roman" w:eastAsia="Times New Roman" w:hint="default"/>
                <w:sz w:val="21"/>
                <w:szCs w:val="21"/>
              </w:rPr>
            </w:pPr>
            <w:r>
              <w:rPr>
                <w:rFonts w:ascii="宋体" w:hAnsi="宋体" w:cs="宋体" w:eastAsia="宋体" w:hint="default"/>
                <w:spacing w:val="17"/>
                <w:sz w:val="21"/>
                <w:szCs w:val="21"/>
              </w:rPr>
              <w:t>一期建设已经完成，</w:t>
            </w:r>
            <w:r>
              <w:rPr>
                <w:rFonts w:ascii="宋体" w:hAnsi="宋体" w:cs="宋体" w:eastAsia="宋体" w:hint="default"/>
                <w:spacing w:val="-88"/>
                <w:sz w:val="21"/>
                <w:szCs w:val="21"/>
              </w:rPr>
              <w:t> </w:t>
            </w:r>
            <w:r>
              <w:rPr>
                <w:rFonts w:ascii="Times New Roman" w:hAnsi="Times New Roman" w:cs="Times New Roman" w:eastAsia="Times New Roman" w:hint="default"/>
                <w:sz w:val="21"/>
                <w:szCs w:val="21"/>
              </w:rPr>
              <w:t>2012</w:t>
            </w:r>
          </w:p>
          <w:p>
            <w:pPr>
              <w:pStyle w:val="TableParagraph"/>
              <w:spacing w:line="282" w:lineRule="exact"/>
              <w:ind w:left="103"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月份全面运营。</w:t>
            </w:r>
          </w:p>
        </w:tc>
      </w:tr>
      <w:tr>
        <w:trPr>
          <w:trHeight w:val="1099"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13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03" w:right="72"/>
              <w:jc w:val="left"/>
              <w:rPr>
                <w:rFonts w:ascii="宋体" w:hAnsi="宋体" w:cs="宋体" w:eastAsia="宋体" w:hint="default"/>
                <w:sz w:val="21"/>
                <w:szCs w:val="21"/>
              </w:rPr>
            </w:pPr>
            <w:r>
              <w:rPr>
                <w:rFonts w:ascii="宋体" w:hAnsi="宋体" w:cs="宋体" w:eastAsia="宋体" w:hint="default"/>
                <w:spacing w:val="23"/>
                <w:sz w:val="21"/>
                <w:szCs w:val="21"/>
              </w:rPr>
              <w:t>搜索云服务平</w:t>
            </w:r>
            <w:r>
              <w:rPr>
                <w:rFonts w:ascii="宋体" w:hAnsi="宋体" w:cs="宋体" w:eastAsia="宋体" w:hint="default"/>
                <w:spacing w:val="-77"/>
                <w:sz w:val="21"/>
                <w:szCs w:val="21"/>
              </w:rPr>
              <w:t> </w:t>
            </w:r>
            <w:r>
              <w:rPr>
                <w:rFonts w:ascii="宋体" w:hAnsi="宋体" w:cs="宋体" w:eastAsia="宋体" w:hint="default"/>
                <w:sz w:val="21"/>
                <w:szCs w:val="21"/>
              </w:rPr>
              <w:t>台</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103" w:right="99"/>
              <w:jc w:val="both"/>
              <w:rPr>
                <w:rFonts w:ascii="宋体" w:hAnsi="宋体" w:cs="宋体" w:eastAsia="宋体" w:hint="default"/>
                <w:sz w:val="21"/>
                <w:szCs w:val="21"/>
              </w:rPr>
            </w:pPr>
            <w:r>
              <w:rPr>
                <w:rFonts w:ascii="宋体" w:hAnsi="宋体" w:cs="宋体" w:eastAsia="宋体" w:hint="default"/>
                <w:sz w:val="21"/>
                <w:szCs w:val="21"/>
              </w:rPr>
              <w:t>搜索云服务平台的建设和运营，为司法 </w:t>
            </w:r>
            <w:r>
              <w:rPr>
                <w:rFonts w:ascii="宋体" w:hAnsi="宋体" w:cs="宋体" w:eastAsia="宋体" w:hint="default"/>
                <w:spacing w:val="12"/>
                <w:sz w:val="21"/>
                <w:szCs w:val="21"/>
              </w:rPr>
              <w:t>机关及企事业单位用户提供信息搜索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和分析服务。</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15"/>
                <w:sz w:val="21"/>
                <w:szCs w:val="21"/>
              </w:rPr>
              <w:t>硬件平台和软件系统持续</w:t>
            </w:r>
          </w:p>
          <w:p>
            <w:pPr>
              <w:pStyle w:val="TableParagraph"/>
              <w:spacing w:line="272" w:lineRule="exact" w:before="26"/>
              <w:ind w:left="103" w:right="90"/>
              <w:jc w:val="both"/>
              <w:rPr>
                <w:rFonts w:ascii="宋体" w:hAnsi="宋体" w:cs="宋体" w:eastAsia="宋体" w:hint="default"/>
                <w:sz w:val="21"/>
                <w:szCs w:val="21"/>
              </w:rPr>
            </w:pPr>
            <w:r>
              <w:rPr>
                <w:rFonts w:ascii="宋体" w:hAnsi="宋体" w:cs="宋体" w:eastAsia="宋体" w:hint="default"/>
                <w:spacing w:val="-3"/>
                <w:sz w:val="21"/>
                <w:szCs w:val="21"/>
              </w:rPr>
              <w:t>完善中，成立了专门的运营</w:t>
            </w:r>
            <w:r>
              <w:rPr>
                <w:rFonts w:ascii="宋体" w:hAnsi="宋体" w:cs="宋体" w:eastAsia="宋体" w:hint="default"/>
                <w:sz w:val="21"/>
                <w:szCs w:val="21"/>
              </w:rPr>
              <w:t> </w:t>
            </w:r>
            <w:r>
              <w:rPr>
                <w:rFonts w:ascii="宋体" w:hAnsi="宋体" w:cs="宋体" w:eastAsia="宋体" w:hint="default"/>
                <w:spacing w:val="15"/>
                <w:sz w:val="21"/>
                <w:szCs w:val="21"/>
              </w:rPr>
              <w:t>团队，平台已经开始试运</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行。</w:t>
            </w:r>
          </w:p>
        </w:tc>
      </w:tr>
      <w:tr>
        <w:trPr>
          <w:trHeight w:val="1100" w:hRule="exact"/>
        </w:trPr>
        <w:tc>
          <w:tcPr>
            <w:tcW w:w="649"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14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103" w:right="72"/>
              <w:jc w:val="left"/>
              <w:rPr>
                <w:rFonts w:ascii="宋体" w:hAnsi="宋体" w:cs="宋体" w:eastAsia="宋体" w:hint="default"/>
                <w:sz w:val="21"/>
                <w:szCs w:val="21"/>
              </w:rPr>
            </w:pPr>
            <w:r>
              <w:rPr>
                <w:rFonts w:ascii="宋体" w:hAnsi="宋体" w:cs="宋体" w:eastAsia="宋体" w:hint="default"/>
                <w:spacing w:val="23"/>
                <w:sz w:val="21"/>
                <w:szCs w:val="21"/>
              </w:rPr>
              <w:t>取证云服务平</w:t>
            </w:r>
            <w:r>
              <w:rPr>
                <w:rFonts w:ascii="宋体" w:hAnsi="宋体" w:cs="宋体" w:eastAsia="宋体" w:hint="default"/>
                <w:spacing w:val="-77"/>
                <w:sz w:val="21"/>
                <w:szCs w:val="21"/>
              </w:rPr>
              <w:t> </w:t>
            </w:r>
            <w:r>
              <w:rPr>
                <w:rFonts w:ascii="宋体" w:hAnsi="宋体" w:cs="宋体" w:eastAsia="宋体" w:hint="default"/>
                <w:sz w:val="21"/>
                <w:szCs w:val="21"/>
              </w:rPr>
              <w:t>台</w:t>
            </w:r>
          </w:p>
        </w:tc>
        <w:tc>
          <w:tcPr>
            <w:tcW w:w="378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z w:val="21"/>
                <w:szCs w:val="21"/>
              </w:rPr>
              <w:t>取证云服务平台的建设和运营，通过网</w:t>
            </w:r>
          </w:p>
          <w:p>
            <w:pPr>
              <w:pStyle w:val="TableParagraph"/>
              <w:spacing w:line="272" w:lineRule="exact" w:before="26"/>
              <w:ind w:left="103" w:right="99"/>
              <w:jc w:val="both"/>
              <w:rPr>
                <w:rFonts w:ascii="宋体" w:hAnsi="宋体" w:cs="宋体" w:eastAsia="宋体" w:hint="default"/>
                <w:sz w:val="21"/>
                <w:szCs w:val="21"/>
              </w:rPr>
            </w:pPr>
            <w:r>
              <w:rPr>
                <w:rFonts w:ascii="宋体" w:hAnsi="宋体" w:cs="宋体" w:eastAsia="宋体" w:hint="default"/>
                <w:spacing w:val="12"/>
                <w:sz w:val="21"/>
                <w:szCs w:val="21"/>
              </w:rPr>
              <w:t>络服务的方式为用户提供丰富的电子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数据取证分析功能；支持与公司多种电</w:t>
            </w:r>
            <w:r>
              <w:rPr>
                <w:rFonts w:ascii="宋体" w:hAnsi="宋体" w:cs="宋体" w:eastAsia="宋体" w:hint="default"/>
                <w:sz w:val="21"/>
                <w:szCs w:val="21"/>
              </w:rPr>
              <w:t> 子数据取证设备联动。</w:t>
            </w:r>
          </w:p>
        </w:tc>
        <w:tc>
          <w:tcPr>
            <w:tcW w:w="2699" w:type="dxa"/>
            <w:tcBorders>
              <w:top w:val="single" w:sz="4" w:space="0" w:color="000000"/>
              <w:left w:val="single" w:sz="4" w:space="0" w:color="000000"/>
              <w:bottom w:val="single" w:sz="4" w:space="0" w:color="000000"/>
              <w:right w:val="single" w:sz="12" w:space="0" w:color="000000"/>
            </w:tcBorders>
          </w:tcPr>
          <w:p>
            <w:pPr>
              <w:pStyle w:val="TableParagraph"/>
              <w:spacing w:line="238" w:lineRule="exact"/>
              <w:ind w:left="103" w:right="0"/>
              <w:jc w:val="both"/>
              <w:rPr>
                <w:rFonts w:ascii="宋体" w:hAnsi="宋体" w:cs="宋体" w:eastAsia="宋体" w:hint="default"/>
                <w:sz w:val="21"/>
                <w:szCs w:val="21"/>
              </w:rPr>
            </w:pPr>
            <w:r>
              <w:rPr>
                <w:rFonts w:ascii="宋体" w:hAnsi="宋体" w:cs="宋体" w:eastAsia="宋体" w:hint="default"/>
                <w:spacing w:val="15"/>
                <w:sz w:val="21"/>
                <w:szCs w:val="21"/>
              </w:rPr>
              <w:t>硬件平台和软件系统持续</w:t>
            </w:r>
          </w:p>
          <w:p>
            <w:pPr>
              <w:pStyle w:val="TableParagraph"/>
              <w:spacing w:line="272" w:lineRule="exact" w:before="26"/>
              <w:ind w:left="103" w:right="90"/>
              <w:jc w:val="both"/>
              <w:rPr>
                <w:rFonts w:ascii="宋体" w:hAnsi="宋体" w:cs="宋体" w:eastAsia="宋体" w:hint="default"/>
                <w:sz w:val="21"/>
                <w:szCs w:val="21"/>
              </w:rPr>
            </w:pPr>
            <w:r>
              <w:rPr>
                <w:rFonts w:ascii="宋体" w:hAnsi="宋体" w:cs="宋体" w:eastAsia="宋体" w:hint="default"/>
                <w:spacing w:val="-3"/>
                <w:sz w:val="21"/>
                <w:szCs w:val="21"/>
              </w:rPr>
              <w:t>完善中，成立了专门的运营</w:t>
            </w:r>
            <w:r>
              <w:rPr>
                <w:rFonts w:ascii="宋体" w:hAnsi="宋体" w:cs="宋体" w:eastAsia="宋体" w:hint="default"/>
                <w:sz w:val="21"/>
                <w:szCs w:val="21"/>
              </w:rPr>
              <w:t> </w:t>
            </w:r>
            <w:r>
              <w:rPr>
                <w:rFonts w:ascii="宋体" w:hAnsi="宋体" w:cs="宋体" w:eastAsia="宋体" w:hint="default"/>
                <w:spacing w:val="15"/>
                <w:sz w:val="21"/>
                <w:szCs w:val="21"/>
              </w:rPr>
              <w:t>团队，平台已经开始试运</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行。</w:t>
            </w:r>
          </w:p>
        </w:tc>
      </w:tr>
      <w:tr>
        <w:trPr>
          <w:trHeight w:val="837" w:hRule="exact"/>
        </w:trPr>
        <w:tc>
          <w:tcPr>
            <w:tcW w:w="649"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7"/>
              <w:jc w:val="center"/>
              <w:rPr>
                <w:rFonts w:ascii="Times New Roman" w:hAnsi="Times New Roman" w:cs="Times New Roman" w:eastAsia="Times New Roman" w:hint="default"/>
                <w:sz w:val="21"/>
                <w:szCs w:val="21"/>
              </w:rPr>
            </w:pPr>
            <w:r>
              <w:rPr>
                <w:rFonts w:ascii="Times New Roman"/>
                <w:sz w:val="21"/>
              </w:rPr>
              <w:t>15</w:t>
            </w:r>
          </w:p>
        </w:tc>
        <w:tc>
          <w:tcPr>
            <w:tcW w:w="1620" w:type="dxa"/>
            <w:tcBorders>
              <w:top w:val="single" w:sz="4" w:space="0" w:color="000000"/>
              <w:left w:val="single" w:sz="4" w:space="0" w:color="000000"/>
              <w:bottom w:val="single" w:sz="12" w:space="0" w:color="000000"/>
              <w:right w:val="single" w:sz="4" w:space="0" w:color="000000"/>
            </w:tcBorders>
          </w:tcPr>
          <w:p>
            <w:pPr>
              <w:pStyle w:val="TableParagraph"/>
              <w:spacing w:line="272" w:lineRule="exact" w:before="128"/>
              <w:ind w:left="103" w:right="72"/>
              <w:jc w:val="left"/>
              <w:rPr>
                <w:rFonts w:ascii="宋体" w:hAnsi="宋体" w:cs="宋体" w:eastAsia="宋体" w:hint="default"/>
                <w:sz w:val="21"/>
                <w:szCs w:val="21"/>
              </w:rPr>
            </w:pPr>
            <w:r>
              <w:rPr>
                <w:rFonts w:ascii="宋体" w:hAnsi="宋体" w:cs="宋体" w:eastAsia="宋体" w:hint="default"/>
                <w:spacing w:val="23"/>
                <w:sz w:val="21"/>
                <w:szCs w:val="21"/>
              </w:rPr>
              <w:t>公证云服务平</w:t>
            </w:r>
            <w:r>
              <w:rPr>
                <w:rFonts w:ascii="宋体" w:hAnsi="宋体" w:cs="宋体" w:eastAsia="宋体" w:hint="default"/>
                <w:spacing w:val="-77"/>
                <w:sz w:val="21"/>
                <w:szCs w:val="21"/>
              </w:rPr>
              <w:t> </w:t>
            </w:r>
            <w:r>
              <w:rPr>
                <w:rFonts w:ascii="宋体" w:hAnsi="宋体" w:cs="宋体" w:eastAsia="宋体" w:hint="default"/>
                <w:sz w:val="21"/>
                <w:szCs w:val="21"/>
              </w:rPr>
              <w:t>台</w:t>
            </w:r>
          </w:p>
        </w:tc>
        <w:tc>
          <w:tcPr>
            <w:tcW w:w="3780" w:type="dxa"/>
            <w:tcBorders>
              <w:top w:val="single" w:sz="4" w:space="0" w:color="000000"/>
              <w:left w:val="single" w:sz="4" w:space="0" w:color="000000"/>
              <w:bottom w:val="single" w:sz="12"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公证云服务平台的建设和运营，为用户</w:t>
            </w:r>
          </w:p>
          <w:p>
            <w:pPr>
              <w:pStyle w:val="TableParagraph"/>
              <w:spacing w:line="272" w:lineRule="exact" w:before="26"/>
              <w:ind w:left="103" w:right="102"/>
              <w:jc w:val="left"/>
              <w:rPr>
                <w:rFonts w:ascii="宋体" w:hAnsi="宋体" w:cs="宋体" w:eastAsia="宋体" w:hint="default"/>
                <w:sz w:val="21"/>
                <w:szCs w:val="21"/>
              </w:rPr>
            </w:pPr>
            <w:r>
              <w:rPr>
                <w:rFonts w:ascii="宋体" w:hAnsi="宋体" w:cs="宋体" w:eastAsia="宋体" w:hint="default"/>
                <w:sz w:val="21"/>
                <w:szCs w:val="21"/>
              </w:rPr>
              <w:t>提供电子数据取证、存证、公证的一站 式证据服务。</w:t>
            </w:r>
          </w:p>
        </w:tc>
        <w:tc>
          <w:tcPr>
            <w:tcW w:w="2699" w:type="dxa"/>
            <w:tcBorders>
              <w:top w:val="single" w:sz="4" w:space="0" w:color="000000"/>
              <w:left w:val="single" w:sz="4" w:space="0" w:color="000000"/>
              <w:bottom w:val="single" w:sz="12" w:space="0" w:color="000000"/>
              <w:right w:val="single" w:sz="12" w:space="0" w:color="000000"/>
            </w:tcBorders>
          </w:tcPr>
          <w:p>
            <w:pPr>
              <w:pStyle w:val="TableParagraph"/>
              <w:spacing w:line="272" w:lineRule="exact" w:before="128"/>
              <w:ind w:left="103" w:right="90"/>
              <w:jc w:val="left"/>
              <w:rPr>
                <w:rFonts w:ascii="宋体" w:hAnsi="宋体" w:cs="宋体" w:eastAsia="宋体" w:hint="default"/>
                <w:sz w:val="21"/>
                <w:szCs w:val="21"/>
              </w:rPr>
            </w:pPr>
            <w:r>
              <w:rPr>
                <w:rFonts w:ascii="宋体" w:hAnsi="宋体" w:cs="宋体" w:eastAsia="宋体" w:hint="default"/>
                <w:spacing w:val="-3"/>
                <w:sz w:val="21"/>
                <w:szCs w:val="21"/>
              </w:rPr>
              <w:t>项目通过董事会审议，正在</w:t>
            </w:r>
            <w:r>
              <w:rPr>
                <w:rFonts w:ascii="宋体" w:hAnsi="宋体" w:cs="宋体" w:eastAsia="宋体" w:hint="default"/>
                <w:sz w:val="21"/>
                <w:szCs w:val="21"/>
              </w:rPr>
              <w:t> 研发。</w:t>
            </w:r>
          </w:p>
        </w:tc>
      </w:tr>
    </w:tbl>
    <w:p>
      <w:pPr>
        <w:spacing w:after="0" w:line="272" w:lineRule="exact"/>
        <w:jc w:val="left"/>
        <w:rPr>
          <w:rFonts w:ascii="宋体" w:hAnsi="宋体" w:cs="宋体" w:eastAsia="宋体" w:hint="default"/>
          <w:sz w:val="21"/>
          <w:szCs w:val="21"/>
        </w:rPr>
        <w:sectPr>
          <w:pgSz w:w="12240" w:h="15840"/>
          <w:pgMar w:header="0" w:footer="688" w:top="1360" w:bottom="880" w:left="1560" w:right="16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649"/>
        <w:gridCol w:w="1620"/>
        <w:gridCol w:w="3780"/>
        <w:gridCol w:w="2699"/>
      </w:tblGrid>
      <w:tr>
        <w:trPr>
          <w:trHeight w:val="575" w:hRule="exact"/>
        </w:trPr>
        <w:tc>
          <w:tcPr>
            <w:tcW w:w="649"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149"/>
              <w:ind w:left="204" w:right="0"/>
              <w:jc w:val="left"/>
              <w:rPr>
                <w:rFonts w:ascii="Times New Roman" w:hAnsi="Times New Roman" w:cs="Times New Roman" w:eastAsia="Times New Roman" w:hint="default"/>
                <w:sz w:val="21"/>
                <w:szCs w:val="21"/>
              </w:rPr>
            </w:pPr>
            <w:r>
              <w:rPr>
                <w:rFonts w:ascii="Times New Roman"/>
                <w:sz w:val="21"/>
              </w:rPr>
              <w:t>16</w:t>
            </w:r>
          </w:p>
        </w:tc>
        <w:tc>
          <w:tcPr>
            <w:tcW w:w="1620" w:type="dxa"/>
            <w:tcBorders>
              <w:top w:val="single" w:sz="12" w:space="0" w:color="000000"/>
              <w:left w:val="single" w:sz="4" w:space="0" w:color="000000"/>
              <w:bottom w:val="single" w:sz="12"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pacing w:val="23"/>
                <w:sz w:val="21"/>
                <w:szCs w:val="21"/>
              </w:rPr>
              <w:t>无人机取证项</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780" w:type="dxa"/>
            <w:tcBorders>
              <w:top w:val="single" w:sz="12" w:space="0" w:color="000000"/>
              <w:left w:val="single" w:sz="4" w:space="0" w:color="000000"/>
              <w:bottom w:val="single" w:sz="12" w:space="0" w:color="000000"/>
              <w:right w:val="single" w:sz="4" w:space="0" w:color="000000"/>
            </w:tcBorders>
          </w:tcPr>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通过无人机进行数据采集，与云计算中</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心联动。</w:t>
            </w:r>
          </w:p>
        </w:tc>
        <w:tc>
          <w:tcPr>
            <w:tcW w:w="2699"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产品已开始规划及预研。</w:t>
            </w:r>
          </w:p>
        </w:tc>
      </w:tr>
    </w:tbl>
    <w:p>
      <w:pPr>
        <w:spacing w:line="240" w:lineRule="auto" w:before="8"/>
        <w:rPr>
          <w:rFonts w:ascii="Times New Roman" w:hAnsi="Times New Roman" w:cs="Times New Roman" w:eastAsia="Times New Roman" w:hint="default"/>
          <w:sz w:val="29"/>
          <w:szCs w:val="29"/>
        </w:rPr>
      </w:pPr>
    </w:p>
    <w:p>
      <w:pPr>
        <w:pStyle w:val="Heading3"/>
        <w:spacing w:line="240" w:lineRule="auto" w:before="26"/>
        <w:ind w:left="722" w:right="133"/>
        <w:jc w:val="left"/>
        <w:rPr>
          <w:b w:val="0"/>
          <w:bCs w:val="0"/>
        </w:rPr>
      </w:pPr>
      <w:r>
        <w:rPr/>
        <w:t>（七）公司子公司及其经营情况</w:t>
      </w:r>
      <w:r>
        <w:rPr>
          <w:b w:val="0"/>
          <w:bCs w:val="0"/>
        </w:rPr>
      </w:r>
    </w:p>
    <w:p>
      <w:pPr>
        <w:spacing w:line="240" w:lineRule="auto" w:before="4"/>
        <w:rPr>
          <w:rFonts w:ascii="宋体" w:hAnsi="宋体" w:cs="宋体" w:eastAsia="宋体" w:hint="default"/>
          <w:b/>
          <w:bCs/>
          <w:sz w:val="18"/>
          <w:szCs w:val="18"/>
        </w:rPr>
      </w:pPr>
    </w:p>
    <w:p>
      <w:pPr>
        <w:spacing w:before="0"/>
        <w:ind w:left="722" w:right="13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、公司通过投资设立取得的子公司的基本情况</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p>
      <w:pPr>
        <w:pStyle w:val="BodyText"/>
        <w:spacing w:line="348" w:lineRule="auto"/>
        <w:ind w:left="240" w:right="239" w:firstLine="480"/>
        <w:jc w:val="both"/>
      </w:pPr>
      <w:r>
        <w:rPr/>
        <w:t>厦门市美亚柏科信息安全研究所有限公司和杭州创聚科技有限公司是公司的两 个全资子公司，</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月</w:t>
      </w:r>
      <w:r>
        <w:rPr>
          <w:spacing w:val="-47"/>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12"/>
        </w:rPr>
        <w:t> </w:t>
      </w:r>
      <w:r>
        <w:rPr/>
        <w:t>日公司第一届董事会第十次会议审议通过了《关于 </w:t>
      </w:r>
      <w:r>
        <w:rPr>
          <w:spacing w:val="-8"/>
        </w:rPr>
        <w:t>向两个全资子公司增资的议案》：</w:t>
      </w:r>
    </w:p>
    <w:p>
      <w:pPr>
        <w:pStyle w:val="BodyText"/>
        <w:spacing w:line="240" w:lineRule="auto" w:before="164"/>
        <w:ind w:left="720" w:right="133"/>
        <w:jc w:val="left"/>
      </w:pPr>
      <w:r>
        <w:rPr/>
        <w:t>利用公司自有资金人民币 </w:t>
      </w:r>
      <w:r>
        <w:rPr>
          <w:rFonts w:ascii="Times New Roman" w:hAnsi="Times New Roman" w:cs="Times New Roman" w:eastAsia="Times New Roman" w:hint="default"/>
        </w:rPr>
        <w:t>1,700 </w:t>
      </w:r>
      <w:r>
        <w:rPr/>
        <w:t>万元，以现金方式对两个子公司进行增资：向</w:t>
      </w:r>
    </w:p>
    <w:p>
      <w:pPr>
        <w:pStyle w:val="BodyText"/>
        <w:spacing w:line="240" w:lineRule="auto" w:before="134"/>
        <w:ind w:left="240" w:right="133"/>
        <w:jc w:val="left"/>
      </w:pPr>
      <w:r>
        <w:rPr/>
        <w:t>厦门市美亚柏科信息安全研究所有限公司增资人民币</w:t>
      </w:r>
      <w:r>
        <w:rPr>
          <w:spacing w:val="-60"/>
        </w:rPr>
        <w:t> </w:t>
      </w:r>
      <w:r>
        <w:rPr>
          <w:rFonts w:ascii="Times New Roman" w:hAnsi="Times New Roman" w:cs="Times New Roman" w:eastAsia="Times New Roman" w:hint="default"/>
        </w:rPr>
        <w:t>800 </w:t>
      </w:r>
      <w:r>
        <w:rPr/>
        <w:t>万元，使其注册资本由人</w:t>
      </w:r>
    </w:p>
    <w:p>
      <w:pPr>
        <w:pStyle w:val="BodyText"/>
        <w:spacing w:line="240" w:lineRule="auto" w:before="134"/>
        <w:ind w:left="240" w:right="0"/>
        <w:jc w:val="left"/>
      </w:pPr>
      <w:r>
        <w:rPr/>
        <w:t>民币</w:t>
      </w:r>
      <w:r>
        <w:rPr>
          <w:spacing w:val="-81"/>
        </w:rPr>
        <w:t> </w:t>
      </w:r>
      <w:r>
        <w:rPr>
          <w:rFonts w:ascii="Times New Roman" w:hAnsi="Times New Roman" w:cs="Times New Roman" w:eastAsia="Times New Roman" w:hint="default"/>
        </w:rPr>
        <w:t>200</w:t>
      </w:r>
      <w:r>
        <w:rPr>
          <w:rFonts w:ascii="Times New Roman" w:hAnsi="Times New Roman" w:cs="Times New Roman" w:eastAsia="Times New Roman" w:hint="default"/>
          <w:spacing w:val="-21"/>
        </w:rPr>
        <w:t> </w:t>
      </w:r>
      <w:r>
        <w:rPr/>
        <w:t>万元增至人民币</w:t>
      </w:r>
      <w:r>
        <w:rPr>
          <w:spacing w:val="-81"/>
        </w:rPr>
        <w:t> </w:t>
      </w:r>
      <w:r>
        <w:rPr>
          <w:rFonts w:ascii="Times New Roman" w:hAnsi="Times New Roman" w:cs="Times New Roman" w:eastAsia="Times New Roman" w:hint="default"/>
        </w:rPr>
        <w:t>1000</w:t>
      </w:r>
      <w:r>
        <w:rPr>
          <w:rFonts w:ascii="Times New Roman" w:hAnsi="Times New Roman" w:cs="Times New Roman" w:eastAsia="Times New Roman" w:hint="default"/>
          <w:spacing w:val="-21"/>
        </w:rPr>
        <w:t> </w:t>
      </w:r>
      <w:r>
        <w:rPr/>
        <w:t>万元</w:t>
      </w:r>
      <w:r>
        <w:rPr>
          <w:spacing w:val="-120"/>
        </w:rPr>
        <w:t>；</w:t>
      </w:r>
      <w:r>
        <w:rPr/>
        <w:t>向杭州创聚科技有限公司增资人民币</w:t>
      </w:r>
      <w:r>
        <w:rPr>
          <w:spacing w:val="-81"/>
        </w:rPr>
        <w:t> </w:t>
      </w:r>
      <w:r>
        <w:rPr>
          <w:rFonts w:ascii="Times New Roman" w:hAnsi="Times New Roman" w:cs="Times New Roman" w:eastAsia="Times New Roman" w:hint="default"/>
        </w:rPr>
        <w:t>900</w:t>
      </w:r>
      <w:r>
        <w:rPr>
          <w:rFonts w:ascii="Times New Roman" w:hAnsi="Times New Roman" w:cs="Times New Roman" w:eastAsia="Times New Roman" w:hint="default"/>
          <w:spacing w:val="-20"/>
        </w:rPr>
        <w:t> </w:t>
      </w:r>
      <w:r>
        <w:rPr/>
        <w:t>万元，</w:t>
      </w:r>
    </w:p>
    <w:p>
      <w:pPr>
        <w:pStyle w:val="BodyText"/>
        <w:spacing w:line="240" w:lineRule="auto" w:before="134"/>
        <w:ind w:left="239" w:right="133"/>
        <w:jc w:val="left"/>
      </w:pPr>
      <w:r>
        <w:rPr/>
        <w:t>使其注册资本由人民币</w:t>
      </w:r>
      <w:r>
        <w:rPr>
          <w:spacing w:val="-60"/>
        </w:rPr>
        <w:t> </w:t>
      </w:r>
      <w:r>
        <w:rPr>
          <w:rFonts w:ascii="Times New Roman" w:hAnsi="Times New Roman" w:cs="Times New Roman" w:eastAsia="Times New Roman" w:hint="default"/>
        </w:rPr>
        <w:t>100 </w:t>
      </w:r>
      <w:r>
        <w:rPr/>
        <w:t>万元增至人民币</w:t>
      </w:r>
      <w:r>
        <w:rPr>
          <w:spacing w:val="-60"/>
        </w:rPr>
        <w:t> </w:t>
      </w:r>
      <w:r>
        <w:rPr>
          <w:rFonts w:ascii="Times New Roman" w:hAnsi="Times New Roman" w:cs="Times New Roman" w:eastAsia="Times New Roman" w:hint="default"/>
        </w:rPr>
        <w:t>1000 </w:t>
      </w:r>
      <w:r>
        <w:rPr/>
        <w:t>万元。</w:t>
      </w:r>
    </w:p>
    <w:p>
      <w:pPr>
        <w:spacing w:line="240" w:lineRule="auto" w:before="6"/>
        <w:rPr>
          <w:rFonts w:ascii="宋体" w:hAnsi="宋体" w:cs="宋体" w:eastAsia="宋体" w:hint="default"/>
          <w:sz w:val="19"/>
          <w:szCs w:val="19"/>
        </w:rPr>
      </w:pPr>
    </w:p>
    <w:p>
      <w:pPr>
        <w:pStyle w:val="BodyText"/>
        <w:spacing w:line="240" w:lineRule="auto"/>
        <w:ind w:left="719" w:right="133"/>
        <w:jc w:val="left"/>
      </w:pPr>
      <w:r>
        <w:rPr/>
        <w:t>以上增资事项完成工商变更登记的公告已于</w:t>
      </w:r>
      <w:r>
        <w:rPr>
          <w:spacing w:val="-4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6</w:t>
      </w:r>
      <w:r>
        <w:rPr>
          <w:rFonts w:ascii="Times New Roman" w:hAnsi="Times New Roman" w:cs="Times New Roman" w:eastAsia="Times New Roman" w:hint="default"/>
          <w:spacing w:val="14"/>
        </w:rPr>
        <w:t> </w:t>
      </w:r>
      <w:r>
        <w:rPr/>
        <w:t>月</w:t>
      </w:r>
      <w:r>
        <w:rPr>
          <w:spacing w:val="-47"/>
        </w:rPr>
        <w:t> </w:t>
      </w:r>
      <w:r>
        <w:rPr>
          <w:rFonts w:ascii="Times New Roman" w:hAnsi="Times New Roman" w:cs="Times New Roman" w:eastAsia="Times New Roman" w:hint="default"/>
        </w:rPr>
        <w:t>14</w:t>
      </w:r>
      <w:r>
        <w:rPr>
          <w:rFonts w:ascii="Times New Roman" w:hAnsi="Times New Roman" w:cs="Times New Roman" w:eastAsia="Times New Roman" w:hint="default"/>
          <w:spacing w:val="13"/>
        </w:rPr>
        <w:t> </w:t>
      </w:r>
      <w:r>
        <w:rPr/>
        <w:t>日和</w:t>
      </w:r>
      <w:r>
        <w:rPr>
          <w:spacing w:val="-4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6</w:t>
      </w:r>
      <w:r>
        <w:rPr>
          <w:rFonts w:ascii="Times New Roman" w:hAnsi="Times New Roman" w:cs="Times New Roman" w:eastAsia="Times New Roman" w:hint="default"/>
          <w:spacing w:val="14"/>
        </w:rPr>
        <w:t> </w:t>
      </w:r>
      <w:r>
        <w:rPr/>
        <w:t>月</w:t>
      </w:r>
    </w:p>
    <w:p>
      <w:pPr>
        <w:pStyle w:val="BodyText"/>
        <w:spacing w:line="240" w:lineRule="auto" w:before="134"/>
        <w:ind w:left="240" w:right="133"/>
        <w:jc w:val="left"/>
      </w:pPr>
      <w:r>
        <w:rPr>
          <w:rFonts w:ascii="Times New Roman" w:hAnsi="Times New Roman" w:cs="Times New Roman" w:eastAsia="Times New Roman" w:hint="default"/>
        </w:rPr>
        <w:t>18 </w:t>
      </w:r>
      <w:r>
        <w:rPr/>
        <w:t>日分别刊登在中国证监会创业板指定信息披露网站上。</w:t>
      </w:r>
    </w:p>
    <w:p>
      <w:pPr>
        <w:spacing w:line="240" w:lineRule="auto" w:before="7"/>
        <w:rPr>
          <w:rFonts w:ascii="宋体" w:hAnsi="宋体" w:cs="宋体" w:eastAsia="宋体" w:hint="default"/>
          <w:sz w:val="22"/>
          <w:szCs w:val="22"/>
        </w:rPr>
      </w:pPr>
    </w:p>
    <w:tbl>
      <w:tblPr>
        <w:tblW w:w="0" w:type="auto"/>
        <w:jc w:val="left"/>
        <w:tblInd w:w="116" w:type="dxa"/>
        <w:tblLayout w:type="fixed"/>
        <w:tblCellMar>
          <w:top w:w="0" w:type="dxa"/>
          <w:left w:w="0" w:type="dxa"/>
          <w:bottom w:w="0" w:type="dxa"/>
          <w:right w:w="0" w:type="dxa"/>
        </w:tblCellMar>
        <w:tblLook w:val="01E0"/>
      </w:tblPr>
      <w:tblGrid>
        <w:gridCol w:w="1411"/>
        <w:gridCol w:w="1008"/>
        <w:gridCol w:w="1279"/>
        <w:gridCol w:w="1008"/>
        <w:gridCol w:w="1370"/>
        <w:gridCol w:w="1175"/>
        <w:gridCol w:w="1605"/>
      </w:tblGrid>
      <w:tr>
        <w:trPr>
          <w:trHeight w:val="846" w:hRule="exact"/>
        </w:trPr>
        <w:tc>
          <w:tcPr>
            <w:tcW w:w="1411" w:type="dxa"/>
            <w:tcBorders>
              <w:top w:val="single" w:sz="12" w:space="0" w:color="000000"/>
              <w:left w:val="single" w:sz="12" w:space="0" w:color="000000"/>
              <w:bottom w:val="single" w:sz="4" w:space="0" w:color="000000"/>
              <w:right w:val="single" w:sz="4" w:space="0" w:color="000000"/>
            </w:tcBorders>
            <w:shd w:val="clear" w:color="auto" w:fill="CCCCCC"/>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008"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4"/>
              <w:ind w:right="0"/>
              <w:jc w:val="left"/>
              <w:rPr>
                <w:rFonts w:ascii="宋体" w:hAnsi="宋体" w:cs="宋体" w:eastAsia="宋体" w:hint="default"/>
                <w:sz w:val="13"/>
                <w:szCs w:val="13"/>
              </w:rPr>
            </w:pPr>
          </w:p>
          <w:p>
            <w:pPr>
              <w:pStyle w:val="TableParagraph"/>
              <w:spacing w:line="232" w:lineRule="exact"/>
              <w:ind w:left="409" w:right="137" w:hanging="270"/>
              <w:jc w:val="left"/>
              <w:rPr>
                <w:rFonts w:ascii="宋体" w:hAnsi="宋体" w:cs="宋体" w:eastAsia="宋体" w:hint="default"/>
                <w:sz w:val="18"/>
                <w:szCs w:val="18"/>
              </w:rPr>
            </w:pPr>
            <w:r>
              <w:rPr>
                <w:rFonts w:ascii="宋体" w:hAnsi="宋体" w:cs="宋体" w:eastAsia="宋体" w:hint="default"/>
                <w:sz w:val="18"/>
                <w:szCs w:val="18"/>
              </w:rPr>
              <w:t>子公司类 型</w:t>
            </w:r>
          </w:p>
        </w:tc>
        <w:tc>
          <w:tcPr>
            <w:tcW w:w="1279"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08"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370"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9"/>
              <w:ind w:left="320" w:right="0"/>
              <w:jc w:val="left"/>
              <w:rPr>
                <w:rFonts w:ascii="宋体" w:hAnsi="宋体" w:cs="宋体" w:eastAsia="宋体" w:hint="default"/>
                <w:sz w:val="18"/>
                <w:szCs w:val="18"/>
              </w:rPr>
            </w:pPr>
            <w:r>
              <w:rPr>
                <w:rFonts w:ascii="宋体" w:hAnsi="宋体" w:cs="宋体" w:eastAsia="宋体" w:hint="default"/>
                <w:sz w:val="18"/>
                <w:szCs w:val="18"/>
              </w:rPr>
              <w:t>注册资本</w:t>
            </w:r>
          </w:p>
          <w:p>
            <w:pPr>
              <w:pStyle w:val="TableParagraph"/>
              <w:spacing w:line="240" w:lineRule="auto" w:before="117"/>
              <w:ind w:left="410"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175" w:type="dxa"/>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605" w:type="dxa"/>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主要经营范围</w:t>
            </w:r>
          </w:p>
        </w:tc>
      </w:tr>
      <w:tr>
        <w:trPr>
          <w:trHeight w:val="1650" w:hRule="exact"/>
        </w:trPr>
        <w:tc>
          <w:tcPr>
            <w:tcW w:w="141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37" w:lineRule="auto"/>
              <w:ind w:left="93" w:right="215"/>
              <w:jc w:val="both"/>
              <w:rPr>
                <w:rFonts w:ascii="宋体" w:hAnsi="宋体" w:cs="宋体" w:eastAsia="宋体" w:hint="default"/>
                <w:sz w:val="18"/>
                <w:szCs w:val="18"/>
              </w:rPr>
            </w:pPr>
            <w:r>
              <w:rPr>
                <w:rFonts w:ascii="宋体" w:hAnsi="宋体" w:cs="宋体" w:eastAsia="宋体" w:hint="default"/>
                <w:sz w:val="18"/>
                <w:szCs w:val="18"/>
              </w:rPr>
              <w:t>厦门市美亚柏 科信息安全研 究所有限公司</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232" w:lineRule="exact"/>
              <w:ind w:left="409" w:right="137" w:hanging="270"/>
              <w:jc w:val="left"/>
              <w:rPr>
                <w:rFonts w:ascii="宋体" w:hAnsi="宋体" w:cs="宋体" w:eastAsia="宋体" w:hint="default"/>
                <w:sz w:val="18"/>
                <w:szCs w:val="18"/>
              </w:rPr>
            </w:pPr>
            <w:r>
              <w:rPr>
                <w:rFonts w:ascii="宋体" w:hAnsi="宋体" w:cs="宋体" w:eastAsia="宋体" w:hint="default"/>
                <w:sz w:val="18"/>
                <w:szCs w:val="18"/>
              </w:rPr>
              <w:t>全资子公 司</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厦门</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刘祥南</w:t>
            </w:r>
          </w:p>
        </w:tc>
        <w:tc>
          <w:tcPr>
            <w:tcW w:w="1605" w:type="dxa"/>
            <w:tcBorders>
              <w:top w:val="single" w:sz="4" w:space="0" w:color="000000"/>
              <w:left w:val="single" w:sz="4" w:space="0" w:color="000000"/>
              <w:bottom w:val="single" w:sz="4" w:space="0" w:color="000000"/>
              <w:right w:val="single" w:sz="12" w:space="0" w:color="000000"/>
            </w:tcBorders>
          </w:tcPr>
          <w:p>
            <w:pPr>
              <w:pStyle w:val="TableParagraph"/>
              <w:spacing w:line="237" w:lineRule="auto" w:before="92"/>
              <w:ind w:left="103" w:right="41"/>
              <w:jc w:val="both"/>
              <w:rPr>
                <w:rFonts w:ascii="宋体" w:hAnsi="宋体" w:cs="宋体" w:eastAsia="宋体" w:hint="default"/>
                <w:sz w:val="18"/>
                <w:szCs w:val="18"/>
              </w:rPr>
            </w:pPr>
            <w:r>
              <w:rPr>
                <w:rFonts w:ascii="宋体" w:hAnsi="宋体" w:cs="宋体" w:eastAsia="宋体" w:hint="default"/>
                <w:spacing w:val="18"/>
                <w:sz w:val="18"/>
                <w:szCs w:val="18"/>
              </w:rPr>
              <w:t>信息网络安全产</w:t>
            </w:r>
            <w:r>
              <w:rPr>
                <w:rFonts w:ascii="宋体" w:hAnsi="宋体" w:cs="宋体" w:eastAsia="宋体" w:hint="default"/>
                <w:spacing w:val="-69"/>
                <w:sz w:val="18"/>
                <w:szCs w:val="18"/>
              </w:rPr>
              <w:t> </w:t>
            </w:r>
            <w:r>
              <w:rPr>
                <w:rFonts w:ascii="宋体" w:hAnsi="宋体" w:cs="宋体" w:eastAsia="宋体" w:hint="default"/>
                <w:sz w:val="18"/>
                <w:szCs w:val="18"/>
              </w:rPr>
              <w:t>品的研究和开发；</w:t>
            </w:r>
            <w:r>
              <w:rPr>
                <w:rFonts w:ascii="宋体" w:hAnsi="宋体" w:cs="宋体" w:eastAsia="宋体" w:hint="default"/>
                <w:sz w:val="18"/>
                <w:szCs w:val="18"/>
              </w:rPr>
              <w:t> 计算机软件开发； </w:t>
            </w:r>
            <w:r>
              <w:rPr>
                <w:rFonts w:ascii="宋体" w:hAnsi="宋体" w:cs="宋体" w:eastAsia="宋体" w:hint="default"/>
                <w:spacing w:val="-7"/>
                <w:sz w:val="18"/>
                <w:szCs w:val="18"/>
              </w:rPr>
              <w:t>网络技术服务；批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8"/>
                <w:sz w:val="18"/>
                <w:szCs w:val="18"/>
              </w:rPr>
              <w:t>发零售计算机与</w:t>
            </w:r>
            <w:r>
              <w:rPr>
                <w:rFonts w:ascii="宋体" w:hAnsi="宋体" w:cs="宋体" w:eastAsia="宋体" w:hint="default"/>
                <w:spacing w:val="-69"/>
                <w:sz w:val="18"/>
                <w:szCs w:val="18"/>
              </w:rPr>
              <w:t> </w:t>
            </w:r>
            <w:r>
              <w:rPr>
                <w:rFonts w:ascii="宋体" w:hAnsi="宋体" w:cs="宋体" w:eastAsia="宋体" w:hint="default"/>
                <w:sz w:val="18"/>
                <w:szCs w:val="18"/>
              </w:rPr>
              <w:t>网络安全设备</w:t>
            </w:r>
          </w:p>
        </w:tc>
      </w:tr>
      <w:tr>
        <w:trPr>
          <w:trHeight w:val="2118" w:hRule="exact"/>
        </w:trPr>
        <w:tc>
          <w:tcPr>
            <w:tcW w:w="141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93" w:right="215"/>
              <w:jc w:val="left"/>
              <w:rPr>
                <w:rFonts w:ascii="宋体" w:hAnsi="宋体" w:cs="宋体" w:eastAsia="宋体" w:hint="default"/>
                <w:sz w:val="18"/>
                <w:szCs w:val="18"/>
              </w:rPr>
            </w:pPr>
            <w:r>
              <w:rPr>
                <w:rFonts w:ascii="宋体" w:hAnsi="宋体" w:cs="宋体" w:eastAsia="宋体" w:hint="default"/>
                <w:sz w:val="18"/>
                <w:szCs w:val="18"/>
              </w:rPr>
              <w:t>杭州创聚科技 有限公司</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409" w:right="137" w:hanging="270"/>
              <w:jc w:val="left"/>
              <w:rPr>
                <w:rFonts w:ascii="宋体" w:hAnsi="宋体" w:cs="宋体" w:eastAsia="宋体" w:hint="default"/>
                <w:sz w:val="18"/>
                <w:szCs w:val="18"/>
              </w:rPr>
            </w:pPr>
            <w:r>
              <w:rPr>
                <w:rFonts w:ascii="宋体" w:hAnsi="宋体" w:cs="宋体" w:eastAsia="宋体" w:hint="default"/>
                <w:sz w:val="18"/>
                <w:szCs w:val="18"/>
              </w:rPr>
              <w:t>全资子公 司</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杭州</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综合</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白鹭斌</w:t>
            </w:r>
          </w:p>
        </w:tc>
        <w:tc>
          <w:tcPr>
            <w:tcW w:w="1605" w:type="dxa"/>
            <w:tcBorders>
              <w:top w:val="single" w:sz="4" w:space="0" w:color="000000"/>
              <w:left w:val="single" w:sz="4" w:space="0" w:color="000000"/>
              <w:bottom w:val="single" w:sz="4" w:space="0" w:color="000000"/>
              <w:right w:val="single" w:sz="12" w:space="0" w:color="000000"/>
            </w:tcBorders>
          </w:tcPr>
          <w:p>
            <w:pPr>
              <w:pStyle w:val="TableParagraph"/>
              <w:spacing w:line="237" w:lineRule="auto" w:before="92"/>
              <w:ind w:left="103" w:right="41"/>
              <w:jc w:val="both"/>
              <w:rPr>
                <w:rFonts w:ascii="宋体" w:hAnsi="宋体" w:cs="宋体" w:eastAsia="宋体" w:hint="default"/>
                <w:sz w:val="18"/>
                <w:szCs w:val="18"/>
              </w:rPr>
            </w:pPr>
            <w:r>
              <w:rPr>
                <w:rFonts w:ascii="宋体" w:hAnsi="宋体" w:cs="宋体" w:eastAsia="宋体" w:hint="default"/>
                <w:spacing w:val="-7"/>
                <w:sz w:val="18"/>
                <w:szCs w:val="18"/>
              </w:rPr>
              <w:t>服务；计算机硬件</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7"/>
                <w:sz w:val="18"/>
                <w:szCs w:val="18"/>
              </w:rPr>
              <w:t>技术开发、成果转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7"/>
                <w:sz w:val="18"/>
                <w:szCs w:val="18"/>
              </w:rPr>
              <w:t>让，计算机系统集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8"/>
                <w:sz w:val="18"/>
                <w:szCs w:val="18"/>
              </w:rPr>
              <w:t>成，科技信息咨</w:t>
            </w:r>
            <w:r>
              <w:rPr>
                <w:rFonts w:ascii="宋体" w:hAnsi="宋体" w:cs="宋体" w:eastAsia="宋体" w:hint="default"/>
                <w:spacing w:val="-69"/>
                <w:sz w:val="18"/>
                <w:szCs w:val="18"/>
              </w:rPr>
              <w:t> </w:t>
            </w:r>
            <w:r>
              <w:rPr>
                <w:rFonts w:ascii="宋体" w:hAnsi="宋体" w:cs="宋体" w:eastAsia="宋体" w:hint="default"/>
                <w:sz w:val="18"/>
                <w:szCs w:val="18"/>
              </w:rPr>
              <w:t>询；批发、零售：</w:t>
            </w:r>
            <w:r>
              <w:rPr>
                <w:rFonts w:ascii="宋体" w:hAnsi="宋体" w:cs="宋体" w:eastAsia="宋体" w:hint="default"/>
                <w:sz w:val="18"/>
                <w:szCs w:val="18"/>
              </w:rPr>
              <w:t> </w:t>
            </w:r>
            <w:r>
              <w:rPr>
                <w:rFonts w:ascii="宋体" w:hAnsi="宋体" w:cs="宋体" w:eastAsia="宋体" w:hint="default"/>
                <w:spacing w:val="-7"/>
                <w:sz w:val="18"/>
                <w:szCs w:val="18"/>
              </w:rPr>
              <w:t>电子计算机，网络</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8"/>
                <w:sz w:val="18"/>
                <w:szCs w:val="18"/>
              </w:rPr>
              <w:t>设备、通信设备</w:t>
            </w:r>
            <w:r>
              <w:rPr>
                <w:rFonts w:ascii="宋体" w:hAnsi="宋体" w:cs="宋体" w:eastAsia="宋体" w:hint="default"/>
                <w:spacing w:val="-69"/>
                <w:sz w:val="18"/>
                <w:szCs w:val="18"/>
              </w:rPr>
              <w:t> </w:t>
            </w:r>
            <w:r>
              <w:rPr>
                <w:rFonts w:ascii="宋体" w:hAnsi="宋体" w:cs="宋体" w:eastAsia="宋体" w:hint="default"/>
                <w:sz w:val="18"/>
                <w:szCs w:val="18"/>
              </w:rPr>
            </w:r>
          </w:p>
          <w:p>
            <w:pPr>
              <w:pStyle w:val="TableParagraph"/>
              <w:spacing w:line="234" w:lineRule="exact"/>
              <w:ind w:left="103" w:right="0"/>
              <w:jc w:val="both"/>
              <w:rPr>
                <w:rFonts w:ascii="宋体" w:hAnsi="宋体" w:cs="宋体" w:eastAsia="宋体" w:hint="default"/>
                <w:sz w:val="18"/>
                <w:szCs w:val="18"/>
              </w:rPr>
            </w:pPr>
            <w:r>
              <w:rPr>
                <w:rFonts w:ascii="宋体" w:hAnsi="宋体" w:cs="宋体" w:eastAsia="宋体" w:hint="default"/>
                <w:sz w:val="18"/>
                <w:szCs w:val="18"/>
              </w:rPr>
              <w:t>（除专控）</w:t>
            </w:r>
          </w:p>
        </w:tc>
      </w:tr>
      <w:tr>
        <w:trPr>
          <w:trHeight w:val="958" w:hRule="exact"/>
        </w:trPr>
        <w:tc>
          <w:tcPr>
            <w:tcW w:w="1411" w:type="dxa"/>
            <w:vMerge w:val="restart"/>
            <w:tcBorders>
              <w:top w:val="single" w:sz="4" w:space="0" w:color="000000"/>
              <w:left w:val="single" w:sz="12"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2287" w:type="dxa"/>
            <w:gridSpan w:val="2"/>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008" w:type="dxa"/>
            <w:vMerge w:val="restart"/>
            <w:tcBorders>
              <w:top w:val="single" w:sz="4" w:space="0" w:color="000000"/>
              <w:left w:val="single" w:sz="4"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409" w:right="137" w:hanging="270"/>
              <w:jc w:val="left"/>
              <w:rPr>
                <w:rFonts w:ascii="宋体" w:hAnsi="宋体" w:cs="宋体" w:eastAsia="宋体" w:hint="default"/>
                <w:sz w:val="18"/>
                <w:szCs w:val="18"/>
              </w:rPr>
            </w:pPr>
            <w:r>
              <w:rPr>
                <w:rFonts w:ascii="宋体" w:hAnsi="宋体" w:cs="宋体" w:eastAsia="宋体" w:hint="default"/>
                <w:sz w:val="18"/>
                <w:szCs w:val="18"/>
              </w:rPr>
              <w:t>表决权比 例</w:t>
            </w:r>
          </w:p>
        </w:tc>
        <w:tc>
          <w:tcPr>
            <w:tcW w:w="1370" w:type="dxa"/>
            <w:vMerge w:val="restart"/>
            <w:tcBorders>
              <w:top w:val="single" w:sz="4" w:space="0" w:color="000000"/>
              <w:left w:val="single" w:sz="4"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实际出资额</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（元）</w:t>
            </w:r>
          </w:p>
        </w:tc>
        <w:tc>
          <w:tcPr>
            <w:tcW w:w="1175" w:type="dxa"/>
            <w:vMerge w:val="restart"/>
            <w:tcBorders>
              <w:top w:val="single" w:sz="4" w:space="0" w:color="000000"/>
              <w:left w:val="single" w:sz="4" w:space="0" w:color="000000"/>
              <w:right w:val="single" w:sz="4" w:space="0" w:color="000000"/>
            </w:tcBorders>
            <w:shd w:val="clear" w:color="auto" w:fill="CCCCCC"/>
          </w:tcPr>
          <w:p>
            <w:pPr>
              <w:pStyle w:val="TableParagraph"/>
              <w:spacing w:line="237" w:lineRule="auto" w:before="99"/>
              <w:ind w:left="132" w:right="131"/>
              <w:jc w:val="both"/>
              <w:rPr>
                <w:rFonts w:ascii="宋体" w:hAnsi="宋体" w:cs="宋体" w:eastAsia="宋体" w:hint="default"/>
                <w:sz w:val="18"/>
                <w:szCs w:val="18"/>
              </w:rPr>
            </w:pPr>
            <w:r>
              <w:rPr>
                <w:rFonts w:ascii="宋体" w:hAnsi="宋体" w:cs="宋体" w:eastAsia="宋体" w:hint="default"/>
                <w:sz w:val="18"/>
                <w:szCs w:val="18"/>
              </w:rPr>
              <w:t>实质上构成 对子公司净 投资的其他 项目余额</w:t>
            </w:r>
          </w:p>
          <w:p>
            <w:pPr>
              <w:pStyle w:val="TableParagraph"/>
              <w:spacing w:line="234" w:lineRule="exact"/>
              <w:ind w:left="3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605" w:type="dxa"/>
            <w:vMerge w:val="restart"/>
            <w:tcBorders>
              <w:top w:val="single" w:sz="4" w:space="0" w:color="000000"/>
              <w:left w:val="single" w:sz="4" w:space="0" w:color="000000"/>
              <w:right w:val="single" w:sz="12"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437" w:right="0"/>
              <w:jc w:val="left"/>
              <w:rPr>
                <w:rFonts w:ascii="宋体" w:hAnsi="宋体" w:cs="宋体" w:eastAsia="宋体" w:hint="default"/>
                <w:sz w:val="18"/>
                <w:szCs w:val="18"/>
              </w:rPr>
            </w:pPr>
            <w:r>
              <w:rPr>
                <w:rFonts w:ascii="宋体" w:hAnsi="宋体" w:cs="宋体" w:eastAsia="宋体" w:hint="default"/>
                <w:sz w:val="18"/>
                <w:szCs w:val="18"/>
              </w:rPr>
              <w:t>是否合并</w:t>
            </w:r>
          </w:p>
        </w:tc>
      </w:tr>
      <w:tr>
        <w:trPr>
          <w:trHeight w:val="484" w:hRule="exact"/>
        </w:trPr>
        <w:tc>
          <w:tcPr>
            <w:tcW w:w="1411" w:type="dxa"/>
            <w:vMerge/>
            <w:tcBorders>
              <w:left w:val="single" w:sz="12" w:space="0" w:color="000000"/>
              <w:bottom w:val="single" w:sz="4" w:space="0" w:color="000000"/>
              <w:right w:val="single" w:sz="4" w:space="0" w:color="000000"/>
            </w:tcBorders>
            <w:shd w:val="clear" w:color="auto" w:fill="CCCCCC"/>
          </w:tcPr>
          <w:p>
            <w:pPr/>
          </w:p>
        </w:tc>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9"/>
              <w:ind w:left="319"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1279"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008" w:type="dxa"/>
            <w:vMerge/>
            <w:tcBorders>
              <w:left w:val="single" w:sz="4" w:space="0" w:color="000000"/>
              <w:bottom w:val="single" w:sz="4" w:space="0" w:color="000000"/>
              <w:right w:val="single" w:sz="4" w:space="0" w:color="000000"/>
            </w:tcBorders>
            <w:shd w:val="clear" w:color="auto" w:fill="CCCCCC"/>
          </w:tcPr>
          <w:p>
            <w:pPr/>
          </w:p>
        </w:tc>
        <w:tc>
          <w:tcPr>
            <w:tcW w:w="1370" w:type="dxa"/>
            <w:vMerge/>
            <w:tcBorders>
              <w:left w:val="single" w:sz="4" w:space="0" w:color="000000"/>
              <w:bottom w:val="single" w:sz="4" w:space="0" w:color="000000"/>
              <w:right w:val="single" w:sz="4" w:space="0" w:color="000000"/>
            </w:tcBorders>
            <w:shd w:val="clear" w:color="auto" w:fill="CCCCCC"/>
          </w:tcPr>
          <w:p>
            <w:pPr/>
          </w:p>
        </w:tc>
        <w:tc>
          <w:tcPr>
            <w:tcW w:w="1175" w:type="dxa"/>
            <w:vMerge/>
            <w:tcBorders>
              <w:left w:val="single" w:sz="4" w:space="0" w:color="000000"/>
              <w:bottom w:val="single" w:sz="4" w:space="0" w:color="000000"/>
              <w:right w:val="single" w:sz="4" w:space="0" w:color="000000"/>
            </w:tcBorders>
            <w:shd w:val="clear" w:color="auto" w:fill="CCCCCC"/>
          </w:tcPr>
          <w:p>
            <w:pPr/>
          </w:p>
        </w:tc>
        <w:tc>
          <w:tcPr>
            <w:tcW w:w="1605" w:type="dxa"/>
            <w:vMerge/>
            <w:tcBorders>
              <w:left w:val="single" w:sz="4" w:space="0" w:color="000000"/>
              <w:bottom w:val="single" w:sz="4" w:space="0" w:color="000000"/>
              <w:right w:val="single" w:sz="12" w:space="0" w:color="000000"/>
            </w:tcBorders>
            <w:shd w:val="clear" w:color="auto" w:fill="CCCCCC"/>
          </w:tcPr>
          <w:p>
            <w:pPr/>
          </w:p>
        </w:tc>
      </w:tr>
    </w:tbl>
    <w:p>
      <w:pPr>
        <w:spacing w:after="0"/>
        <w:sectPr>
          <w:pgSz w:w="12240" w:h="15840"/>
          <w:pgMar w:header="0" w:footer="688" w:top="1360" w:bottom="88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411"/>
        <w:gridCol w:w="1008"/>
        <w:gridCol w:w="1279"/>
        <w:gridCol w:w="1008"/>
        <w:gridCol w:w="1370"/>
        <w:gridCol w:w="1175"/>
        <w:gridCol w:w="1605"/>
      </w:tblGrid>
      <w:tr>
        <w:trPr>
          <w:trHeight w:val="950" w:hRule="exact"/>
        </w:trPr>
        <w:tc>
          <w:tcPr>
            <w:tcW w:w="1411" w:type="dxa"/>
            <w:tcBorders>
              <w:top w:val="single" w:sz="4" w:space="0" w:color="000000"/>
              <w:left w:val="single" w:sz="12" w:space="0" w:color="000000"/>
              <w:bottom w:val="single" w:sz="4" w:space="0" w:color="000000"/>
              <w:right w:val="single" w:sz="4" w:space="0" w:color="000000"/>
            </w:tcBorders>
          </w:tcPr>
          <w:p>
            <w:pPr>
              <w:pStyle w:val="TableParagraph"/>
              <w:spacing w:line="237" w:lineRule="auto" w:before="92"/>
              <w:ind w:left="93" w:right="78"/>
              <w:jc w:val="both"/>
              <w:rPr>
                <w:rFonts w:ascii="宋体" w:hAnsi="宋体" w:cs="宋体" w:eastAsia="宋体" w:hint="default"/>
                <w:sz w:val="18"/>
                <w:szCs w:val="18"/>
              </w:rPr>
            </w:pPr>
            <w:r>
              <w:rPr>
                <w:rFonts w:ascii="宋体" w:hAnsi="宋体" w:cs="宋体" w:eastAsia="宋体" w:hint="default"/>
                <w:spacing w:val="18"/>
                <w:sz w:val="18"/>
                <w:szCs w:val="18"/>
              </w:rPr>
              <w:t>厦门市美亚柏</w:t>
            </w:r>
            <w:r>
              <w:rPr>
                <w:rFonts w:ascii="宋体" w:hAnsi="宋体" w:cs="宋体" w:eastAsia="宋体" w:hint="default"/>
                <w:spacing w:val="-68"/>
                <w:sz w:val="18"/>
                <w:szCs w:val="18"/>
              </w:rPr>
              <w:t> </w:t>
            </w:r>
            <w:r>
              <w:rPr>
                <w:rFonts w:ascii="宋体" w:hAnsi="宋体" w:cs="宋体" w:eastAsia="宋体" w:hint="default"/>
                <w:spacing w:val="18"/>
                <w:sz w:val="18"/>
                <w:szCs w:val="18"/>
              </w:rPr>
              <w:t>科信息安全研</w:t>
            </w:r>
            <w:r>
              <w:rPr>
                <w:rFonts w:ascii="宋体" w:hAnsi="宋体" w:cs="宋体" w:eastAsia="宋体" w:hint="default"/>
                <w:spacing w:val="-68"/>
                <w:sz w:val="18"/>
                <w:szCs w:val="18"/>
              </w:rPr>
              <w:t> </w:t>
            </w:r>
            <w:r>
              <w:rPr>
                <w:rFonts w:ascii="宋体" w:hAnsi="宋体" w:cs="宋体" w:eastAsia="宋体" w:hint="default"/>
                <w:sz w:val="18"/>
                <w:szCs w:val="18"/>
              </w:rPr>
              <w:t>究所有限公司</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2"/>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1411" w:type="dxa"/>
            <w:tcBorders>
              <w:top w:val="single" w:sz="4" w:space="0" w:color="000000"/>
              <w:left w:val="single" w:sz="12" w:space="0" w:color="000000"/>
              <w:bottom w:val="single" w:sz="4" w:space="0" w:color="000000"/>
              <w:right w:val="single" w:sz="4" w:space="0" w:color="000000"/>
            </w:tcBorders>
          </w:tcPr>
          <w:p>
            <w:pPr>
              <w:pStyle w:val="TableParagraph"/>
              <w:spacing w:line="232" w:lineRule="exact" w:before="114"/>
              <w:ind w:left="93" w:right="78"/>
              <w:jc w:val="left"/>
              <w:rPr>
                <w:rFonts w:ascii="宋体" w:hAnsi="宋体" w:cs="宋体" w:eastAsia="宋体" w:hint="default"/>
                <w:sz w:val="18"/>
                <w:szCs w:val="18"/>
              </w:rPr>
            </w:pPr>
            <w:r>
              <w:rPr>
                <w:rFonts w:ascii="宋体" w:hAnsi="宋体" w:cs="宋体" w:eastAsia="宋体" w:hint="default"/>
                <w:spacing w:val="18"/>
                <w:sz w:val="18"/>
                <w:szCs w:val="18"/>
              </w:rPr>
              <w:t>杭州创聚科技</w:t>
            </w:r>
            <w:r>
              <w:rPr>
                <w:rFonts w:ascii="宋体" w:hAnsi="宋体" w:cs="宋体" w:eastAsia="宋体" w:hint="default"/>
                <w:spacing w:val="-68"/>
                <w:sz w:val="18"/>
                <w:szCs w:val="18"/>
              </w:rPr>
              <w:t> </w:t>
            </w:r>
            <w:r>
              <w:rPr>
                <w:rFonts w:ascii="宋体" w:hAnsi="宋体" w:cs="宋体" w:eastAsia="宋体" w:hint="default"/>
                <w:sz w:val="18"/>
                <w:szCs w:val="18"/>
              </w:rPr>
              <w:t>有限公司</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605"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1184" w:hRule="exact"/>
        </w:trPr>
        <w:tc>
          <w:tcPr>
            <w:tcW w:w="1411" w:type="dxa"/>
            <w:tcBorders>
              <w:top w:val="single" w:sz="4" w:space="0" w:color="000000"/>
              <w:left w:val="single" w:sz="12" w:space="0" w:color="000000"/>
              <w:bottom w:val="single" w:sz="4"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企业类型</w:t>
            </w:r>
          </w:p>
        </w:tc>
        <w:tc>
          <w:tcPr>
            <w:tcW w:w="1279"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44" w:right="182" w:hanging="360"/>
              <w:jc w:val="left"/>
              <w:rPr>
                <w:rFonts w:ascii="宋体" w:hAnsi="宋体" w:cs="宋体" w:eastAsia="宋体" w:hint="default"/>
                <w:sz w:val="18"/>
                <w:szCs w:val="18"/>
              </w:rPr>
            </w:pPr>
            <w:r>
              <w:rPr>
                <w:rFonts w:ascii="宋体" w:hAnsi="宋体" w:cs="宋体" w:eastAsia="宋体" w:hint="default"/>
                <w:sz w:val="18"/>
                <w:szCs w:val="18"/>
              </w:rPr>
              <w:t>组织机构代 码</w:t>
            </w:r>
          </w:p>
        </w:tc>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19" w:right="137" w:hanging="180"/>
              <w:jc w:val="left"/>
              <w:rPr>
                <w:rFonts w:ascii="宋体" w:hAnsi="宋体" w:cs="宋体" w:eastAsia="宋体" w:hint="default"/>
                <w:sz w:val="18"/>
                <w:szCs w:val="18"/>
              </w:rPr>
            </w:pPr>
            <w:r>
              <w:rPr>
                <w:rFonts w:ascii="宋体" w:hAnsi="宋体" w:cs="宋体" w:eastAsia="宋体" w:hint="default"/>
                <w:sz w:val="18"/>
                <w:szCs w:val="18"/>
              </w:rPr>
              <w:t>少数股东 权益</w:t>
            </w:r>
          </w:p>
        </w:tc>
        <w:tc>
          <w:tcPr>
            <w:tcW w:w="137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37" w:lineRule="auto" w:before="92"/>
              <w:ind w:left="140" w:right="138"/>
              <w:jc w:val="both"/>
              <w:rPr>
                <w:rFonts w:ascii="宋体" w:hAnsi="宋体" w:cs="宋体" w:eastAsia="宋体" w:hint="default"/>
                <w:sz w:val="18"/>
                <w:szCs w:val="18"/>
              </w:rPr>
            </w:pPr>
            <w:r>
              <w:rPr>
                <w:rFonts w:ascii="宋体" w:hAnsi="宋体" w:cs="宋体" w:eastAsia="宋体" w:hint="default"/>
                <w:sz w:val="18"/>
                <w:szCs w:val="18"/>
              </w:rPr>
              <w:t>少数股东权益 中用于冲减少 数股东损益的 金额（元）</w:t>
            </w:r>
          </w:p>
        </w:tc>
        <w:tc>
          <w:tcPr>
            <w:tcW w:w="2780" w:type="dxa"/>
            <w:gridSpan w:val="2"/>
            <w:tcBorders>
              <w:top w:val="single" w:sz="4" w:space="0" w:color="000000"/>
              <w:left w:val="single" w:sz="4" w:space="0" w:color="000000"/>
              <w:bottom w:val="single" w:sz="4" w:space="0" w:color="000000"/>
              <w:right w:val="single" w:sz="12" w:space="0" w:color="000000"/>
            </w:tcBorders>
            <w:shd w:val="clear" w:color="auto" w:fill="CCCCCC"/>
          </w:tcPr>
          <w:p>
            <w:pPr>
              <w:pStyle w:val="TableParagraph"/>
              <w:spacing w:line="237" w:lineRule="auto" w:before="92"/>
              <w:ind w:left="103" w:right="134"/>
              <w:jc w:val="both"/>
              <w:rPr>
                <w:rFonts w:ascii="宋体" w:hAnsi="宋体" w:cs="宋体" w:eastAsia="宋体" w:hint="default"/>
                <w:sz w:val="18"/>
                <w:szCs w:val="18"/>
              </w:rPr>
            </w:pPr>
            <w:r>
              <w:rPr>
                <w:rFonts w:ascii="宋体" w:hAnsi="宋体" w:cs="宋体" w:eastAsia="宋体" w:hint="default"/>
                <w:sz w:val="18"/>
                <w:szCs w:val="18"/>
              </w:rPr>
              <w:t>从母公司所有者权益冲减子公司 少数股东分担的本期亏损超过少 数股东在该子公司期初所有者权 益中所享有份额后的余额（元）</w:t>
            </w:r>
          </w:p>
        </w:tc>
      </w:tr>
      <w:tr>
        <w:trPr>
          <w:trHeight w:val="950" w:hRule="exact"/>
        </w:trPr>
        <w:tc>
          <w:tcPr>
            <w:tcW w:w="1411" w:type="dxa"/>
            <w:tcBorders>
              <w:top w:val="single" w:sz="4" w:space="0" w:color="000000"/>
              <w:left w:val="single" w:sz="12" w:space="0" w:color="000000"/>
              <w:bottom w:val="single" w:sz="4" w:space="0" w:color="000000"/>
              <w:right w:val="single" w:sz="4" w:space="0" w:color="000000"/>
            </w:tcBorders>
          </w:tcPr>
          <w:p>
            <w:pPr>
              <w:pStyle w:val="TableParagraph"/>
              <w:spacing w:line="237" w:lineRule="auto" w:before="92"/>
              <w:ind w:left="93" w:right="78"/>
              <w:jc w:val="both"/>
              <w:rPr>
                <w:rFonts w:ascii="宋体" w:hAnsi="宋体" w:cs="宋体" w:eastAsia="宋体" w:hint="default"/>
                <w:sz w:val="18"/>
                <w:szCs w:val="18"/>
              </w:rPr>
            </w:pPr>
            <w:r>
              <w:rPr>
                <w:rFonts w:ascii="宋体" w:hAnsi="宋体" w:cs="宋体" w:eastAsia="宋体" w:hint="default"/>
                <w:spacing w:val="18"/>
                <w:sz w:val="18"/>
                <w:szCs w:val="18"/>
              </w:rPr>
              <w:t>厦门市美亚柏</w:t>
            </w:r>
            <w:r>
              <w:rPr>
                <w:rFonts w:ascii="宋体" w:hAnsi="宋体" w:cs="宋体" w:eastAsia="宋体" w:hint="default"/>
                <w:spacing w:val="-68"/>
                <w:sz w:val="18"/>
                <w:szCs w:val="18"/>
              </w:rPr>
              <w:t> </w:t>
            </w:r>
            <w:r>
              <w:rPr>
                <w:rFonts w:ascii="宋体" w:hAnsi="宋体" w:cs="宋体" w:eastAsia="宋体" w:hint="default"/>
                <w:spacing w:val="18"/>
                <w:sz w:val="18"/>
                <w:szCs w:val="18"/>
              </w:rPr>
              <w:t>科信息安全研</w:t>
            </w:r>
            <w:r>
              <w:rPr>
                <w:rFonts w:ascii="宋体" w:hAnsi="宋体" w:cs="宋体" w:eastAsia="宋体" w:hint="default"/>
                <w:spacing w:val="-68"/>
                <w:sz w:val="18"/>
                <w:szCs w:val="18"/>
              </w:rPr>
              <w:t> </w:t>
            </w:r>
            <w:r>
              <w:rPr>
                <w:rFonts w:ascii="宋体" w:hAnsi="宋体" w:cs="宋体" w:eastAsia="宋体" w:hint="default"/>
                <w:sz w:val="18"/>
                <w:szCs w:val="18"/>
              </w:rPr>
              <w:t>究所有限公司</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有限公司</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5"/>
                <w:sz w:val="18"/>
              </w:rPr>
              <w:t>76929158-0</w:t>
            </w:r>
            <w:r>
              <w:rPr>
                <w:rFonts w:ascii="Times New Roman"/>
                <w:sz w:val="18"/>
              </w:rPr>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780"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27" w:hRule="exact"/>
        </w:trPr>
        <w:tc>
          <w:tcPr>
            <w:tcW w:w="1411" w:type="dxa"/>
            <w:tcBorders>
              <w:top w:val="single" w:sz="4" w:space="0" w:color="000000"/>
              <w:left w:val="single" w:sz="12" w:space="0" w:color="000000"/>
              <w:bottom w:val="single" w:sz="12" w:space="0" w:color="000000"/>
              <w:right w:val="single" w:sz="4" w:space="0" w:color="000000"/>
            </w:tcBorders>
          </w:tcPr>
          <w:p>
            <w:pPr>
              <w:pStyle w:val="TableParagraph"/>
              <w:spacing w:line="232" w:lineRule="exact" w:before="114"/>
              <w:ind w:left="93" w:right="78"/>
              <w:jc w:val="left"/>
              <w:rPr>
                <w:rFonts w:ascii="宋体" w:hAnsi="宋体" w:cs="宋体" w:eastAsia="宋体" w:hint="default"/>
                <w:sz w:val="18"/>
                <w:szCs w:val="18"/>
              </w:rPr>
            </w:pPr>
            <w:r>
              <w:rPr>
                <w:rFonts w:ascii="宋体" w:hAnsi="宋体" w:cs="宋体" w:eastAsia="宋体" w:hint="default"/>
                <w:spacing w:val="18"/>
                <w:sz w:val="18"/>
                <w:szCs w:val="18"/>
              </w:rPr>
              <w:t>杭州创聚科技</w:t>
            </w:r>
            <w:r>
              <w:rPr>
                <w:rFonts w:ascii="宋体" w:hAnsi="宋体" w:cs="宋体" w:eastAsia="宋体" w:hint="default"/>
                <w:spacing w:val="-68"/>
                <w:sz w:val="18"/>
                <w:szCs w:val="18"/>
              </w:rPr>
              <w:t> </w:t>
            </w:r>
            <w:r>
              <w:rPr>
                <w:rFonts w:ascii="宋体" w:hAnsi="宋体" w:cs="宋体" w:eastAsia="宋体" w:hint="default"/>
                <w:sz w:val="18"/>
                <w:szCs w:val="18"/>
              </w:rPr>
              <w:t>有限公司</w:t>
            </w:r>
          </w:p>
        </w:tc>
        <w:tc>
          <w:tcPr>
            <w:tcW w:w="10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有限公司</w:t>
            </w:r>
          </w:p>
        </w:tc>
        <w:tc>
          <w:tcPr>
            <w:tcW w:w="127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67397208-2</w:t>
            </w:r>
            <w:r>
              <w:rPr>
                <w:rFonts w:ascii="Times New Roman"/>
                <w:sz w:val="18"/>
              </w:rPr>
            </w:r>
          </w:p>
        </w:tc>
        <w:tc>
          <w:tcPr>
            <w:tcW w:w="10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780" w:type="dxa"/>
            <w:gridSpan w:val="2"/>
            <w:tcBorders>
              <w:top w:val="single" w:sz="4" w:space="0" w:color="000000"/>
              <w:left w:val="single" w:sz="4"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line="240" w:lineRule="auto" w:before="5"/>
        <w:rPr>
          <w:rFonts w:ascii="宋体" w:hAnsi="宋体" w:cs="宋体" w:eastAsia="宋体" w:hint="default"/>
          <w:sz w:val="13"/>
          <w:szCs w:val="13"/>
        </w:rPr>
      </w:pPr>
    </w:p>
    <w:p>
      <w:pPr>
        <w:pStyle w:val="Heading3"/>
        <w:spacing w:line="240" w:lineRule="auto" w:before="26"/>
        <w:ind w:left="722" w:right="279"/>
        <w:jc w:val="left"/>
        <w:rPr>
          <w:b w:val="0"/>
          <w:bCs w:val="0"/>
        </w:rPr>
      </w:pPr>
      <w:r>
        <w:rPr>
          <w:rFonts w:ascii="Times New Roman" w:hAnsi="Times New Roman" w:cs="Times New Roman" w:eastAsia="Times New Roman" w:hint="default"/>
        </w:rPr>
        <w:t>2</w:t>
      </w:r>
      <w:r>
        <w:rPr/>
        <w:t>、子公司经营及业绩情况</w:t>
      </w:r>
      <w:r>
        <w:rPr>
          <w:b w:val="0"/>
          <w:bCs w:val="0"/>
        </w:rPr>
      </w:r>
    </w:p>
    <w:p>
      <w:pPr>
        <w:spacing w:line="240" w:lineRule="auto" w:before="3"/>
        <w:rPr>
          <w:rFonts w:ascii="宋体" w:hAnsi="宋体" w:cs="宋体" w:eastAsia="宋体" w:hint="default"/>
          <w:b/>
          <w:bCs/>
          <w:sz w:val="26"/>
          <w:szCs w:val="26"/>
        </w:rPr>
      </w:pPr>
    </w:p>
    <w:p>
      <w:pPr>
        <w:spacing w:before="35"/>
        <w:ind w:left="0" w:right="318"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1635"/>
        <w:gridCol w:w="814"/>
        <w:gridCol w:w="900"/>
        <w:gridCol w:w="720"/>
        <w:gridCol w:w="1080"/>
        <w:gridCol w:w="900"/>
        <w:gridCol w:w="900"/>
        <w:gridCol w:w="900"/>
        <w:gridCol w:w="1079"/>
      </w:tblGrid>
      <w:tr>
        <w:trPr>
          <w:trHeight w:val="532" w:hRule="exact"/>
        </w:trPr>
        <w:tc>
          <w:tcPr>
            <w:tcW w:w="1635" w:type="dxa"/>
            <w:vMerge w:val="restart"/>
            <w:tcBorders>
              <w:top w:val="single" w:sz="12" w:space="0" w:color="000000"/>
              <w:left w:val="single" w:sz="12" w:space="0" w:color="000000"/>
              <w:right w:val="single" w:sz="4" w:space="0" w:color="000000"/>
            </w:tcBorders>
            <w:shd w:val="clear" w:color="auto" w:fill="CCCCC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名称</w:t>
            </w:r>
          </w:p>
        </w:tc>
        <w:tc>
          <w:tcPr>
            <w:tcW w:w="1714" w:type="dxa"/>
            <w:gridSpan w:val="2"/>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4"/>
              <w:ind w:left="431"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00" w:type="dxa"/>
            <w:gridSpan w:val="2"/>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4"/>
              <w:ind w:left="579"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00" w:type="dxa"/>
            <w:gridSpan w:val="2"/>
            <w:tcBorders>
              <w:top w:val="single" w:sz="12"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4"/>
              <w:ind w:left="579" w:right="0"/>
              <w:jc w:val="left"/>
              <w:rPr>
                <w:rFonts w:ascii="宋体" w:hAnsi="宋体" w:cs="宋体" w:eastAsia="宋体" w:hint="default"/>
                <w:sz w:val="21"/>
                <w:szCs w:val="21"/>
              </w:rPr>
            </w:pPr>
            <w:r>
              <w:rPr>
                <w:rFonts w:ascii="宋体" w:hAnsi="宋体" w:cs="宋体" w:eastAsia="宋体" w:hint="default"/>
                <w:sz w:val="21"/>
                <w:szCs w:val="21"/>
              </w:rPr>
              <w:t>总资产</w:t>
            </w:r>
          </w:p>
        </w:tc>
        <w:tc>
          <w:tcPr>
            <w:tcW w:w="1979" w:type="dxa"/>
            <w:gridSpan w:val="2"/>
            <w:tcBorders>
              <w:top w:val="single" w:sz="12" w:space="0" w:color="000000"/>
              <w:left w:val="single" w:sz="4" w:space="0" w:color="000000"/>
              <w:bottom w:val="single" w:sz="4" w:space="0" w:color="000000"/>
              <w:right w:val="single" w:sz="12" w:space="0" w:color="000000"/>
            </w:tcBorders>
            <w:shd w:val="clear" w:color="auto" w:fill="CCCCCC"/>
          </w:tcPr>
          <w:p>
            <w:pPr>
              <w:pStyle w:val="TableParagraph"/>
              <w:spacing w:line="240" w:lineRule="auto" w:before="84"/>
              <w:ind w:left="9" w:right="0"/>
              <w:jc w:val="center"/>
              <w:rPr>
                <w:rFonts w:ascii="宋体" w:hAnsi="宋体" w:cs="宋体" w:eastAsia="宋体" w:hint="default"/>
                <w:sz w:val="21"/>
                <w:szCs w:val="21"/>
              </w:rPr>
            </w:pPr>
            <w:r>
              <w:rPr>
                <w:rFonts w:ascii="宋体" w:hAnsi="宋体" w:cs="宋体" w:eastAsia="宋体" w:hint="default"/>
                <w:sz w:val="21"/>
                <w:szCs w:val="21"/>
              </w:rPr>
              <w:t>净资产</w:t>
            </w:r>
          </w:p>
        </w:tc>
      </w:tr>
      <w:tr>
        <w:trPr>
          <w:trHeight w:val="794" w:hRule="exact"/>
        </w:trPr>
        <w:tc>
          <w:tcPr>
            <w:tcW w:w="1635" w:type="dxa"/>
            <w:vMerge/>
            <w:tcBorders>
              <w:left w:val="single" w:sz="12" w:space="0" w:color="000000"/>
              <w:bottom w:val="single" w:sz="4" w:space="0" w:color="000000"/>
              <w:right w:val="single" w:sz="4" w:space="0" w:color="000000"/>
            </w:tcBorders>
            <w:shd w:val="clear" w:color="auto" w:fill="CCCCCC"/>
          </w:tcPr>
          <w:p>
            <w:pPr/>
          </w:p>
        </w:tc>
        <w:tc>
          <w:tcPr>
            <w:tcW w:w="81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25" w:lineRule="exact" w:before="134"/>
              <w:ind w:left="1" w:right="0"/>
              <w:jc w:val="center"/>
              <w:rPr>
                <w:rFonts w:ascii="Times New Roman" w:hAnsi="Times New Roman" w:cs="Times New Roman" w:eastAsia="Times New Roman" w:hint="default"/>
                <w:sz w:val="21"/>
                <w:szCs w:val="21"/>
              </w:rPr>
            </w:pPr>
            <w:r>
              <w:rPr>
                <w:rFonts w:ascii="Times New Roman"/>
                <w:sz w:val="21"/>
              </w:rPr>
              <w:t>2011</w:t>
            </w:r>
          </w:p>
          <w:p>
            <w:pPr>
              <w:pStyle w:val="TableParagraph"/>
              <w:spacing w:line="258" w:lineRule="exact"/>
              <w:ind w:right="1"/>
              <w:jc w:val="center"/>
              <w:rPr>
                <w:rFonts w:ascii="宋体" w:hAnsi="宋体" w:cs="宋体" w:eastAsia="宋体" w:hint="default"/>
                <w:sz w:val="21"/>
                <w:szCs w:val="21"/>
              </w:rPr>
            </w:pPr>
            <w:r>
              <w:rPr>
                <w:rFonts w:ascii="宋体" w:hAnsi="宋体" w:cs="宋体" w:eastAsia="宋体" w:hint="default"/>
                <w:sz w:val="21"/>
                <w:szCs w:val="21"/>
              </w:rPr>
              <w:t>年</w:t>
            </w:r>
          </w:p>
        </w:tc>
        <w:tc>
          <w:tcPr>
            <w:tcW w:w="90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12"/>
              <w:ind w:left="235" w:right="128" w:hanging="106"/>
              <w:jc w:val="left"/>
              <w:rPr>
                <w:rFonts w:ascii="宋体" w:hAnsi="宋体" w:cs="宋体" w:eastAsia="宋体" w:hint="default"/>
                <w:sz w:val="21"/>
                <w:szCs w:val="21"/>
              </w:rPr>
            </w:pPr>
            <w:r>
              <w:rPr>
                <w:rFonts w:ascii="宋体" w:hAnsi="宋体" w:cs="宋体" w:eastAsia="宋体" w:hint="default"/>
                <w:sz w:val="21"/>
                <w:szCs w:val="21"/>
              </w:rPr>
              <w:t>较上年 增减</w:t>
            </w:r>
          </w:p>
        </w:tc>
        <w:tc>
          <w:tcPr>
            <w:tcW w:w="72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25" w:lineRule="exact" w:before="134"/>
              <w:ind w:left="1" w:right="0"/>
              <w:jc w:val="center"/>
              <w:rPr>
                <w:rFonts w:ascii="Times New Roman" w:hAnsi="Times New Roman" w:cs="Times New Roman" w:eastAsia="Times New Roman" w:hint="default"/>
                <w:sz w:val="21"/>
                <w:szCs w:val="21"/>
              </w:rPr>
            </w:pPr>
            <w:r>
              <w:rPr>
                <w:rFonts w:ascii="Times New Roman"/>
                <w:sz w:val="21"/>
              </w:rPr>
              <w:t>2011</w:t>
            </w:r>
          </w:p>
          <w:p>
            <w:pPr>
              <w:pStyle w:val="TableParagraph"/>
              <w:spacing w:line="258" w:lineRule="exact"/>
              <w:ind w:right="1"/>
              <w:jc w:val="center"/>
              <w:rPr>
                <w:rFonts w:ascii="宋体" w:hAnsi="宋体" w:cs="宋体" w:eastAsia="宋体" w:hint="default"/>
                <w:sz w:val="21"/>
                <w:szCs w:val="21"/>
              </w:rPr>
            </w:pPr>
            <w:r>
              <w:rPr>
                <w:rFonts w:ascii="宋体" w:hAnsi="宋体" w:cs="宋体" w:eastAsia="宋体" w:hint="default"/>
                <w:sz w:val="21"/>
                <w:szCs w:val="21"/>
              </w:rPr>
              <w:t>年</w:t>
            </w:r>
          </w:p>
        </w:tc>
        <w:tc>
          <w:tcPr>
            <w:tcW w:w="108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12"/>
              <w:ind w:left="429" w:right="113" w:hanging="315"/>
              <w:jc w:val="left"/>
              <w:rPr>
                <w:rFonts w:ascii="宋体" w:hAnsi="宋体" w:cs="宋体" w:eastAsia="宋体" w:hint="default"/>
                <w:sz w:val="21"/>
                <w:szCs w:val="21"/>
              </w:rPr>
            </w:pPr>
            <w:r>
              <w:rPr>
                <w:rFonts w:ascii="宋体" w:hAnsi="宋体" w:cs="宋体" w:eastAsia="宋体" w:hint="default"/>
                <w:sz w:val="21"/>
                <w:szCs w:val="21"/>
              </w:rPr>
              <w:t>较上年增 减</w:t>
            </w:r>
          </w:p>
        </w:tc>
        <w:tc>
          <w:tcPr>
            <w:tcW w:w="90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82" w:lineRule="exact" w:before="8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末</w:t>
            </w:r>
          </w:p>
        </w:tc>
        <w:tc>
          <w:tcPr>
            <w:tcW w:w="90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12"/>
              <w:ind w:left="235" w:right="128" w:hanging="106"/>
              <w:jc w:val="left"/>
              <w:rPr>
                <w:rFonts w:ascii="宋体" w:hAnsi="宋体" w:cs="宋体" w:eastAsia="宋体" w:hint="default"/>
                <w:sz w:val="21"/>
                <w:szCs w:val="21"/>
              </w:rPr>
            </w:pPr>
            <w:r>
              <w:rPr>
                <w:rFonts w:ascii="宋体" w:hAnsi="宋体" w:cs="宋体" w:eastAsia="宋体" w:hint="default"/>
                <w:sz w:val="21"/>
                <w:szCs w:val="21"/>
              </w:rPr>
              <w:t>较上年 增减</w:t>
            </w:r>
          </w:p>
        </w:tc>
        <w:tc>
          <w:tcPr>
            <w:tcW w:w="90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82" w:lineRule="exact" w:before="8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末</w:t>
            </w:r>
          </w:p>
        </w:tc>
        <w:tc>
          <w:tcPr>
            <w:tcW w:w="1079" w:type="dxa"/>
            <w:tcBorders>
              <w:top w:val="single" w:sz="4" w:space="0" w:color="000000"/>
              <w:left w:val="single" w:sz="4" w:space="0" w:color="000000"/>
              <w:bottom w:val="single" w:sz="4" w:space="0" w:color="000000"/>
              <w:right w:val="single" w:sz="12" w:space="0" w:color="000000"/>
            </w:tcBorders>
            <w:shd w:val="clear" w:color="auto" w:fill="CCCCCC"/>
          </w:tcPr>
          <w:p>
            <w:pPr>
              <w:pStyle w:val="TableParagraph"/>
              <w:spacing w:line="272" w:lineRule="exact" w:before="112"/>
              <w:ind w:left="376" w:right="156" w:hanging="316"/>
              <w:jc w:val="left"/>
              <w:rPr>
                <w:rFonts w:ascii="宋体" w:hAnsi="宋体" w:cs="宋体" w:eastAsia="宋体" w:hint="default"/>
                <w:sz w:val="21"/>
                <w:szCs w:val="21"/>
              </w:rPr>
            </w:pPr>
            <w:r>
              <w:rPr>
                <w:rFonts w:ascii="宋体" w:hAnsi="宋体" w:cs="宋体" w:eastAsia="宋体" w:hint="default"/>
                <w:sz w:val="21"/>
                <w:szCs w:val="21"/>
              </w:rPr>
              <w:t>较上年增 减</w:t>
            </w:r>
          </w:p>
        </w:tc>
      </w:tr>
      <w:tr>
        <w:trPr>
          <w:trHeight w:val="1068" w:hRule="exact"/>
        </w:trPr>
        <w:tc>
          <w:tcPr>
            <w:tcW w:w="1635" w:type="dxa"/>
            <w:tcBorders>
              <w:top w:val="single" w:sz="4" w:space="0" w:color="000000"/>
              <w:left w:val="single" w:sz="12" w:space="0" w:color="000000"/>
              <w:bottom w:val="single" w:sz="4" w:space="0" w:color="000000"/>
              <w:right w:val="single" w:sz="4" w:space="0" w:color="000000"/>
            </w:tcBorders>
          </w:tcPr>
          <w:p>
            <w:pPr>
              <w:pStyle w:val="TableParagraph"/>
              <w:spacing w:line="272" w:lineRule="exact" w:before="112"/>
              <w:ind w:left="93" w:right="259"/>
              <w:jc w:val="both"/>
              <w:rPr>
                <w:rFonts w:ascii="宋体" w:hAnsi="宋体" w:cs="宋体" w:eastAsia="宋体" w:hint="default"/>
                <w:sz w:val="21"/>
                <w:szCs w:val="21"/>
              </w:rPr>
            </w:pPr>
            <w:r>
              <w:rPr>
                <w:rFonts w:ascii="宋体" w:hAnsi="宋体" w:cs="宋体" w:eastAsia="宋体" w:hint="default"/>
                <w:sz w:val="21"/>
                <w:szCs w:val="21"/>
              </w:rPr>
              <w:t>厦门市美亚柏 科信息安全研 究所有限公司</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123" w:right="0"/>
              <w:jc w:val="left"/>
              <w:rPr>
                <w:rFonts w:ascii="Times New Roman" w:hAnsi="Times New Roman" w:cs="Times New Roman" w:eastAsia="Times New Roman" w:hint="default"/>
                <w:sz w:val="21"/>
                <w:szCs w:val="21"/>
              </w:rPr>
            </w:pPr>
            <w:r>
              <w:rPr>
                <w:rFonts w:ascii="Times New Roman"/>
                <w:sz w:val="21"/>
              </w:rPr>
              <w:t>781.92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01"/>
              <w:jc w:val="right"/>
              <w:rPr>
                <w:rFonts w:ascii="Times New Roman" w:hAnsi="Times New Roman" w:cs="Times New Roman" w:eastAsia="Times New Roman" w:hint="default"/>
                <w:sz w:val="21"/>
                <w:szCs w:val="21"/>
              </w:rPr>
            </w:pPr>
            <w:r>
              <w:rPr>
                <w:rFonts w:ascii="Times New Roman"/>
                <w:spacing w:val="-1"/>
                <w:sz w:val="21"/>
              </w:rPr>
              <w:t>348.36%</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28" w:right="0"/>
              <w:jc w:val="left"/>
              <w:rPr>
                <w:rFonts w:ascii="Times New Roman" w:hAnsi="Times New Roman" w:cs="Times New Roman" w:eastAsia="Times New Roman" w:hint="default"/>
                <w:sz w:val="21"/>
                <w:szCs w:val="21"/>
              </w:rPr>
            </w:pPr>
            <w:r>
              <w:rPr>
                <w:rFonts w:ascii="Times New Roman"/>
                <w:sz w:val="21"/>
              </w:rPr>
              <w:t>162.03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01"/>
              <w:jc w:val="right"/>
              <w:rPr>
                <w:rFonts w:ascii="Times New Roman" w:hAnsi="Times New Roman" w:cs="Times New Roman" w:eastAsia="Times New Roman" w:hint="default"/>
                <w:sz w:val="21"/>
                <w:szCs w:val="21"/>
              </w:rPr>
            </w:pPr>
            <w:r>
              <w:rPr>
                <w:rFonts w:ascii="Times New Roman"/>
                <w:spacing w:val="-1"/>
                <w:sz w:val="21"/>
              </w:rPr>
              <w:t>1314.89%</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51" w:right="0"/>
              <w:jc w:val="left"/>
              <w:rPr>
                <w:rFonts w:ascii="Times New Roman" w:hAnsi="Times New Roman" w:cs="Times New Roman" w:eastAsia="Times New Roman" w:hint="default"/>
                <w:sz w:val="21"/>
                <w:szCs w:val="21"/>
              </w:rPr>
            </w:pPr>
            <w:r>
              <w:rPr>
                <w:rFonts w:ascii="Times New Roman"/>
                <w:sz w:val="21"/>
              </w:rPr>
              <w:t>1,387.30</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33" w:right="0"/>
              <w:jc w:val="left"/>
              <w:rPr>
                <w:rFonts w:ascii="Times New Roman" w:hAnsi="Times New Roman" w:cs="Times New Roman" w:eastAsia="Times New Roman" w:hint="default"/>
                <w:sz w:val="21"/>
                <w:szCs w:val="21"/>
              </w:rPr>
            </w:pPr>
            <w:r>
              <w:rPr>
                <w:rFonts w:ascii="Times New Roman"/>
                <w:sz w:val="21"/>
              </w:rPr>
              <w:t>754.44%</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right="101"/>
              <w:jc w:val="right"/>
              <w:rPr>
                <w:rFonts w:ascii="Times New Roman" w:hAnsi="Times New Roman" w:cs="Times New Roman" w:eastAsia="Times New Roman" w:hint="default"/>
                <w:sz w:val="21"/>
                <w:szCs w:val="21"/>
              </w:rPr>
            </w:pPr>
            <w:r>
              <w:rPr>
                <w:rFonts w:ascii="Times New Roman"/>
                <w:spacing w:val="-1"/>
                <w:sz w:val="21"/>
              </w:rPr>
              <w:t>947.67</w:t>
            </w:r>
          </w:p>
        </w:tc>
        <w:tc>
          <w:tcPr>
            <w:tcW w:w="10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4"/>
              <w:ind w:left="16" w:right="0"/>
              <w:jc w:val="center"/>
              <w:rPr>
                <w:rFonts w:ascii="Times New Roman" w:hAnsi="Times New Roman" w:cs="Times New Roman" w:eastAsia="Times New Roman" w:hint="default"/>
                <w:sz w:val="21"/>
                <w:szCs w:val="21"/>
              </w:rPr>
            </w:pPr>
            <w:r>
              <w:rPr>
                <w:rFonts w:ascii="Times New Roman"/>
                <w:sz w:val="21"/>
              </w:rPr>
              <w:t>6699.40%</w:t>
            </w:r>
          </w:p>
        </w:tc>
      </w:tr>
      <w:tr>
        <w:trPr>
          <w:trHeight w:val="805" w:hRule="exact"/>
        </w:trPr>
        <w:tc>
          <w:tcPr>
            <w:tcW w:w="1635" w:type="dxa"/>
            <w:tcBorders>
              <w:top w:val="single" w:sz="4" w:space="0" w:color="000000"/>
              <w:left w:val="single" w:sz="12" w:space="0" w:color="000000"/>
              <w:bottom w:val="single" w:sz="12" w:space="0" w:color="000000"/>
              <w:right w:val="single" w:sz="4" w:space="0" w:color="000000"/>
            </w:tcBorders>
          </w:tcPr>
          <w:p>
            <w:pPr>
              <w:pStyle w:val="TableParagraph"/>
              <w:spacing w:line="272" w:lineRule="exact" w:before="112"/>
              <w:ind w:left="93" w:right="259"/>
              <w:jc w:val="left"/>
              <w:rPr>
                <w:rFonts w:ascii="宋体" w:hAnsi="宋体" w:cs="宋体" w:eastAsia="宋体" w:hint="default"/>
                <w:sz w:val="21"/>
                <w:szCs w:val="21"/>
              </w:rPr>
            </w:pPr>
            <w:r>
              <w:rPr>
                <w:rFonts w:ascii="宋体" w:hAnsi="宋体" w:cs="宋体" w:eastAsia="宋体" w:hint="default"/>
                <w:sz w:val="21"/>
                <w:szCs w:val="21"/>
              </w:rPr>
              <w:t>杭州创聚科技 有限公司</w:t>
            </w:r>
          </w:p>
        </w:tc>
        <w:tc>
          <w:tcPr>
            <w:tcW w:w="81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23" w:right="0"/>
              <w:jc w:val="left"/>
              <w:rPr>
                <w:rFonts w:ascii="Times New Roman" w:hAnsi="Times New Roman" w:cs="Times New Roman" w:eastAsia="Times New Roman" w:hint="default"/>
                <w:sz w:val="21"/>
                <w:szCs w:val="21"/>
              </w:rPr>
            </w:pPr>
            <w:r>
              <w:rPr>
                <w:rFonts w:ascii="Times New Roman"/>
                <w:sz w:val="21"/>
              </w:rPr>
              <w:t>742.52</w:t>
            </w:r>
          </w:p>
        </w:tc>
        <w:tc>
          <w:tcPr>
            <w:tcW w:w="9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57.32%</w:t>
            </w:r>
          </w:p>
        </w:tc>
        <w:tc>
          <w:tcPr>
            <w:tcW w:w="72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62" w:right="0"/>
              <w:jc w:val="left"/>
              <w:rPr>
                <w:rFonts w:ascii="Times New Roman" w:hAnsi="Times New Roman" w:cs="Times New Roman" w:eastAsia="Times New Roman" w:hint="default"/>
                <w:sz w:val="21"/>
                <w:szCs w:val="21"/>
              </w:rPr>
            </w:pPr>
            <w:r>
              <w:rPr>
                <w:rFonts w:ascii="Times New Roman"/>
                <w:sz w:val="21"/>
              </w:rPr>
              <w:t>-20.77</w:t>
            </w:r>
          </w:p>
        </w:tc>
        <w:tc>
          <w:tcPr>
            <w:tcW w:w="10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8.57%</w:t>
            </w:r>
          </w:p>
        </w:tc>
        <w:tc>
          <w:tcPr>
            <w:tcW w:w="9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51" w:right="0"/>
              <w:jc w:val="left"/>
              <w:rPr>
                <w:rFonts w:ascii="Times New Roman" w:hAnsi="Times New Roman" w:cs="Times New Roman" w:eastAsia="Times New Roman" w:hint="default"/>
                <w:sz w:val="21"/>
                <w:szCs w:val="21"/>
              </w:rPr>
            </w:pPr>
            <w:r>
              <w:rPr>
                <w:rFonts w:ascii="Times New Roman"/>
                <w:sz w:val="21"/>
              </w:rPr>
              <w:t>1,425.89</w:t>
            </w:r>
          </w:p>
        </w:tc>
        <w:tc>
          <w:tcPr>
            <w:tcW w:w="9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34" w:right="0"/>
              <w:jc w:val="left"/>
              <w:rPr>
                <w:rFonts w:ascii="Times New Roman" w:hAnsi="Times New Roman" w:cs="Times New Roman" w:eastAsia="Times New Roman" w:hint="default"/>
                <w:sz w:val="21"/>
                <w:szCs w:val="21"/>
              </w:rPr>
            </w:pPr>
            <w:r>
              <w:rPr>
                <w:rFonts w:ascii="Times New Roman"/>
                <w:sz w:val="21"/>
              </w:rPr>
              <w:t>309.09%</w:t>
            </w:r>
          </w:p>
        </w:tc>
        <w:tc>
          <w:tcPr>
            <w:tcW w:w="9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999.80</w:t>
            </w:r>
          </w:p>
        </w:tc>
        <w:tc>
          <w:tcPr>
            <w:tcW w:w="107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22" w:right="0"/>
              <w:jc w:val="center"/>
              <w:rPr>
                <w:rFonts w:ascii="Times New Roman" w:hAnsi="Times New Roman" w:cs="Times New Roman" w:eastAsia="Times New Roman" w:hint="default"/>
                <w:sz w:val="21"/>
                <w:szCs w:val="21"/>
              </w:rPr>
            </w:pPr>
            <w:r>
              <w:rPr>
                <w:rFonts w:ascii="Times New Roman"/>
                <w:sz w:val="21"/>
              </w:rPr>
              <w:t>729.25%</w:t>
            </w:r>
          </w:p>
        </w:tc>
      </w:tr>
    </w:tbl>
    <w:p>
      <w:pPr>
        <w:pStyle w:val="BodyText"/>
        <w:spacing w:line="240" w:lineRule="auto" w:before="81"/>
        <w:ind w:left="720" w:right="279"/>
        <w:jc w:val="left"/>
      </w:pPr>
      <w:r>
        <w:rPr/>
        <w:t>截至</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r>
        <w:rPr>
          <w:spacing w:val="-112"/>
        </w:rPr>
        <w:t>，</w:t>
      </w:r>
      <w:r>
        <w:rPr/>
        <w:t>子公司厦门市美亚柏科信息安全研究所有限公司总资</w:t>
      </w:r>
    </w:p>
    <w:p>
      <w:pPr>
        <w:pStyle w:val="BodyText"/>
        <w:spacing w:line="240" w:lineRule="auto" w:before="134"/>
        <w:ind w:left="240" w:right="279"/>
        <w:jc w:val="left"/>
      </w:pPr>
      <w:r>
        <w:rPr/>
        <w:t>产</w:t>
      </w:r>
      <w:r>
        <w:rPr>
          <w:spacing w:val="-53"/>
        </w:rPr>
        <w:t> </w:t>
      </w:r>
      <w:r>
        <w:rPr>
          <w:rFonts w:ascii="Times New Roman" w:hAnsi="Times New Roman" w:cs="Times New Roman" w:eastAsia="Times New Roman" w:hint="default"/>
        </w:rPr>
        <w:t>1,387.30</w:t>
      </w:r>
      <w:r>
        <w:rPr>
          <w:rFonts w:ascii="Times New Roman" w:hAnsi="Times New Roman" w:cs="Times New Roman" w:eastAsia="Times New Roman" w:hint="default"/>
          <w:spacing w:val="7"/>
        </w:rPr>
        <w:t> </w:t>
      </w:r>
      <w:r>
        <w:rPr/>
        <w:t>万元，净资产</w:t>
      </w:r>
      <w:r>
        <w:rPr>
          <w:spacing w:val="-53"/>
        </w:rPr>
        <w:t> </w:t>
      </w:r>
      <w:r>
        <w:rPr>
          <w:rFonts w:ascii="Times New Roman" w:hAnsi="Times New Roman" w:cs="Times New Roman" w:eastAsia="Times New Roman" w:hint="default"/>
        </w:rPr>
        <w:t>947.67</w:t>
      </w:r>
      <w:r>
        <w:rPr>
          <w:rFonts w:ascii="Times New Roman" w:hAnsi="Times New Roman" w:cs="Times New Roman" w:eastAsia="Times New Roman" w:hint="default"/>
          <w:spacing w:val="7"/>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t>年度实现营业收入</w:t>
      </w:r>
      <w:r>
        <w:rPr>
          <w:spacing w:val="-53"/>
        </w:rPr>
        <w:t> </w:t>
      </w:r>
      <w:r>
        <w:rPr>
          <w:rFonts w:ascii="Times New Roman" w:hAnsi="Times New Roman" w:cs="Times New Roman" w:eastAsia="Times New Roman" w:hint="default"/>
        </w:rPr>
        <w:t>781.92</w:t>
      </w:r>
      <w:r>
        <w:rPr>
          <w:rFonts w:ascii="Times New Roman" w:hAnsi="Times New Roman" w:cs="Times New Roman" w:eastAsia="Times New Roman" w:hint="default"/>
          <w:spacing w:val="7"/>
        </w:rPr>
        <w:t> </w:t>
      </w:r>
      <w:r>
        <w:rPr/>
        <w:t>万元，净利</w:t>
      </w:r>
    </w:p>
    <w:p>
      <w:pPr>
        <w:pStyle w:val="BodyText"/>
        <w:spacing w:line="240" w:lineRule="auto" w:before="134"/>
        <w:ind w:left="240" w:right="279"/>
        <w:jc w:val="left"/>
      </w:pPr>
      <w:r>
        <w:rPr/>
        <w:t>润</w:t>
      </w:r>
      <w:r>
        <w:rPr>
          <w:spacing w:val="-60"/>
        </w:rPr>
        <w:t> </w:t>
      </w:r>
      <w:r>
        <w:rPr>
          <w:rFonts w:ascii="Times New Roman" w:hAnsi="Times New Roman" w:cs="Times New Roman" w:eastAsia="Times New Roman" w:hint="default"/>
        </w:rPr>
        <w:t>162.03 </w:t>
      </w:r>
      <w:r>
        <w:rPr/>
        <w:t>万元。</w:t>
      </w:r>
    </w:p>
    <w:p>
      <w:pPr>
        <w:spacing w:line="240" w:lineRule="auto" w:before="6"/>
        <w:rPr>
          <w:rFonts w:ascii="宋体" w:hAnsi="宋体" w:cs="宋体" w:eastAsia="宋体" w:hint="default"/>
          <w:sz w:val="19"/>
          <w:szCs w:val="19"/>
        </w:rPr>
      </w:pPr>
    </w:p>
    <w:p>
      <w:pPr>
        <w:pStyle w:val="BodyText"/>
        <w:spacing w:line="338" w:lineRule="auto"/>
        <w:ind w:left="240" w:right="192" w:firstLine="480"/>
        <w:jc w:val="left"/>
      </w:pPr>
      <w:r>
        <w:rPr/>
        <w:t>截至</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日，子公司杭州创聚科技有限公司总资产</w:t>
      </w:r>
      <w:r>
        <w:rPr>
          <w:spacing w:val="-60"/>
        </w:rPr>
        <w:t> </w:t>
      </w:r>
      <w:r>
        <w:rPr>
          <w:rFonts w:ascii="Times New Roman" w:hAnsi="Times New Roman" w:cs="Times New Roman" w:eastAsia="Times New Roman" w:hint="default"/>
        </w:rPr>
        <w:t>1,425.89 </w:t>
      </w:r>
      <w:r>
        <w:rPr/>
        <w:t>万元， 净资产</w:t>
      </w:r>
      <w:r>
        <w:rPr>
          <w:spacing w:val="-62"/>
        </w:rPr>
        <w:t> </w:t>
      </w:r>
      <w:r>
        <w:rPr>
          <w:rFonts w:ascii="Times New Roman" w:hAnsi="Times New Roman" w:cs="Times New Roman" w:eastAsia="Times New Roman" w:hint="default"/>
        </w:rPr>
        <w:t>999.80</w:t>
      </w:r>
      <w:r>
        <w:rPr>
          <w:rFonts w:ascii="Times New Roman" w:hAnsi="Times New Roman" w:cs="Times New Roman" w:eastAsia="Times New Roman" w:hint="default"/>
          <w:spacing w:val="-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t>年度实现营业收入</w:t>
      </w:r>
      <w:r>
        <w:rPr>
          <w:spacing w:val="-62"/>
        </w:rPr>
        <w:t> </w:t>
      </w:r>
      <w:r>
        <w:rPr>
          <w:rFonts w:ascii="Times New Roman" w:hAnsi="Times New Roman" w:cs="Times New Roman" w:eastAsia="Times New Roman" w:hint="default"/>
        </w:rPr>
        <w:t>742.52</w:t>
      </w:r>
      <w:r>
        <w:rPr>
          <w:rFonts w:ascii="Times New Roman" w:hAnsi="Times New Roman" w:cs="Times New Roman" w:eastAsia="Times New Roman" w:hint="default"/>
          <w:spacing w:val="-2"/>
        </w:rPr>
        <w:t> </w:t>
      </w:r>
      <w:r>
        <w:rPr/>
        <w:t>万元，净利润</w:t>
      </w:r>
      <w:r>
        <w:rPr>
          <w:rFonts w:ascii="Times New Roman" w:hAnsi="Times New Roman" w:cs="Times New Roman" w:eastAsia="Times New Roman" w:hint="default"/>
        </w:rPr>
        <w:t>-20.77</w:t>
      </w:r>
      <w:r>
        <w:rPr>
          <w:rFonts w:ascii="Times New Roman" w:hAnsi="Times New Roman" w:cs="Times New Roman" w:eastAsia="Times New Roman" w:hint="default"/>
          <w:spacing w:val="-2"/>
        </w:rPr>
        <w:t> </w:t>
      </w:r>
      <w:r>
        <w:rPr/>
        <w:t>万元。</w:t>
      </w:r>
    </w:p>
    <w:p>
      <w:pPr>
        <w:spacing w:line="240" w:lineRule="auto" w:before="1"/>
        <w:rPr>
          <w:rFonts w:ascii="宋体" w:hAnsi="宋体" w:cs="宋体" w:eastAsia="宋体" w:hint="default"/>
          <w:sz w:val="33"/>
          <w:szCs w:val="33"/>
        </w:rPr>
      </w:pPr>
    </w:p>
    <w:p>
      <w:pPr>
        <w:spacing w:line="422" w:lineRule="auto" w:before="0"/>
        <w:ind w:left="720" w:right="4140" w:firstLine="2"/>
        <w:jc w:val="left"/>
        <w:rPr>
          <w:rFonts w:ascii="宋体" w:hAnsi="宋体" w:cs="宋体" w:eastAsia="宋体" w:hint="default"/>
          <w:sz w:val="24"/>
          <w:szCs w:val="24"/>
        </w:rPr>
      </w:pPr>
      <w:r>
        <w:rPr>
          <w:rFonts w:ascii="宋体" w:hAnsi="宋体" w:cs="宋体" w:eastAsia="宋体" w:hint="default"/>
          <w:b/>
          <w:bCs/>
          <w:sz w:val="24"/>
          <w:szCs w:val="24"/>
        </w:rPr>
        <w:t>（八）公司控制的特殊目的的主体</w:t>
      </w:r>
      <w:r>
        <w:rPr>
          <w:rFonts w:ascii="宋体" w:hAnsi="宋体" w:cs="宋体" w:eastAsia="宋体" w:hint="default"/>
          <w:b/>
          <w:bCs/>
          <w:spacing w:val="1"/>
          <w:w w:val="99"/>
          <w:sz w:val="24"/>
          <w:szCs w:val="24"/>
        </w:rPr>
        <w:t> </w:t>
      </w:r>
      <w:r>
        <w:rPr>
          <w:rFonts w:ascii="宋体" w:hAnsi="宋体" w:cs="宋体" w:eastAsia="宋体" w:hint="default"/>
          <w:sz w:val="24"/>
          <w:szCs w:val="24"/>
        </w:rPr>
        <w:t>公司不存在其控制下的特殊目的的主体。</w:t>
      </w:r>
    </w:p>
    <w:p>
      <w:pPr>
        <w:spacing w:after="0" w:line="422" w:lineRule="auto"/>
        <w:jc w:val="left"/>
        <w:rPr>
          <w:rFonts w:ascii="宋体" w:hAnsi="宋体" w:cs="宋体" w:eastAsia="宋体" w:hint="default"/>
          <w:sz w:val="24"/>
          <w:szCs w:val="24"/>
        </w:rPr>
        <w:sectPr>
          <w:pgSz w:w="12240" w:h="15840"/>
          <w:pgMar w:header="0" w:footer="688" w:top="1360" w:bottom="880" w:left="1560" w:right="1480"/>
        </w:sectPr>
      </w:pPr>
    </w:p>
    <w:p>
      <w:pPr>
        <w:pStyle w:val="Heading2"/>
        <w:spacing w:line="240" w:lineRule="auto" w:before="1"/>
        <w:ind w:left="661" w:right="114"/>
        <w:jc w:val="left"/>
        <w:rPr>
          <w:b w:val="0"/>
          <w:bCs w:val="0"/>
        </w:rPr>
      </w:pPr>
      <w:r>
        <w:rPr/>
        <w:t>二、对公司未来发展的展望</w:t>
      </w:r>
      <w:r>
        <w:rPr>
          <w:b w:val="0"/>
          <w:bCs w:val="0"/>
        </w:rPr>
      </w:r>
    </w:p>
    <w:p>
      <w:pPr>
        <w:spacing w:line="240" w:lineRule="auto" w:before="8"/>
        <w:rPr>
          <w:rFonts w:ascii="宋体" w:hAnsi="宋体" w:cs="宋体" w:eastAsia="宋体" w:hint="default"/>
          <w:b/>
          <w:bCs/>
          <w:sz w:val="30"/>
          <w:szCs w:val="30"/>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（一）行业发展趋势</w:t>
      </w:r>
      <w:r>
        <w:rPr>
          <w:rFonts w:ascii="宋体" w:hAnsi="宋体" w:cs="宋体" w:eastAsia="宋体" w:hint="default"/>
          <w:b/>
          <w:bCs/>
          <w:spacing w:val="1"/>
          <w:w w:val="99"/>
          <w:sz w:val="24"/>
          <w:szCs w:val="24"/>
        </w:rPr>
        <w:t> </w:t>
      </w:r>
      <w:r>
        <w:rPr>
          <w:rFonts w:ascii="宋体" w:hAnsi="宋体" w:cs="宋体" w:eastAsia="宋体" w:hint="default"/>
          <w:sz w:val="24"/>
          <w:szCs w:val="24"/>
        </w:rPr>
        <w:t>公司所处电子数据取证行业为信息安全行业的新兴子行业，与美国、德国等国</w:t>
      </w:r>
    </w:p>
    <w:p>
      <w:pPr>
        <w:pStyle w:val="BodyText"/>
        <w:spacing w:line="284" w:lineRule="exact"/>
        <w:ind w:right="0"/>
        <w:jc w:val="both"/>
      </w:pPr>
      <w:r>
        <w:rPr/>
        <w:t>外发达国家相比，国内电子数据取证行业起步较晚，只有十几年的发展历程，目前</w:t>
      </w:r>
    </w:p>
    <w:p>
      <w:pPr>
        <w:pStyle w:val="BodyText"/>
        <w:spacing w:line="357" w:lineRule="auto" w:before="152"/>
        <w:ind w:right="239"/>
        <w:jc w:val="both"/>
      </w:pPr>
      <w:r>
        <w:rPr/>
        <w:t>产业规模还比较小，行业总体技术水平与国外发达国家相比也还有一定的差距。然 而，随着计算机和互联网逐渐成为主要的办公手段，各种电子文档也逐渐取代纸质 文件成为重要的信息载体，信息泄密、商业纠纷等涉及电子数据安全性和有效性的 问题也越来越多，电子数据取证产品需求也逐渐由司法机关延伸至各行政执法部门 以及企事业单位。</w:t>
      </w:r>
    </w:p>
    <w:p>
      <w:pPr>
        <w:pStyle w:val="BodyText"/>
        <w:spacing w:line="357" w:lineRule="auto" w:before="155"/>
        <w:ind w:right="220" w:firstLine="480"/>
        <w:jc w:val="left"/>
      </w:pPr>
      <w:r>
        <w:rPr/>
        <w:t>这种趋势在工商行政管理和税务稽查两个领域表现最为明显。工商行政管理方 面，国家工商总局于</w:t>
      </w:r>
      <w:r>
        <w:rPr>
          <w:spacing w:val="-60"/>
        </w:rPr>
        <w:t> </w:t>
      </w:r>
      <w:r>
        <w:rPr>
          <w:rFonts w:ascii="Times New Roman" w:hAnsi="Times New Roman" w:cs="Times New Roman" w:eastAsia="Times New Roman" w:hint="default"/>
        </w:rPr>
        <w:t>2009 </w:t>
      </w:r>
      <w:r>
        <w:rPr/>
        <w:t>年开始逐步将电子商务纳入日常监管范围，并于</w:t>
      </w:r>
      <w:r>
        <w:rPr>
          <w:spacing w:val="-60"/>
        </w:rPr>
        <w:t> </w:t>
      </w:r>
      <w:r>
        <w:rPr>
          <w:rFonts w:ascii="Times New Roman" w:hAnsi="Times New Roman" w:cs="Times New Roman" w:eastAsia="Times New Roman" w:hint="default"/>
        </w:rPr>
        <w:t>2010 </w:t>
      </w:r>
      <w:r>
        <w:rPr/>
        <w:t>年</w:t>
      </w:r>
    </w:p>
    <w:p>
      <w:pPr>
        <w:pStyle w:val="BodyText"/>
        <w:spacing w:line="352" w:lineRule="auto" w:before="4"/>
        <w:ind w:right="239"/>
        <w:jc w:val="both"/>
      </w:pPr>
      <w:r>
        <w:rPr>
          <w:rFonts w:ascii="Times New Roman" w:hAnsi="Times New Roman" w:cs="Times New Roman" w:eastAsia="Times New Roman" w:hint="default"/>
        </w:rPr>
        <w:t>6 </w:t>
      </w:r>
      <w:r>
        <w:rPr/>
        <w:t>月 </w:t>
      </w:r>
      <w:r>
        <w:rPr>
          <w:rFonts w:ascii="Times New Roman" w:hAnsi="Times New Roman" w:cs="Times New Roman" w:eastAsia="Times New Roman" w:hint="default"/>
        </w:rPr>
        <w:t>1</w:t>
      </w:r>
      <w:r>
        <w:rPr>
          <w:rFonts w:ascii="Times New Roman" w:hAnsi="Times New Roman" w:cs="Times New Roman" w:eastAsia="Times New Roman" w:hint="default"/>
          <w:spacing w:val="-37"/>
        </w:rPr>
        <w:t> </w:t>
      </w:r>
      <w:r>
        <w:rPr>
          <w:spacing w:val="-6"/>
        </w:rPr>
        <w:t>日正式发布《网络商品交易及有关服务行为管理暂行办法》，中国庞大的电子</w:t>
      </w:r>
      <w:r>
        <w:rPr/>
        <w:t> 商务市场已有法可依。监管部门基于执法的需要，对电子数据取证产品表现出明显 的需求，北京、江苏、福建、江西、河北等省市已完成部分采购。税务稽查方面， 纸质查账将逐步被电子查账所替代，为符合司法有效性的要求，税务稽查在行政执 法过程中采用电子数据取证设备将是必然。</w:t>
      </w:r>
    </w:p>
    <w:p>
      <w:pPr>
        <w:pStyle w:val="BodyText"/>
        <w:spacing w:line="357" w:lineRule="auto" w:before="160"/>
        <w:ind w:right="236" w:firstLine="480"/>
        <w:jc w:val="both"/>
      </w:pPr>
      <w:r>
        <w:rPr/>
        <w:t>在第十一届全国人大常委会第二十二次会议审议通过的《中华人民共和国刑事 </w:t>
      </w:r>
      <w:r>
        <w:rPr>
          <w:spacing w:val="-7"/>
        </w:rPr>
        <w:t>诉讼法修正案（草案）》和第十一届全国人大常委会第二十三次会议审议通过的《中</w:t>
      </w:r>
      <w:r>
        <w:rPr>
          <w:spacing w:val="-101"/>
        </w:rPr>
        <w:t> </w:t>
      </w:r>
      <w:r>
        <w:rPr>
          <w:spacing w:val="-101"/>
        </w:rPr>
      </w:r>
      <w:r>
        <w:rPr/>
        <w:t>华人民共和国民事诉讼法修正案（草案）》中，明确“电子数据”可作为一种证据 </w:t>
      </w:r>
      <w:r>
        <w:rPr>
          <w:spacing w:val="-7"/>
        </w:rPr>
        <w:t>种类，这意味着电子邮件、聊天记录、微博、手机短信、网络视频等将可能成为“呈</w:t>
      </w:r>
      <w:r>
        <w:rPr>
          <w:spacing w:val="-102"/>
        </w:rPr>
        <w:t> </w:t>
      </w:r>
      <w:r>
        <w:rPr>
          <w:spacing w:val="-102"/>
        </w:rPr>
      </w:r>
      <w:r>
        <w:rPr/>
        <w:t>堂证供”。电子证据法律地位的确立，将极大地推动国内电子数据取证行业的快速 发展，电子数据取证产品和服务具有广阔的市场空间。</w:t>
      </w:r>
    </w:p>
    <w:p>
      <w:pPr>
        <w:pStyle w:val="BodyText"/>
        <w:spacing w:line="357" w:lineRule="auto" w:before="155"/>
        <w:ind w:right="114" w:firstLine="480"/>
        <w:jc w:val="left"/>
      </w:pPr>
      <w:r>
        <w:rPr>
          <w:spacing w:val="-5"/>
        </w:rPr>
        <w:t>同时，随着移动互联网技术的发展，博客、微博等渐成为主流的信息传播方式，</w:t>
      </w:r>
      <w:r>
        <w:rPr>
          <w:spacing w:val="-1"/>
        </w:rPr>
        <w:t> </w:t>
      </w:r>
      <w:r>
        <w:rPr/>
        <w:t>信息量和信息传播速度都呈爆发式增长，这为网络信息安全行业的发展提供了新的</w:t>
      </w:r>
      <w:r>
        <w:rPr/>
        <w:t> 市场空间，同时也对该行业企业在海量信息处理方面提出了新的挑战。</w:t>
      </w:r>
    </w:p>
    <w:p>
      <w:pPr>
        <w:pStyle w:val="BodyText"/>
        <w:spacing w:line="240" w:lineRule="auto" w:before="155"/>
        <w:ind w:left="580" w:right="114"/>
        <w:jc w:val="left"/>
      </w:pPr>
      <w:r>
        <w:rPr/>
        <w:t>“云计算”技术的发展和应用，开创了信息应用的新模式，为实现更大范围的</w:t>
      </w:r>
    </w:p>
    <w:p>
      <w:pPr>
        <w:spacing w:after="0" w:line="240" w:lineRule="auto"/>
        <w:jc w:val="left"/>
        <w:sectPr>
          <w:pgSz w:w="12240" w:h="15840"/>
          <w:pgMar w:header="0" w:footer="688" w:top="1400" w:bottom="880" w:left="1700" w:right="1560"/>
        </w:sectPr>
      </w:pPr>
    </w:p>
    <w:p>
      <w:pPr>
        <w:pStyle w:val="BodyText"/>
        <w:spacing w:line="357" w:lineRule="auto" w:before="1"/>
        <w:ind w:left="120" w:right="239"/>
        <w:jc w:val="both"/>
      </w:pPr>
      <w:r>
        <w:rPr/>
        <w:t>信息共享和海量信息处理提供了新的解决方案。基于云计算技术的产品和服务将是 信息社会激烈的市场竞争中又一新的增长点。电子数据取证和网络信息安全产品和 服务朝着“云”的方向发展也将成为必然的趋势。</w:t>
      </w:r>
    </w:p>
    <w:p>
      <w:pPr>
        <w:spacing w:line="240" w:lineRule="auto" w:before="10"/>
        <w:rPr>
          <w:rFonts w:ascii="宋体" w:hAnsi="宋体" w:cs="宋体" w:eastAsia="宋体" w:hint="default"/>
          <w:sz w:val="33"/>
          <w:szCs w:val="33"/>
        </w:rPr>
      </w:pPr>
    </w:p>
    <w:p>
      <w:pPr>
        <w:spacing w:line="422" w:lineRule="auto" w:before="0"/>
        <w:ind w:left="600" w:right="220" w:firstLine="2"/>
        <w:jc w:val="left"/>
        <w:rPr>
          <w:rFonts w:ascii="宋体" w:hAnsi="宋体" w:cs="宋体" w:eastAsia="宋体" w:hint="default"/>
          <w:sz w:val="24"/>
          <w:szCs w:val="24"/>
        </w:rPr>
      </w:pPr>
      <w:r>
        <w:rPr>
          <w:rFonts w:ascii="宋体" w:hAnsi="宋体" w:cs="宋体" w:eastAsia="宋体" w:hint="default"/>
          <w:b/>
          <w:bCs/>
          <w:sz w:val="24"/>
          <w:szCs w:val="24"/>
        </w:rPr>
        <w:t>（二）公司所处市场竞争格局</w:t>
      </w:r>
      <w:r>
        <w:rPr>
          <w:rFonts w:ascii="宋体" w:hAnsi="宋体" w:cs="宋体" w:eastAsia="宋体" w:hint="default"/>
          <w:b/>
          <w:bCs/>
          <w:spacing w:val="1"/>
          <w:w w:val="99"/>
          <w:sz w:val="24"/>
          <w:szCs w:val="24"/>
        </w:rPr>
        <w:t> </w:t>
      </w:r>
      <w:r>
        <w:rPr>
          <w:rFonts w:ascii="宋体" w:hAnsi="宋体" w:cs="宋体" w:eastAsia="宋体" w:hint="default"/>
          <w:sz w:val="24"/>
          <w:szCs w:val="24"/>
        </w:rPr>
        <w:t>公司是国内最早进入电子数据取证行业的企业之一，拥有最雄厚的研发实力，</w:t>
      </w:r>
    </w:p>
    <w:p>
      <w:pPr>
        <w:pStyle w:val="BodyText"/>
        <w:spacing w:line="303" w:lineRule="exact"/>
        <w:ind w:left="120" w:right="0"/>
        <w:jc w:val="both"/>
      </w:pPr>
      <w:r>
        <w:rPr/>
        <w:t>公司的电子数据取证产品占据国内同类产品市场份额的</w:t>
      </w:r>
      <w:r>
        <w:rPr>
          <w:spacing w:val="-81"/>
        </w:rPr>
        <w:t> </w:t>
      </w:r>
      <w:r>
        <w:rPr>
          <w:rFonts w:ascii="Times New Roman" w:hAnsi="Times New Roman" w:cs="Times New Roman" w:eastAsia="Times New Roman" w:hint="default"/>
        </w:rPr>
        <w:t>40%</w:t>
      </w:r>
      <w:r>
        <w:rPr/>
        <w:t>以上，是国内领先的电</w:t>
      </w:r>
    </w:p>
    <w:p>
      <w:pPr>
        <w:pStyle w:val="BodyText"/>
        <w:spacing w:line="357" w:lineRule="auto" w:before="134"/>
        <w:ind w:left="120" w:right="239"/>
        <w:jc w:val="both"/>
      </w:pPr>
      <w:r>
        <w:rPr/>
        <w:t>子数据取证产品和服务提供商，也是目前国内电子数据取证行业中少有的具有全系 列自主研发产品的企业。</w:t>
      </w:r>
    </w:p>
    <w:p>
      <w:pPr>
        <w:pStyle w:val="BodyText"/>
        <w:spacing w:line="357" w:lineRule="auto" w:before="155"/>
        <w:ind w:left="120" w:right="220" w:firstLine="480"/>
        <w:jc w:val="left"/>
      </w:pPr>
      <w:r>
        <w:rPr/>
        <w:t>目前，国内同行业企业中，暂时还没有与公司规模相当、业务范围完全一致的 竞争对手，只有部分业务相似的竞争者：</w:t>
      </w:r>
    </w:p>
    <w:p>
      <w:pPr>
        <w:pStyle w:val="BodyText"/>
        <w:spacing w:line="348" w:lineRule="auto" w:before="155"/>
        <w:ind w:left="119" w:right="236" w:firstLine="480"/>
        <w:jc w:val="both"/>
      </w:pPr>
      <w:r>
        <w:rPr>
          <w:spacing w:val="18"/>
        </w:rPr>
        <w:t>在电子数据取证领域，国外厂商主要有</w:t>
      </w:r>
      <w:r>
        <w:rPr>
          <w:spacing w:val="24"/>
        </w:rPr>
        <w:t> </w:t>
      </w:r>
      <w:r>
        <w:rPr>
          <w:rFonts w:ascii="Times New Roman" w:hAnsi="Times New Roman" w:cs="Times New Roman" w:eastAsia="Times New Roman" w:hint="default"/>
        </w:rPr>
        <w:t>Guidance</w:t>
      </w:r>
      <w:r>
        <w:rPr>
          <w:rFonts w:ascii="Times New Roman" w:hAnsi="Times New Roman" w:cs="Times New Roman" w:eastAsia="Times New Roman" w:hint="default"/>
          <w:spacing w:val="23"/>
        </w:rPr>
        <w:t> </w:t>
      </w:r>
      <w:r>
        <w:rPr>
          <w:rFonts w:ascii="Times New Roman" w:hAnsi="Times New Roman" w:cs="Times New Roman" w:eastAsia="Times New Roman" w:hint="default"/>
          <w:spacing w:val="2"/>
        </w:rPr>
        <w:t>Software</w:t>
      </w:r>
      <w:r>
        <w:rPr>
          <w:spacing w:val="2"/>
        </w:rPr>
        <w:t>、</w:t>
      </w:r>
      <w:r>
        <w:rPr>
          <w:spacing w:val="-99"/>
        </w:rPr>
        <w:t> </w:t>
      </w:r>
      <w:r>
        <w:rPr>
          <w:rFonts w:ascii="Times New Roman" w:hAnsi="Times New Roman" w:cs="Times New Roman" w:eastAsia="Times New Roman" w:hint="default"/>
        </w:rPr>
        <w:t>AccessData</w:t>
      </w:r>
      <w:r>
        <w:rPr>
          <w:rFonts w:ascii="Times New Roman" w:hAnsi="Times New Roman" w:cs="Times New Roman" w:eastAsia="Times New Roman" w:hint="default"/>
          <w:spacing w:val="-38"/>
        </w:rPr>
        <w:t> </w:t>
      </w:r>
      <w:r>
        <w:rPr/>
        <w:t>、 </w:t>
      </w:r>
      <w:r>
        <w:rPr>
          <w:rFonts w:ascii="Times New Roman" w:hAnsi="Times New Roman" w:cs="Times New Roman" w:eastAsia="Times New Roman" w:hint="default"/>
          <w:spacing w:val="-5"/>
        </w:rPr>
        <w:t>Logicube</w:t>
      </w:r>
      <w:r>
        <w:rPr>
          <w:spacing w:val="-5"/>
        </w:rPr>
        <w:t>、</w:t>
      </w:r>
      <w:r>
        <w:rPr>
          <w:rFonts w:ascii="Times New Roman" w:hAnsi="Times New Roman" w:cs="Times New Roman" w:eastAsia="Times New Roman" w:hint="default"/>
          <w:spacing w:val="-5"/>
        </w:rPr>
        <w:t>i2</w:t>
      </w:r>
      <w:r>
        <w:rPr>
          <w:spacing w:val="-5"/>
        </w:rPr>
        <w:t>、</w:t>
      </w:r>
      <w:r>
        <w:rPr>
          <w:rFonts w:ascii="Times New Roman" w:hAnsi="Times New Roman" w:cs="Times New Roman" w:eastAsia="Times New Roman" w:hint="default"/>
          <w:spacing w:val="-5"/>
        </w:rPr>
        <w:t>Tableau</w:t>
      </w:r>
      <w:r>
        <w:rPr>
          <w:spacing w:val="-5"/>
        </w:rPr>
        <w:t>、</w:t>
      </w:r>
      <w:r>
        <w:rPr>
          <w:rFonts w:ascii="Times New Roman" w:hAnsi="Times New Roman" w:cs="Times New Roman" w:eastAsia="Times New Roman" w:hint="default"/>
          <w:spacing w:val="-5"/>
        </w:rPr>
        <w:t>X-ways</w:t>
      </w:r>
      <w:r>
        <w:rPr>
          <w:spacing w:val="-5"/>
        </w:rPr>
        <w:t>、</w:t>
      </w:r>
      <w:r>
        <w:rPr>
          <w:rFonts w:ascii="Times New Roman" w:hAnsi="Times New Roman" w:cs="Times New Roman" w:eastAsia="Times New Roman" w:hint="default"/>
          <w:spacing w:val="-5"/>
        </w:rPr>
        <w:t>Passware</w:t>
      </w:r>
      <w:r>
        <w:rPr>
          <w:spacing w:val="-5"/>
        </w:rPr>
        <w:t>、</w:t>
      </w:r>
      <w:r>
        <w:rPr>
          <w:rFonts w:ascii="Times New Roman" w:hAnsi="Times New Roman" w:cs="Times New Roman" w:eastAsia="Times New Roman" w:hint="default"/>
          <w:spacing w:val="-5"/>
        </w:rPr>
        <w:t>Elcomsoft</w:t>
      </w:r>
      <w:r>
        <w:rPr>
          <w:spacing w:val="-5"/>
        </w:rPr>
        <w:t>、</w:t>
      </w:r>
      <w:r>
        <w:rPr>
          <w:rFonts w:ascii="Times New Roman" w:hAnsi="Times New Roman" w:cs="Times New Roman" w:eastAsia="Times New Roman" w:hint="default"/>
          <w:spacing w:val="-5"/>
        </w:rPr>
        <w:t>Belkasoft</w:t>
      </w:r>
      <w:r>
        <w:rPr>
          <w:spacing w:val="-5"/>
        </w:rPr>
        <w:t>、</w:t>
      </w:r>
      <w:r>
        <w:rPr>
          <w:rFonts w:ascii="Times New Roman" w:hAnsi="Times New Roman" w:cs="Times New Roman" w:eastAsia="Times New Roman" w:hint="default"/>
          <w:spacing w:val="-5"/>
        </w:rPr>
        <w:t>Intella</w:t>
      </w:r>
      <w:r>
        <w:rPr>
          <w:spacing w:val="-5"/>
        </w:rPr>
        <w:t>、</w:t>
      </w:r>
      <w:r>
        <w:rPr>
          <w:rFonts w:ascii="Times New Roman" w:hAnsi="Times New Roman" w:cs="Times New Roman" w:eastAsia="Times New Roman" w:hint="default"/>
          <w:spacing w:val="-5"/>
        </w:rPr>
        <w:t>ClearWell</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10"/>
        </w:rPr>
      </w:r>
      <w:r>
        <w:rPr/>
        <w:t>等企业，国内厂商主要有美亚柏科、中安华科、瑞源文德、上海盘石、北京富华等</w:t>
      </w:r>
      <w:r>
        <w:rPr>
          <w:w w:val="99"/>
        </w:rPr>
        <w:t> </w:t>
      </w:r>
      <w:r>
        <w:rPr/>
        <w:t>企业。同时，近几年国内电子数据取证领域涌现了很多新进入企业，虽然目前规模</w:t>
      </w:r>
      <w:r>
        <w:rPr>
          <w:w w:val="99"/>
        </w:rPr>
        <w:t> </w:t>
      </w:r>
      <w:r>
        <w:rPr/>
        <w:t>还不大，但是正在细分整个取证市场。</w:t>
      </w:r>
    </w:p>
    <w:p>
      <w:pPr>
        <w:pStyle w:val="BodyText"/>
        <w:spacing w:line="357" w:lineRule="auto" w:before="164"/>
        <w:ind w:left="119" w:right="105" w:firstLine="480"/>
        <w:jc w:val="left"/>
      </w:pPr>
      <w:r>
        <w:rPr>
          <w:spacing w:val="-4"/>
        </w:rPr>
        <w:t>在互联网信息搜索领域，国内主要企业有美亚柏科、拓尔思、邦富、烽火通信、</w:t>
      </w:r>
      <w:r>
        <w:rPr/>
        <w:t> 北京方正、中搜、奇虎、红麦聚信等，该市场空间大，各企业的竞争优势主要在于 对所占领的细分行业的用户需求有深入了解。国外产品技术水平高，在银行、电信 等行业影响很大，但由于国家在信息安全领域采用资质认证许可制度，重点支持国 内厂商，参与市场竞争的信息安全产品如果需要进入特定行业，还需要通过机要局 及军事机关等部门的信息安全产品认证，因此，国外产品在国内市场发展空间受到 限制。</w:t>
      </w:r>
    </w:p>
    <w:p>
      <w:pPr>
        <w:pStyle w:val="BodyText"/>
        <w:spacing w:line="357" w:lineRule="auto" w:before="155"/>
        <w:ind w:left="119" w:right="105" w:firstLine="480"/>
        <w:jc w:val="left"/>
      </w:pPr>
      <w:r>
        <w:rPr/>
        <w:t>在电子数据鉴定方面，国内目前主要的几大电子数据鉴定机构包括福建中证司 法鉴定中心、广东安证计算机司法鉴定所、天津天信电子数据司法鉴定中心、上海 </w:t>
      </w:r>
      <w:r>
        <w:rPr>
          <w:spacing w:val="-4"/>
        </w:rPr>
        <w:t>辰星电子数据司法鉴定中心等。各鉴定中心的业务范围基本以所在区域及周边为主，</w:t>
      </w:r>
      <w:r>
        <w:rPr>
          <w:spacing w:val="-92"/>
        </w:rPr>
        <w:t> </w:t>
      </w:r>
      <w:r>
        <w:rPr>
          <w:spacing w:val="-92"/>
        </w:rPr>
      </w:r>
      <w:r>
        <w:rPr/>
        <w:t>因此市场划分较为均衡。</w:t>
      </w:r>
    </w:p>
    <w:p>
      <w:pPr>
        <w:spacing w:after="0" w:line="357" w:lineRule="auto"/>
        <w:jc w:val="left"/>
        <w:sectPr>
          <w:pgSz w:w="12240" w:h="15840"/>
          <w:pgMar w:header="0" w:footer="688" w:top="1400" w:bottom="880" w:left="1680" w:right="1560"/>
        </w:sectPr>
      </w:pPr>
    </w:p>
    <w:p>
      <w:pPr>
        <w:pStyle w:val="BodyText"/>
        <w:spacing w:line="357" w:lineRule="auto" w:before="1"/>
        <w:ind w:right="239" w:firstLine="480"/>
        <w:jc w:val="both"/>
      </w:pPr>
      <w:r>
        <w:rPr/>
        <w:t>在互联网数字知识产权保护方面，公司是国内首家通过高科技方式进行互联网 数字知识产权保护的企业，国内目前尚无其他企业采用类似的实现方法。网尚文化 虽然也开展知识产权保护业务，但是还是采取传统的法律诉讼的方式进行维权，与 公司业务模式不同。目前，公司的影视维权业务已覆盖</w:t>
      </w:r>
      <w:r>
        <w:rPr>
          <w:spacing w:val="-60"/>
        </w:rPr>
        <w:t> </w:t>
      </w:r>
      <w:r>
        <w:rPr>
          <w:rFonts w:ascii="Times New Roman" w:hAnsi="Times New Roman" w:cs="Times New Roman" w:eastAsia="Times New Roman" w:hint="default"/>
        </w:rPr>
        <w:t>80%</w:t>
      </w:r>
      <w:r>
        <w:rPr/>
        <w:t>的国内大片。</w:t>
      </w:r>
    </w:p>
    <w:p>
      <w:pPr>
        <w:pStyle w:val="BodyText"/>
        <w:spacing w:line="357" w:lineRule="auto" w:before="124"/>
        <w:ind w:right="114" w:firstLine="480"/>
        <w:jc w:val="left"/>
      </w:pPr>
      <w:r>
        <w:rPr/>
        <w:t>综上所述，与国内同行业主要竞争对手相比，美亚柏科具有起步早、市场占有 率高、技术积累深厚、解决方案全面、培训和服务体系完善等特点；与国外同行业 </w:t>
      </w:r>
      <w:r>
        <w:rPr>
          <w:spacing w:val="-4"/>
        </w:rPr>
        <w:t>竞争对手相比，公司产品针对国内用户需求而开发，提供丰富的本地化的解决方案，</w:t>
      </w:r>
      <w:r>
        <w:rPr>
          <w:spacing w:val="-92"/>
        </w:rPr>
        <w:t> </w:t>
      </w:r>
      <w:r>
        <w:rPr>
          <w:spacing w:val="-92"/>
        </w:rPr>
      </w:r>
      <w:r>
        <w:rPr/>
        <w:t>操作简单，为大部分国外产品所不及；国家政策的鼓励和扶持，为国内品牌企业的 发展创造了更加有利的环境。作为国内电子数据取证行业的龙头企业，公司的发展 受到国家领导和各级政府部门的重点关注和大力支持。</w:t>
      </w:r>
    </w:p>
    <w:p>
      <w:pPr>
        <w:spacing w:line="240" w:lineRule="auto" w:before="10"/>
        <w:rPr>
          <w:rFonts w:ascii="宋体" w:hAnsi="宋体" w:cs="宋体" w:eastAsia="宋体" w:hint="default"/>
          <w:sz w:val="33"/>
          <w:szCs w:val="33"/>
        </w:rPr>
      </w:pPr>
    </w:p>
    <w:p>
      <w:pPr>
        <w:spacing w:line="400"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（三）公司未来发展战略和</w:t>
      </w:r>
      <w:r>
        <w:rPr>
          <w:rFonts w:ascii="Times New Roman" w:hAnsi="Times New Roman" w:cs="Times New Roman" w:eastAsia="Times New Roman" w:hint="default"/>
          <w:b/>
          <w:bCs/>
          <w:sz w:val="24"/>
          <w:szCs w:val="24"/>
        </w:rPr>
        <w:t>2012</w:t>
      </w:r>
      <w:r>
        <w:rPr>
          <w:rFonts w:ascii="Times New Roman" w:hAnsi="Times New Roman" w:cs="Times New Roman" w:eastAsia="Times New Roman" w:hint="default"/>
          <w:b/>
          <w:bCs/>
          <w:spacing w:val="58"/>
          <w:sz w:val="24"/>
          <w:szCs w:val="24"/>
        </w:rPr>
        <w:t> </w:t>
      </w:r>
      <w:r>
        <w:rPr>
          <w:rFonts w:ascii="宋体" w:hAnsi="宋体" w:cs="宋体" w:eastAsia="宋体" w:hint="default"/>
          <w:b/>
          <w:bCs/>
          <w:sz w:val="24"/>
          <w:szCs w:val="24"/>
        </w:rPr>
        <w:t>年的经营计划</w:t>
      </w:r>
      <w:r>
        <w:rPr>
          <w:rFonts w:ascii="宋体" w:hAnsi="宋体" w:cs="宋体" w:eastAsia="宋体" w:hint="default"/>
          <w:b/>
          <w:bCs/>
          <w:w w:val="99"/>
          <w:sz w:val="24"/>
          <w:szCs w:val="24"/>
        </w:rPr>
        <w:t> </w:t>
      </w:r>
      <w:r>
        <w:rPr>
          <w:rFonts w:ascii="宋体" w:hAnsi="宋体" w:cs="宋体" w:eastAsia="宋体" w:hint="default"/>
          <w:sz w:val="24"/>
          <w:szCs w:val="24"/>
        </w:rPr>
        <w:t>公司的长期发展战略，是成为全球领先的电子数据取证与安全产品及服务提供</w:t>
      </w:r>
    </w:p>
    <w:p>
      <w:pPr>
        <w:pStyle w:val="BodyText"/>
        <w:spacing w:line="357" w:lineRule="auto"/>
        <w:ind w:right="114"/>
        <w:jc w:val="left"/>
      </w:pPr>
      <w:r>
        <w:rPr>
          <w:spacing w:val="-4"/>
        </w:rPr>
        <w:t>商，巩固电子数据取证鉴定技术领先地位、占据国内互联网内容安全搜索最大市场、</w:t>
      </w:r>
      <w:r>
        <w:rPr>
          <w:spacing w:val="-92"/>
        </w:rPr>
        <w:t> </w:t>
      </w:r>
      <w:r>
        <w:rPr>
          <w:spacing w:val="-92"/>
        </w:rPr>
      </w:r>
      <w:r>
        <w:rPr/>
        <w:t>打造鉴定及维权服务国内第一品牌。用“承诺安全、承诺非凡”的精神和态度，为 行业提供精良的电子数据取证及网络信息安全产品，为公众提供周到的电子数据鉴 定和互联网数字知识产权保护服务。</w:t>
      </w:r>
    </w:p>
    <w:p>
      <w:pPr>
        <w:pStyle w:val="BodyText"/>
        <w:spacing w:line="338" w:lineRule="auto" w:before="155"/>
        <w:ind w:right="114"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spacing w:val="-4"/>
        </w:rPr>
        <w:t>公司将积极利用上市的契机，提倡的是“合作共赢”的企业理念，鼓励公</w:t>
      </w:r>
      <w:r>
        <w:rPr/>
        <w:t> 司内部合作，鼓励公司对外合作，使得公司的综合实力大幅度提升。</w:t>
      </w:r>
    </w:p>
    <w:p>
      <w:pPr>
        <w:pStyle w:val="BodyText"/>
        <w:spacing w:line="352" w:lineRule="auto" w:before="174"/>
        <w:ind w:right="108" w:firstLine="480"/>
        <w:jc w:val="left"/>
      </w:pPr>
      <w:r>
        <w:rPr/>
        <w:t>公司产品及服务将全面启动“美亚云战略”，基于已经完工的厦门市超级计算 </w:t>
      </w:r>
      <w:r>
        <w:rPr>
          <w:spacing w:val="-7"/>
        </w:rPr>
        <w:t>中心</w:t>
      </w:r>
      <w:r>
        <w:rPr>
          <w:rFonts w:ascii="Times New Roman" w:hAnsi="Times New Roman" w:cs="Times New Roman" w:eastAsia="Times New Roman" w:hint="default"/>
          <w:spacing w:val="-7"/>
        </w:rPr>
        <w:t>(</w:t>
      </w:r>
      <w:r>
        <w:rPr>
          <w:spacing w:val="-7"/>
        </w:rPr>
        <w:t>云计算中心</w:t>
      </w:r>
      <w:r>
        <w:rPr>
          <w:rFonts w:ascii="Times New Roman" w:hAnsi="Times New Roman" w:cs="Times New Roman" w:eastAsia="Times New Roman" w:hint="default"/>
          <w:spacing w:val="-7"/>
        </w:rPr>
        <w:t>)</w:t>
      </w:r>
      <w:r>
        <w:rPr>
          <w:spacing w:val="-7"/>
        </w:rPr>
        <w:t>，充分发挥云计算中心“核反应堆”的资源优势，</w:t>
      </w:r>
      <w:r>
        <w:rPr>
          <w:spacing w:val="-55"/>
        </w:rPr>
        <w:t> </w:t>
      </w:r>
      <w:r>
        <w:rPr>
          <w:spacing w:val="-17"/>
        </w:rPr>
        <w:t>发展“取证云”、</w:t>
      </w:r>
      <w:r>
        <w:rPr/>
        <w:t> “搜索云”、“公证云”这几大新服务平台。进一步扩大对民用及服务市场的拓展 力度，推出围绕公司核心技术及核心市场的民用服务项目。同时也充分利用这几大 服务平台的资源，进一步巩固在信息安全领域及取证行业的龙头地位，全面发挥美 亚在 “软件</w:t>
      </w:r>
      <w:r>
        <w:rPr>
          <w:rFonts w:ascii="Times New Roman" w:hAnsi="Times New Roman" w:cs="Times New Roman" w:eastAsia="Times New Roman" w:hint="default"/>
        </w:rPr>
        <w:t>+</w:t>
      </w:r>
      <w:r>
        <w:rPr/>
        <w:t>硬件</w:t>
      </w:r>
      <w:r>
        <w:rPr>
          <w:rFonts w:ascii="Times New Roman" w:hAnsi="Times New Roman" w:cs="Times New Roman" w:eastAsia="Times New Roman" w:hint="default"/>
        </w:rPr>
        <w:t>+</w:t>
      </w:r>
      <w:r>
        <w:rPr/>
        <w:t>服务资源”方面的优势。</w:t>
      </w:r>
    </w:p>
    <w:p>
      <w:pPr>
        <w:spacing w:after="0" w:line="352" w:lineRule="auto"/>
        <w:jc w:val="left"/>
        <w:sectPr>
          <w:pgSz w:w="12240" w:h="15840"/>
          <w:pgMar w:header="0" w:footer="688" w:top="1400" w:bottom="880" w:left="1700" w:right="1560"/>
        </w:sectPr>
      </w:pPr>
    </w:p>
    <w:p>
      <w:pPr>
        <w:spacing w:line="240" w:lineRule="auto" w:before="1"/>
        <w:rPr>
          <w:rFonts w:ascii="宋体" w:hAnsi="宋体" w:cs="宋体" w:eastAsia="宋体" w:hint="default"/>
          <w:sz w:val="6"/>
          <w:szCs w:val="6"/>
        </w:rPr>
      </w:pPr>
    </w:p>
    <w:p>
      <w:pPr>
        <w:spacing w:line="4793" w:lineRule="exact"/>
        <w:ind w:left="204"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5213910" cy="3044094"/>
            <wp:effectExtent l="0" t="0" r="0" b="0"/>
            <wp:docPr id="19" name="image20.jpeg" descr=""/>
            <wp:cNvGraphicFramePr>
              <a:graphicFrameLocks noChangeAspect="1"/>
            </wp:cNvGraphicFramePr>
            <a:graphic>
              <a:graphicData uri="http://schemas.openxmlformats.org/drawingml/2006/picture">
                <pic:pic>
                  <pic:nvPicPr>
                    <pic:cNvPr id="20" name="image20.jpeg"/>
                    <pic:cNvPicPr/>
                  </pic:nvPicPr>
                  <pic:blipFill>
                    <a:blip r:embed="rId31" cstate="print"/>
                    <a:stretch>
                      <a:fillRect/>
                    </a:stretch>
                  </pic:blipFill>
                  <pic:spPr>
                    <a:xfrm>
                      <a:off x="0" y="0"/>
                      <a:ext cx="5213910" cy="3044094"/>
                    </a:xfrm>
                    <a:prstGeom prst="rect">
                      <a:avLst/>
                    </a:prstGeom>
                  </pic:spPr>
                </pic:pic>
              </a:graphicData>
            </a:graphic>
          </wp:inline>
        </w:drawing>
      </w:r>
      <w:r>
        <w:rPr>
          <w:rFonts w:ascii="宋体" w:hAnsi="宋体" w:cs="宋体" w:eastAsia="宋体" w:hint="default"/>
          <w:position w:val="-95"/>
          <w:sz w:val="20"/>
          <w:szCs w:val="20"/>
        </w:rPr>
      </w:r>
    </w:p>
    <w:p>
      <w:pPr>
        <w:spacing w:line="240" w:lineRule="auto" w:before="3"/>
        <w:rPr>
          <w:rFonts w:ascii="宋体" w:hAnsi="宋体" w:cs="宋体" w:eastAsia="宋体" w:hint="default"/>
          <w:sz w:val="16"/>
          <w:szCs w:val="16"/>
        </w:rPr>
      </w:pPr>
    </w:p>
    <w:p>
      <w:pPr>
        <w:pStyle w:val="Heading3"/>
        <w:spacing w:line="240" w:lineRule="auto" w:before="26"/>
        <w:ind w:left="582" w:right="114"/>
        <w:jc w:val="left"/>
        <w:rPr>
          <w:b w:val="0"/>
          <w:bCs w:val="0"/>
        </w:rPr>
      </w:pPr>
      <w:r>
        <w:rPr>
          <w:rFonts w:ascii="Times New Roman" w:hAnsi="Times New Roman" w:cs="Times New Roman" w:eastAsia="Times New Roman" w:hint="default"/>
        </w:rPr>
        <w:t>1</w:t>
      </w:r>
      <w:r>
        <w:rPr/>
        <w:t>、市场营销计划</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right="220" w:firstLine="480"/>
        <w:jc w:val="left"/>
      </w:pPr>
      <w:r>
        <w:rPr>
          <w:rFonts w:ascii="Times New Roman" w:hAnsi="Times New Roman" w:cs="Times New Roman" w:eastAsia="Times New Roman" w:hint="default"/>
        </w:rPr>
        <w:t>2012 </w:t>
      </w:r>
      <w:r>
        <w:rPr/>
        <w:t>年按照上市招股书的承诺，公司继续扩大电子数据取证产品市场领先优 势，同时进军执法部门装备产品及信息化产品市场，尤其是检察院、工商系统、税 务系统等新兴市场，并逐步往民用市场推广舆情及公证服务。</w:t>
      </w:r>
    </w:p>
    <w:p>
      <w:pPr>
        <w:pStyle w:val="BodyText"/>
        <w:spacing w:line="240" w:lineRule="auto" w:before="200"/>
        <w:ind w:left="580" w:right="114"/>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spacing w:val="-2"/>
        </w:rPr>
        <w:t>年将继续完善涵盖全国的区域市场营销体系和技术支持体系。营销中心架</w:t>
      </w:r>
    </w:p>
    <w:p>
      <w:pPr>
        <w:pStyle w:val="BodyText"/>
        <w:spacing w:line="348" w:lineRule="auto" w:before="134"/>
        <w:ind w:right="239"/>
        <w:jc w:val="both"/>
      </w:pPr>
      <w:r>
        <w:rPr/>
        <w:t>构进行调整，全国市场划分为</w:t>
      </w:r>
      <w:r>
        <w:rPr>
          <w:spacing w:val="-60"/>
        </w:rPr>
        <w:t> </w:t>
      </w:r>
      <w:r>
        <w:rPr>
          <w:rFonts w:ascii="Times New Roman" w:hAnsi="Times New Roman" w:cs="Times New Roman" w:eastAsia="Times New Roman" w:hint="default"/>
        </w:rPr>
        <w:t>5 </w:t>
      </w:r>
      <w:r>
        <w:rPr/>
        <w:t>个大区，任命大区经理负责区域各个行业的巡视监 督，力求更加接近市场和客户，并加强对销售过程的管理，特别是加强对新行业客 户拓展工作的推动，提高公司的行业拓展能力。</w:t>
      </w:r>
    </w:p>
    <w:p>
      <w:pPr>
        <w:pStyle w:val="BodyText"/>
        <w:spacing w:line="352" w:lineRule="auto" w:before="200"/>
        <w:ind w:right="114"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20"/>
        </w:rPr>
        <w:t> </w:t>
      </w:r>
      <w:r>
        <w:rPr/>
        <w:t>年将继续加大办事处的建设力度，已有办事处继续推进能力建设，扩大办 </w:t>
      </w:r>
      <w:r>
        <w:rPr>
          <w:spacing w:val="-4"/>
        </w:rPr>
        <w:t>事处规模，增加人员投入，加强市场销售和技术支持力量。空白地区继续增加布点，</w:t>
      </w:r>
      <w:r>
        <w:rPr>
          <w:spacing w:val="-92"/>
        </w:rPr>
        <w:t> </w:t>
      </w:r>
      <w:r>
        <w:rPr>
          <w:spacing w:val="-92"/>
        </w:rPr>
      </w:r>
      <w:r>
        <w:rPr/>
        <w:t>主要在西北地区增加办事处，扩大形成覆盖全国的市场销售和技术支持网络。同时 加快并购拥有其他行业营销渠道公司（比如工商，税务等行业）的进程，努力在横 向方面加快扩展。</w:t>
      </w:r>
    </w:p>
    <w:p>
      <w:pPr>
        <w:pStyle w:val="BodyText"/>
        <w:spacing w:line="338" w:lineRule="auto" w:before="196"/>
        <w:ind w:right="220" w:firstLine="480"/>
        <w:jc w:val="left"/>
      </w:pPr>
      <w:r>
        <w:rPr/>
        <w:t>市场宣传方面公司将进一步强化企业在品牌形象的推广，通过统一的</w:t>
      </w:r>
      <w:r>
        <w:rPr>
          <w:spacing w:val="-61"/>
        </w:rPr>
        <w:t> </w:t>
      </w:r>
      <w:r>
        <w:rPr>
          <w:rFonts w:ascii="Times New Roman" w:hAnsi="Times New Roman" w:cs="Times New Roman" w:eastAsia="Times New Roman" w:hint="default"/>
        </w:rPr>
        <w:t>VI</w:t>
      </w:r>
      <w:r>
        <w:rPr>
          <w:rFonts w:ascii="Times New Roman" w:hAnsi="Times New Roman" w:cs="Times New Roman" w:eastAsia="Times New Roman" w:hint="default"/>
          <w:spacing w:val="-1"/>
        </w:rPr>
        <w:t> </w:t>
      </w:r>
      <w:r>
        <w:rPr/>
        <w:t>形象 宣传，在重点行业如政府客户、大型企事业单位、电子商务客户中针对新产品、新</w:t>
      </w:r>
    </w:p>
    <w:p>
      <w:pPr>
        <w:spacing w:after="0" w:line="338" w:lineRule="auto"/>
        <w:jc w:val="left"/>
        <w:sectPr>
          <w:pgSz w:w="12240" w:h="15840"/>
          <w:pgMar w:header="0" w:footer="688" w:top="1360" w:bottom="880" w:left="1700" w:right="1560"/>
        </w:sectPr>
      </w:pPr>
    </w:p>
    <w:p>
      <w:pPr>
        <w:pStyle w:val="BodyText"/>
        <w:spacing w:line="357" w:lineRule="auto" w:before="1"/>
        <w:ind w:left="120" w:right="239"/>
        <w:jc w:val="both"/>
      </w:pPr>
      <w:r>
        <w:rPr/>
        <w:t>技术进行专项宣传。参加并组织在以上行业的产品展示会、推广会，组织各行业技 术应用培训班，突出企业的核心竞争力和品牌影响力。加强对云服务平台的宣传， 增加服务性产品的销售，将公司的技术实力、行业优势、经营模式的优势和企业文 化优势结合，强化企业的核心竞争力，在已有的市场当中树立企业品牌，并努力拓 展新的市场。</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2</w:t>
      </w:r>
      <w:r>
        <w:rPr/>
        <w:t>、核心产品及技术研发计划</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left="120" w:right="239" w:firstLine="420"/>
        <w:jc w:val="both"/>
      </w:pPr>
      <w:r>
        <w:rPr>
          <w:rFonts w:ascii="Times New Roman" w:hAnsi="Times New Roman" w:cs="Times New Roman" w:eastAsia="Times New Roman" w:hint="default"/>
        </w:rPr>
        <w:t>2012 </w:t>
      </w:r>
      <w:r>
        <w:rPr/>
        <w:t>年产品及技术研发战略是在去年的“硬件产品装备化，软件产品平台化” </w:t>
      </w:r>
      <w:r>
        <w:rPr>
          <w:spacing w:val="-7"/>
        </w:rPr>
        <w:t>的基础上，增加“服务产品资源化”，充分发挥公司多年来积累的各种资源。将公司</w:t>
      </w:r>
      <w:r>
        <w:rPr>
          <w:spacing w:val="-101"/>
        </w:rPr>
        <w:t> </w:t>
      </w:r>
      <w:r>
        <w:rPr>
          <w:spacing w:val="-101"/>
        </w:rPr>
      </w:r>
      <w:r>
        <w:rPr/>
        <w:t>的产品和服务高效整合，进一步提升产品的市场竞争力及用户的使用黏性。</w:t>
      </w:r>
    </w:p>
    <w:p>
      <w:pPr>
        <w:pStyle w:val="BodyText"/>
        <w:spacing w:line="350" w:lineRule="auto" w:before="44"/>
        <w:ind w:left="119" w:right="236" w:firstLine="420"/>
        <w:jc w:val="both"/>
      </w:pPr>
      <w:r>
        <w:rPr/>
        <w:t>“硬件产品装备化”</w:t>
      </w:r>
      <w:r>
        <w:rPr>
          <w:spacing w:val="-26"/>
        </w:rPr>
        <w:t> </w:t>
      </w:r>
      <w:r>
        <w:rPr>
          <w:spacing w:val="-3"/>
        </w:rPr>
        <w:t>方面：公司将全面推行</w:t>
      </w:r>
      <w:r>
        <w:rPr>
          <w:spacing w:val="-58"/>
        </w:rPr>
        <w:t> </w:t>
      </w:r>
      <w:r>
        <w:rPr>
          <w:rFonts w:ascii="Times New Roman" w:hAnsi="Times New Roman" w:cs="Times New Roman" w:eastAsia="Times New Roman" w:hint="default"/>
        </w:rPr>
        <w:t>NPI</w:t>
      </w:r>
      <w:r>
        <w:rPr>
          <w:rFonts w:ascii="Times New Roman" w:hAnsi="Times New Roman" w:cs="Times New Roman" w:eastAsia="Times New Roman" w:hint="default"/>
          <w:spacing w:val="2"/>
        </w:rPr>
        <w:t> </w:t>
      </w:r>
      <w:r>
        <w:rPr>
          <w:spacing w:val="-3"/>
        </w:rPr>
        <w:t>流程管理，以达到全面提升产</w:t>
      </w:r>
      <w:r>
        <w:rPr/>
        <w:t> 品质量及提高研发效率。并将在车载设备、移动智能终端取证、现场快速取证、数 据销毁四大核心领域投入研发力量，推出专为执法部门车载移动取证的产品，进一 步贯彻公司装备产品向基层深入的市场战略</w:t>
      </w:r>
      <w:r>
        <w:rPr>
          <w:rFonts w:ascii="Times New Roman" w:hAnsi="Times New Roman" w:cs="Times New Roman" w:eastAsia="Times New Roman" w:hint="default"/>
        </w:rPr>
        <w:t>,</w:t>
      </w:r>
      <w:r>
        <w:rPr>
          <w:rFonts w:ascii="Times New Roman" w:hAnsi="Times New Roman" w:cs="Times New Roman" w:eastAsia="Times New Roman" w:hint="default"/>
          <w:spacing w:val="31"/>
        </w:rPr>
        <w:t> </w:t>
      </w:r>
      <w:r>
        <w:rPr/>
        <w:t>由城市往区县，往乡镇一级的基层应</w:t>
      </w:r>
      <w:r>
        <w:rPr>
          <w:spacing w:val="-114"/>
        </w:rPr>
        <w:t> </w:t>
      </w:r>
      <w:r>
        <w:rPr/>
        <w:t>用发展，预计未来这几年基层应用需求将会爆发增长，同时结合“取证云”平台实</w:t>
      </w:r>
      <w:r>
        <w:rPr/>
        <w:t> </w:t>
      </w:r>
      <w:r>
        <w:rPr>
          <w:spacing w:val="-3"/>
        </w:rPr>
        <w:t>现设备统一管理、数据的统一联网分析，极大的强化产品竞争力和排它性。</w:t>
      </w:r>
      <w:r>
        <w:rPr>
          <w:spacing w:val="-23"/>
        </w:rPr>
        <w:t> </w:t>
      </w:r>
      <w:r>
        <w:rPr/>
        <w:t>在执法</w:t>
      </w:r>
      <w:r>
        <w:rPr/>
        <w:t> 部门的新型装备方面，公司将积极紧跟国际执法装备技术发展，预研机器人在执法 装备方面的应用，</w:t>
      </w:r>
      <w:r>
        <w:rPr>
          <w:rFonts w:ascii="Times New Roman" w:hAnsi="Times New Roman" w:cs="Times New Roman" w:eastAsia="Times New Roman" w:hint="default"/>
        </w:rPr>
        <w:t>2012 </w:t>
      </w:r>
      <w:r>
        <w:rPr/>
        <w:t>年计划开展“美亚无人机”的项目预研，预计 </w:t>
      </w:r>
      <w:r>
        <w:rPr>
          <w:rFonts w:ascii="Times New Roman" w:hAnsi="Times New Roman" w:cs="Times New Roman" w:eastAsia="Times New Roman" w:hint="default"/>
        </w:rPr>
        <w:t>2012</w:t>
      </w:r>
      <w:r>
        <w:rPr>
          <w:rFonts w:ascii="Times New Roman" w:hAnsi="Times New Roman" w:cs="Times New Roman" w:eastAsia="Times New Roman" w:hint="default"/>
          <w:spacing w:val="-3"/>
        </w:rPr>
        <w:t> </w:t>
      </w:r>
      <w:r>
        <w:rPr/>
        <w:t>年研发</w:t>
      </w:r>
      <w:r>
        <w:rPr>
          <w:spacing w:val="-1"/>
        </w:rPr>
        <w:t> </w:t>
      </w:r>
      <w:r>
        <w:rPr/>
        <w:t>成功，力争明年量产。</w:t>
      </w:r>
    </w:p>
    <w:p>
      <w:pPr>
        <w:pStyle w:val="BodyText"/>
        <w:spacing w:line="350" w:lineRule="auto" w:before="42"/>
        <w:ind w:left="119" w:right="103" w:firstLine="420"/>
        <w:jc w:val="left"/>
      </w:pPr>
      <w:r>
        <w:rPr>
          <w:spacing w:val="-6"/>
        </w:rPr>
        <w:t>“软件产品平台化”方面：公司在软件研发中心继续推行 </w:t>
      </w:r>
      <w:r>
        <w:rPr>
          <w:rFonts w:ascii="Times New Roman" w:hAnsi="Times New Roman" w:cs="Times New Roman" w:eastAsia="Times New Roman" w:hint="default"/>
        </w:rPr>
        <w:t>CMMI</w:t>
      </w:r>
      <w:r>
        <w:rPr>
          <w:rFonts w:ascii="Times New Roman" w:hAnsi="Times New Roman" w:cs="Times New Roman" w:eastAsia="Times New Roman" w:hint="default"/>
          <w:spacing w:val="-33"/>
        </w:rPr>
        <w:t> </w:t>
      </w:r>
      <w:r>
        <w:rPr/>
        <w:t>标准管理体系， </w:t>
      </w:r>
      <w:r>
        <w:rPr>
          <w:spacing w:val="-7"/>
        </w:rPr>
        <w:t>强化质量改进细节实施，进一步提高产品质量和研发效率。产品研发方面继续走“小</w:t>
      </w:r>
      <w:r>
        <w:rPr>
          <w:spacing w:val="-104"/>
        </w:rPr>
        <w:t> </w:t>
      </w:r>
      <w:r>
        <w:rPr>
          <w:spacing w:val="-104"/>
        </w:rPr>
      </w:r>
      <w:r>
        <w:rPr>
          <w:spacing w:val="2"/>
        </w:rPr>
        <w:t>产品</w:t>
      </w:r>
      <w:r>
        <w:rPr>
          <w:rFonts w:ascii="Times New Roman" w:hAnsi="Times New Roman" w:cs="Times New Roman" w:eastAsia="Times New Roman" w:hint="default"/>
          <w:spacing w:val="2"/>
        </w:rPr>
        <w:t>+</w:t>
      </w:r>
      <w:r>
        <w:rPr>
          <w:spacing w:val="2"/>
        </w:rPr>
        <w:t>大服务”的路线，将云计算技术引用到多个产品系列中。公司在目前已经建</w:t>
      </w:r>
      <w:r>
        <w:rPr/>
        <w:t> 立搜索云和取证云平台的基础上，今年产品研发的方向将会是，顺应各执法部门正 在建立的“综合平台”的发展需要，全面整合前端设备形成云数据采集端，并研发 后端平台化系统，对采集数据集中分析，充分帮助用户挖掘各种信息的资源。同时 也将公司资源整合的优势及综合竞争力提升到新的高度。</w:t>
      </w:r>
    </w:p>
    <w:p>
      <w:pPr>
        <w:pStyle w:val="BodyText"/>
        <w:spacing w:line="357" w:lineRule="auto" w:before="42"/>
        <w:ind w:left="119" w:right="229" w:firstLine="540"/>
        <w:jc w:val="left"/>
      </w:pPr>
      <w:r>
        <w:rPr>
          <w:spacing w:val="-2"/>
        </w:rPr>
        <w:t>“服务产品资源化”方面：充分发挥公司超算中心的“核反应堆”的资源，在</w:t>
      </w:r>
      <w:r>
        <w:rPr/>
        <w:t> 原有舆情搜索产品的基础上</w:t>
      </w:r>
      <w:r>
        <w:rPr>
          <w:rFonts w:ascii="Times New Roman" w:hAnsi="Times New Roman" w:cs="Times New Roman" w:eastAsia="Times New Roman" w:hint="default"/>
        </w:rPr>
        <w:t>, </w:t>
      </w:r>
      <w:r>
        <w:rPr>
          <w:rFonts w:ascii="Times New Roman" w:hAnsi="Times New Roman" w:cs="Times New Roman" w:eastAsia="Times New Roman" w:hint="default"/>
          <w:spacing w:val="37"/>
        </w:rPr>
        <w:t> </w:t>
      </w:r>
      <w:r>
        <w:rPr/>
        <w:t>推出更多适合各个行业及民用舆情服务产品，今年舆</w:t>
      </w:r>
    </w:p>
    <w:p>
      <w:pPr>
        <w:spacing w:after="0" w:line="357" w:lineRule="auto"/>
        <w:jc w:val="left"/>
        <w:sectPr>
          <w:pgSz w:w="12240" w:h="15840"/>
          <w:pgMar w:header="0" w:footer="688" w:top="1400" w:bottom="880" w:left="1680" w:right="1560"/>
        </w:sectPr>
      </w:pPr>
    </w:p>
    <w:p>
      <w:pPr>
        <w:pStyle w:val="BodyText"/>
        <w:spacing w:line="350" w:lineRule="auto" w:before="1"/>
        <w:ind w:left="119" w:right="236"/>
        <w:jc w:val="both"/>
      </w:pPr>
      <w:r>
        <w:rPr/>
        <w:t>情产品主要研发针对新闻办、工商等新兴的行业专用系统，舆情服务研发主要针对 大型国企</w:t>
      </w:r>
      <w:r>
        <w:rPr>
          <w:rFonts w:ascii="Times New Roman" w:hAnsi="Times New Roman" w:cs="Times New Roman" w:eastAsia="Times New Roman" w:hint="default"/>
        </w:rPr>
        <w:t>, </w:t>
      </w:r>
      <w:r>
        <w:rPr>
          <w:spacing w:val="-12"/>
        </w:rPr>
        <w:t>政府各个部门、上市公司等的民用舆情服务平台“美亚舆情网”的建设</w:t>
      </w:r>
      <w:r>
        <w:rPr>
          <w:rFonts w:ascii="Times New Roman" w:hAnsi="Times New Roman" w:cs="Times New Roman" w:eastAsia="Times New Roman" w:hint="default"/>
          <w:spacing w:val="-12"/>
        </w:rPr>
        <w:t>,</w:t>
      </w:r>
      <w:r>
        <w:rPr>
          <w:rFonts w:ascii="Times New Roman" w:hAnsi="Times New Roman" w:cs="Times New Roman" w:eastAsia="Times New Roman" w:hint="default"/>
          <w:spacing w:val="23"/>
        </w:rPr>
        <w:t> </w:t>
      </w:r>
      <w:r>
        <w:rPr/>
        <w:t>大 </w:t>
      </w:r>
      <w:r>
        <w:rPr>
          <w:spacing w:val="-4"/>
        </w:rPr>
        <w:t>大加强研发团队的投入，推出各具行业特色的产品。海量数据处理方面在</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我们 做了足够的技术储备，在大数据的处理方面拥有较强的核心技术，计划推出自主知 </w:t>
      </w:r>
      <w:r>
        <w:rPr>
          <w:spacing w:val="-3"/>
        </w:rPr>
        <w:t>识产权的海量数据处理组件。公证云服务平台的建设在</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5"/>
        </w:rPr>
        <w:t> </w:t>
      </w:r>
      <w:r>
        <w:rPr>
          <w:spacing w:val="-6"/>
        </w:rPr>
        <w:t>年将全面铺开，是对原</w:t>
      </w:r>
      <w:r>
        <w:rPr/>
        <w:t> </w:t>
      </w:r>
      <w:r>
        <w:rPr>
          <w:spacing w:val="-7"/>
        </w:rPr>
        <w:t>有的两大服务“电子数据鉴定业务”、“数字知识保护服务”业务的有效延伸和重要</w:t>
      </w:r>
      <w:r>
        <w:rPr>
          <w:spacing w:val="-101"/>
        </w:rPr>
        <w:t> </w:t>
      </w:r>
      <w:r>
        <w:rPr>
          <w:spacing w:val="-101"/>
        </w:rPr>
      </w:r>
      <w:r>
        <w:rPr/>
        <w:t>补充，满足了权利人在维权过程中不同层面的证据服务需求，将有效解决电子数据 鉴定取证难的问题，以及数字知识产权保护过程中维权难的问题，同时也将带来大 量的证据保存及公证业务。</w:t>
      </w:r>
    </w:p>
    <w:p>
      <w:pPr>
        <w:spacing w:line="240" w:lineRule="auto" w:before="8"/>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3</w:t>
      </w:r>
      <w:r>
        <w:rPr/>
        <w:t>、技术支持及服务计划</w:t>
      </w:r>
      <w:r>
        <w:rPr>
          <w:b w:val="0"/>
          <w:bCs w:val="0"/>
        </w:rPr>
      </w:r>
    </w:p>
    <w:p>
      <w:pPr>
        <w:spacing w:line="240" w:lineRule="auto" w:before="8"/>
        <w:rPr>
          <w:rFonts w:ascii="宋体" w:hAnsi="宋体" w:cs="宋体" w:eastAsia="宋体" w:hint="default"/>
          <w:b/>
          <w:bCs/>
          <w:sz w:val="28"/>
          <w:szCs w:val="28"/>
        </w:rPr>
      </w:pPr>
    </w:p>
    <w:p>
      <w:pPr>
        <w:pStyle w:val="BodyText"/>
        <w:spacing w:line="350" w:lineRule="auto"/>
        <w:ind w:left="119" w:right="102"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7"/>
        </w:rPr>
        <w:t> </w:t>
      </w:r>
      <w:r>
        <w:rPr>
          <w:spacing w:val="-6"/>
        </w:rPr>
        <w:t>年，将原有技术支持及运营中心拆分为，技术支持中心和云计算运营中心。</w:t>
      </w:r>
      <w:r>
        <w:rPr/>
        <w:t> 重点通过提升现有技术支持队伍的工作技能，优化工作流程，提高效率来提高客户 满意度。培训方面，探索新的培训运营模式，打造电子数据取证行业及信息安全领 域的“新东方” </w:t>
      </w:r>
      <w:r>
        <w:rPr>
          <w:spacing w:val="-5"/>
        </w:rPr>
        <w:t>（国内专业、权威的电子数据取证及信息安全培训机构）。扩大培</w:t>
      </w:r>
      <w:r>
        <w:rPr>
          <w:spacing w:val="-95"/>
        </w:rPr>
        <w:t> </w:t>
      </w:r>
      <w:r>
        <w:rPr>
          <w:spacing w:val="-95"/>
        </w:rPr>
      </w:r>
      <w:r>
        <w:rPr/>
        <w:t>训讲师及管理团队的规模，与全国各院校开展联合办学（包括电子数据取证专业学 </w:t>
      </w:r>
      <w:r>
        <w:rPr>
          <w:spacing w:val="-14"/>
        </w:rPr>
        <w:t>科、在职工程硕士），并将</w:t>
      </w:r>
      <w:r>
        <w:rPr>
          <w:spacing w:val="-59"/>
        </w:rPr>
        <w:t> </w:t>
      </w:r>
      <w:r>
        <w:rPr>
          <w:rFonts w:ascii="Times New Roman" w:hAnsi="Times New Roman" w:cs="Times New Roman" w:eastAsia="Times New Roman" w:hint="default"/>
          <w:spacing w:val="-1"/>
        </w:rPr>
        <w:t>MCE</w:t>
      </w:r>
      <w:r>
        <w:rPr>
          <w:rFonts w:ascii="Times New Roman" w:hAnsi="Times New Roman" w:cs="Times New Roman" w:eastAsia="Times New Roman" w:hint="default"/>
        </w:rPr>
        <w:t> </w:t>
      </w:r>
      <w:r>
        <w:rPr/>
        <w:t>系列认证打造成为国内具有权威影响力的岗位技能</w:t>
      </w:r>
      <w:r>
        <w:rPr>
          <w:spacing w:val="-117"/>
        </w:rPr>
        <w:t> </w:t>
      </w:r>
      <w:r>
        <w:rPr/>
        <w:t>认证。积极申报办学资质。</w:t>
      </w:r>
    </w:p>
    <w:p>
      <w:pPr>
        <w:pStyle w:val="BodyText"/>
        <w:spacing w:line="348" w:lineRule="auto" w:before="162"/>
        <w:ind w:left="119" w:right="119" w:firstLine="480"/>
        <w:jc w:val="both"/>
      </w:pPr>
      <w:r>
        <w:rPr>
          <w:rFonts w:ascii="Times New Roman" w:hAnsi="Times New Roman" w:cs="Times New Roman" w:eastAsia="Times New Roman" w:hint="default"/>
        </w:rPr>
        <w:t>2012 </w:t>
      </w:r>
      <w:r>
        <w:rPr/>
        <w:t>年服务由原有的两大服务（电子数据鉴定服务、数字知识产权保护服务） </w:t>
      </w:r>
      <w:r>
        <w:rPr>
          <w:spacing w:val="-19"/>
        </w:rPr>
        <w:t>拓展为五大服务（增加“取证云”、“搜索云”、“公证云”服务），公司专门成立云计</w:t>
      </w:r>
      <w:r>
        <w:rPr>
          <w:spacing w:val="-104"/>
        </w:rPr>
        <w:t> </w:t>
      </w:r>
      <w:r>
        <w:rPr>
          <w:spacing w:val="-104"/>
        </w:rPr>
      </w:r>
      <w:r>
        <w:rPr/>
        <w:t>算运营中心，运营包括厦门超级计算（云计算）中心业务，为公司的“小产品，大 </w:t>
      </w:r>
      <w:r>
        <w:rPr>
          <w:spacing w:val="-4"/>
        </w:rPr>
        <w:t>服务”模式提供技术保障。同时全面运营</w:t>
      </w:r>
      <w:r>
        <w:rPr>
          <w:spacing w:val="-5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spacing w:val="-18"/>
        </w:rPr>
        <w:t>年公司重点发展的“搜索云”、“取证</w:t>
      </w:r>
      <w:r>
        <w:rPr>
          <w:spacing w:val="-111"/>
        </w:rPr>
        <w:t> </w:t>
      </w:r>
      <w:r>
        <w:rPr>
          <w:spacing w:val="-111"/>
        </w:rPr>
      </w:r>
      <w:r>
        <w:rPr>
          <w:spacing w:val="-10"/>
        </w:rPr>
        <w:t>云”、“公证云”业务。通过策划主题活动等方式，提高社会影响力，加快业务拓展，</w:t>
      </w:r>
      <w:r>
        <w:rPr>
          <w:spacing w:val="-100"/>
        </w:rPr>
        <w:t> </w:t>
      </w:r>
      <w:r>
        <w:rPr>
          <w:spacing w:val="-100"/>
        </w:rPr>
      </w:r>
      <w:r>
        <w:rPr/>
        <w:t>实现收入的快速成长。其中“公证云”计划，实现在年底注册用户数达一定规模。</w:t>
      </w:r>
    </w:p>
    <w:p>
      <w:pPr>
        <w:pStyle w:val="BodyText"/>
        <w:spacing w:line="348" w:lineRule="auto" w:before="164"/>
        <w:ind w:left="119" w:right="236" w:firstLine="480"/>
        <w:jc w:val="both"/>
      </w:pPr>
      <w:r>
        <w:rPr/>
        <w:t>电子数据司法鉴定方面。在全国设立</w:t>
      </w:r>
      <w:r>
        <w:rPr>
          <w:spacing w:val="-60"/>
        </w:rPr>
        <w:t> </w:t>
      </w:r>
      <w:r>
        <w:rPr>
          <w:rFonts w:ascii="Times New Roman" w:hAnsi="Times New Roman" w:cs="Times New Roman" w:eastAsia="Times New Roman" w:hint="default"/>
        </w:rPr>
        <w:t>5 </w:t>
      </w:r>
      <w:r>
        <w:rPr/>
        <w:t>个以上的鉴定服务受理点，加强技术理 论研究，占领行业技术制高点。数字知识产权保护方面，将数字知识产权保护平台 改造成一个“自助式监测</w:t>
      </w:r>
      <w:r>
        <w:rPr>
          <w:rFonts w:ascii="Times New Roman" w:hAnsi="Times New Roman" w:cs="Times New Roman" w:eastAsia="Times New Roman" w:hint="default"/>
        </w:rPr>
        <w:t>--</w:t>
      </w:r>
      <w:r>
        <w:rPr/>
        <w:t>互动式维权</w:t>
      </w:r>
      <w:r>
        <w:rPr>
          <w:rFonts w:ascii="Times New Roman" w:hAnsi="Times New Roman" w:cs="Times New Roman" w:eastAsia="Times New Roman" w:hint="default"/>
        </w:rPr>
        <w:t>--</w:t>
      </w:r>
      <w:r>
        <w:rPr/>
        <w:t>平台化操作”的服务平台。</w:t>
      </w:r>
      <w:r>
        <w:rPr>
          <w:rFonts w:ascii="Times New Roman" w:hAnsi="Times New Roman" w:cs="Times New Roman" w:eastAsia="Times New Roman" w:hint="default"/>
        </w:rPr>
        <w:t>2012 </w:t>
      </w:r>
      <w:r>
        <w:rPr>
          <w:rFonts w:ascii="Times New Roman" w:hAnsi="Times New Roman" w:cs="Times New Roman" w:eastAsia="Times New Roman" w:hint="default"/>
          <w:spacing w:val="29"/>
        </w:rPr>
        <w:t> </w:t>
      </w:r>
      <w:r>
        <w:rPr/>
        <w:t>年将致力</w:t>
      </w:r>
    </w:p>
    <w:p>
      <w:pPr>
        <w:spacing w:after="0" w:line="348" w:lineRule="auto"/>
        <w:jc w:val="both"/>
        <w:sectPr>
          <w:pgSz w:w="12240" w:h="15840"/>
          <w:pgMar w:header="0" w:footer="688" w:top="1400" w:bottom="880" w:left="1680" w:right="1560"/>
        </w:sectPr>
      </w:pPr>
    </w:p>
    <w:p>
      <w:pPr>
        <w:pStyle w:val="BodyText"/>
        <w:spacing w:line="357" w:lineRule="auto" w:before="1"/>
        <w:ind w:right="239"/>
        <w:jc w:val="both"/>
      </w:pPr>
      <w:r>
        <w:rPr/>
        <w:t>于“数字知识产权保护平台”新模式的建立和优化，实现模式转型，力求在服务方 式、服务质量和销售业绩上有质的飞跃。在服务对象方面，新的服务模式将吸引影 视公司、网游公司、品牌企业等拥有自主作品和品牌的企业客户，以及从事知识产 权管理和保护的相关组织或机构，如版权管理组织、律师事务所等，该平台同时面 向个人提供侵权信息监测服务和维权解决方案。在行业方向上，数字知识产权保护 平台今年将侧重影视维权和商标维权两个方面，同时积极拓展新领域用户，如商业 软件、文字、音乐、动漫等，并积极争取获得</w:t>
      </w:r>
      <w:r>
        <w:rPr>
          <w:spacing w:val="-60"/>
        </w:rPr>
        <w:t> </w:t>
      </w:r>
      <w:r>
        <w:rPr>
          <w:rFonts w:ascii="Times New Roman" w:hAnsi="Times New Roman" w:cs="Times New Roman" w:eastAsia="Times New Roman" w:hint="default"/>
        </w:rPr>
        <w:t>2012 </w:t>
      </w:r>
      <w:r>
        <w:rPr/>
        <w:t>年重大活动的网络维权。</w:t>
      </w:r>
    </w:p>
    <w:p>
      <w:pPr>
        <w:spacing w:line="240" w:lineRule="auto" w:before="9"/>
        <w:rPr>
          <w:rFonts w:ascii="宋体" w:hAnsi="宋体" w:cs="宋体" w:eastAsia="宋体" w:hint="default"/>
          <w:sz w:val="18"/>
          <w:szCs w:val="18"/>
        </w:rPr>
      </w:pPr>
    </w:p>
    <w:p>
      <w:pPr>
        <w:pStyle w:val="Heading3"/>
        <w:spacing w:line="240" w:lineRule="auto"/>
        <w:ind w:left="582" w:right="114"/>
        <w:jc w:val="left"/>
        <w:rPr>
          <w:b w:val="0"/>
          <w:bCs w:val="0"/>
        </w:rPr>
      </w:pPr>
      <w:r>
        <w:rPr>
          <w:rFonts w:ascii="Times New Roman" w:hAnsi="Times New Roman" w:cs="Times New Roman" w:eastAsia="Times New Roman" w:hint="default"/>
        </w:rPr>
        <w:t>4</w:t>
      </w:r>
      <w:r>
        <w:rPr/>
        <w:t>、人力资源计划</w:t>
      </w:r>
      <w:r>
        <w:rPr>
          <w:b w:val="0"/>
          <w:bCs w:val="0"/>
        </w:rPr>
      </w:r>
    </w:p>
    <w:p>
      <w:pPr>
        <w:spacing w:line="240" w:lineRule="auto" w:before="9"/>
        <w:rPr>
          <w:rFonts w:ascii="宋体" w:hAnsi="宋体" w:cs="宋体" w:eastAsia="宋体" w:hint="default"/>
          <w:b/>
          <w:bCs/>
          <w:sz w:val="28"/>
          <w:szCs w:val="28"/>
        </w:rPr>
      </w:pPr>
    </w:p>
    <w:p>
      <w:pPr>
        <w:pStyle w:val="BodyText"/>
        <w:spacing w:line="348" w:lineRule="auto"/>
        <w:ind w:right="239"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3"/>
        </w:rPr>
        <w:t> </w:t>
      </w:r>
      <w:r>
        <w:rPr>
          <w:spacing w:val="-2"/>
        </w:rPr>
        <w:t>年，公司将充分挖掘并发挥高端人才对公司重大决策的作用，提高公司的</w:t>
      </w:r>
      <w:r>
        <w:rPr/>
        <w:t> 决策水平，整合公司专家资源，公司成立美亚专家委员会（包含技术专家委员会， </w:t>
      </w:r>
      <w:r>
        <w:rPr>
          <w:spacing w:val="-6"/>
        </w:rPr>
        <w:t>运营专家委员会），以保证公司的正确发展方向。</w:t>
      </w:r>
    </w:p>
    <w:p>
      <w:pPr>
        <w:pStyle w:val="BodyText"/>
        <w:spacing w:line="350" w:lineRule="auto" w:before="164"/>
        <w:ind w:right="237"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6"/>
        </w:rPr>
        <w:t> </w:t>
      </w:r>
      <w:r>
        <w:rPr>
          <w:spacing w:val="-3"/>
        </w:rPr>
        <w:t>年，公司将继续在人才引进方面加强投入，做到人尽其才，量才适用，结</w:t>
      </w:r>
      <w:r>
        <w:rPr/>
        <w:t> 合公司经营目标设定年度、季度的考核方式，加强各类制度的执行、监督与核查力 度，立足长期发展战略，完善培训体系，通过内部岗位竞聘、绩效奖励、股权激励 等多种激励方式，吸引和保留更多的优质人才，打造公司良好的雇主品牌形象。</w:t>
      </w:r>
    </w:p>
    <w:p>
      <w:pPr>
        <w:pStyle w:val="BodyText"/>
        <w:spacing w:line="350" w:lineRule="auto" w:before="162"/>
        <w:ind w:right="237"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6"/>
        </w:rPr>
        <w:t> </w:t>
      </w:r>
      <w:r>
        <w:rPr>
          <w:spacing w:val="-3"/>
        </w:rPr>
        <w:t>年，公司将继续在人才引进方面加强投入，做到人尽其才，量才适用，结</w:t>
      </w:r>
      <w:r>
        <w:rPr/>
        <w:t> 合公司经营目标设定年度、季度的考核方式，加强各类制度的执行、监督与核查力 度，立足长期发展战略，完善培训体系，通过内部岗位竞聘、绩效奖励、股权激励 等多种激励方式，吸引和保留更多的优质人才，打造公司良好的雇主品牌形象。</w:t>
      </w:r>
    </w:p>
    <w:p>
      <w:pPr>
        <w:pStyle w:val="BodyText"/>
        <w:spacing w:line="357" w:lineRule="auto" w:before="162"/>
        <w:ind w:right="239" w:firstLine="480"/>
        <w:jc w:val="both"/>
      </w:pPr>
      <w:r>
        <w:rPr/>
        <w:t>在绩效考核方面将引入目标管理的理念，紧密结合公司战略目标设定考核的各 项考核指标，形成短期考核与长期考核相结合的考核体系，强调过程检测和结果考 核并重的原则，使得各级管理者充分了解员工的工作绩效，促进上下级的沟通，达 到共赢。公司管理层、骨干员工全面施行目标责任书管理的计划。按照目标责任书 完成时间，在年底，根据量化指标进行严格考核，落实具体完成情况，根据完成质 量及标准，发放奖金。</w:t>
      </w:r>
    </w:p>
    <w:p>
      <w:pPr>
        <w:pStyle w:val="BodyText"/>
        <w:spacing w:line="240" w:lineRule="auto" w:before="155"/>
        <w:ind w:left="580" w:right="98"/>
        <w:jc w:val="left"/>
      </w:pPr>
      <w:r>
        <w:rPr>
          <w:spacing w:val="-4"/>
        </w:rPr>
        <w:t>在内部培训方面，积极构建学习型组织，加快公司内部各种知识的积累与分享，</w:t>
      </w:r>
    </w:p>
    <w:p>
      <w:pPr>
        <w:spacing w:after="0" w:line="240" w:lineRule="auto"/>
        <w:jc w:val="left"/>
        <w:sectPr>
          <w:pgSz w:w="12240" w:h="15840"/>
          <w:pgMar w:header="0" w:footer="688" w:top="1400" w:bottom="880" w:left="1700" w:right="1560"/>
        </w:sectPr>
      </w:pPr>
    </w:p>
    <w:p>
      <w:pPr>
        <w:pStyle w:val="BodyText"/>
        <w:spacing w:line="357" w:lineRule="auto" w:before="1"/>
        <w:ind w:right="220"/>
        <w:jc w:val="left"/>
      </w:pPr>
      <w:r>
        <w:rPr/>
        <w:t>并建立公司内部培训讲师管理制度，逐步培养一支内训讲师队伍。继续关注中高层 管理人员素质和能力成长，并开始关注储备干部的培养，加强人才梯队建设。</w:t>
      </w:r>
    </w:p>
    <w:p>
      <w:pPr>
        <w:spacing w:line="240" w:lineRule="auto" w:before="0"/>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5</w:t>
      </w:r>
      <w:r>
        <w:rPr/>
        <w:t>、公司管理及投资并购方面</w:t>
      </w:r>
      <w:r>
        <w:rPr>
          <w:b w:val="0"/>
          <w:bCs w:val="0"/>
        </w:rPr>
      </w:r>
    </w:p>
    <w:p>
      <w:pPr>
        <w:spacing w:line="240" w:lineRule="auto" w:before="8"/>
        <w:rPr>
          <w:rFonts w:ascii="宋体" w:hAnsi="宋体" w:cs="宋体" w:eastAsia="宋体" w:hint="default"/>
          <w:b/>
          <w:bCs/>
          <w:sz w:val="28"/>
          <w:szCs w:val="28"/>
        </w:rPr>
      </w:pPr>
    </w:p>
    <w:p>
      <w:pPr>
        <w:pStyle w:val="BodyText"/>
        <w:spacing w:line="348" w:lineRule="auto"/>
        <w:ind w:right="119"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21"/>
        </w:rPr>
        <w:t> </w:t>
      </w:r>
      <w:r>
        <w:rPr/>
        <w:t>年，我们将结合内部审计提出的问题点，结合公司的发展规划，对组织架 构进行梳理，制定出适合公司的最优的组织架构，通过调整管理架构，合理分配企 </w:t>
      </w:r>
      <w:r>
        <w:rPr>
          <w:spacing w:val="-4"/>
        </w:rPr>
        <w:t>业管理资源，在强化部门职能的同时加强协作与交流，实现公司管理的科学与高效。</w:t>
      </w:r>
    </w:p>
    <w:p>
      <w:pPr>
        <w:pStyle w:val="BodyText"/>
        <w:spacing w:line="348" w:lineRule="auto" w:before="164"/>
        <w:ind w:right="239" w:firstLine="480"/>
        <w:jc w:val="both"/>
      </w:pPr>
      <w:r>
        <w:rPr>
          <w:spacing w:val="-2"/>
        </w:rPr>
        <w:t>在公司信息化建设方面，</w:t>
      </w:r>
      <w:r>
        <w:rPr>
          <w:rFonts w:ascii="Times New Roman" w:hAnsi="Times New Roman" w:cs="Times New Roman" w:eastAsia="Times New Roman" w:hint="default"/>
          <w:spacing w:val="-2"/>
        </w:rPr>
        <w:t>2012</w:t>
      </w:r>
      <w:r>
        <w:rPr>
          <w:rFonts w:ascii="Times New Roman" w:hAnsi="Times New Roman" w:cs="Times New Roman" w:eastAsia="Times New Roman" w:hint="default"/>
          <w:spacing w:val="11"/>
        </w:rPr>
        <w:t> </w:t>
      </w:r>
      <w:r>
        <w:rPr>
          <w:spacing w:val="-2"/>
        </w:rPr>
        <w:t>年除了进一步完善和优化各内部管理系统，我们</w:t>
      </w:r>
      <w:r>
        <w:rPr/>
        <w:t> 计划对现有信息系统进行整合，建立共有的用户库、产品库，建设集合各个系统各 种单据审批流程为一体的大型门户，减少信息孤岛以及数据重复性维护。</w:t>
      </w:r>
    </w:p>
    <w:p>
      <w:pPr>
        <w:pStyle w:val="BodyText"/>
        <w:spacing w:line="352" w:lineRule="auto" w:before="164"/>
        <w:ind w:right="239" w:firstLine="480"/>
        <w:jc w:val="both"/>
      </w:pPr>
      <w:r>
        <w:rPr>
          <w:rFonts w:ascii="Times New Roman" w:hAnsi="Times New Roman" w:cs="Times New Roman" w:eastAsia="Times New Roman" w:hint="default"/>
        </w:rPr>
        <w:t>2012</w:t>
      </w:r>
      <w:r>
        <w:rPr>
          <w:rFonts w:ascii="Times New Roman" w:hAnsi="Times New Roman" w:cs="Times New Roman" w:eastAsia="Times New Roman" w:hint="default"/>
          <w:spacing w:val="3"/>
        </w:rPr>
        <w:t> </w:t>
      </w:r>
      <w:r>
        <w:rPr>
          <w:spacing w:val="-2"/>
        </w:rPr>
        <w:t>年审计工作目标将紧紧围绕公司的生产经营和管理为中心，围绕公司的年</w:t>
      </w:r>
      <w:r>
        <w:rPr/>
        <w:t> 度工作思路，进行财务审计、制度与流程审计、资金审计、其他重大事项审计等， 为董事会履行服务与监督职能，对内部控制和风险管理的有效性、财务信息的真实 性和完整性以及经营活动运行的效率和效果等开展评价活动。推行全面预算管理， 从战略管理方面、风险控制方面、人员考核方面进行把控，促进计划工作的开展与 完善，减小经营风险与财务风险。</w:t>
      </w:r>
    </w:p>
    <w:p>
      <w:pPr>
        <w:pStyle w:val="BodyText"/>
        <w:spacing w:line="350" w:lineRule="auto" w:before="160"/>
        <w:ind w:right="239" w:firstLine="480"/>
        <w:jc w:val="both"/>
      </w:pPr>
      <w:r>
        <w:rPr/>
        <w:t>以围绕主营业务为主，充分利用自身的竞争优势，在适当时机进行投资并购活 动，不断完善公司产品结构，扩大产品销售渠道，增强公司整体的抗风险能力，提 </w:t>
      </w:r>
      <w:r>
        <w:rPr>
          <w:spacing w:val="-3"/>
        </w:rPr>
        <w:t>高市场占有率和竞争力，保障公司持续稳定的发展。</w:t>
      </w:r>
      <w:r>
        <w:rPr>
          <w:rFonts w:ascii="Times New Roman" w:hAnsi="Times New Roman" w:cs="Times New Roman" w:eastAsia="Times New Roman" w:hint="default"/>
          <w:spacing w:val="-3"/>
        </w:rPr>
        <w:t>2012</w:t>
      </w:r>
      <w:r>
        <w:rPr>
          <w:rFonts w:ascii="Times New Roman" w:hAnsi="Times New Roman" w:cs="Times New Roman" w:eastAsia="Times New Roman" w:hint="default"/>
          <w:spacing w:val="20"/>
        </w:rPr>
        <w:t> </w:t>
      </w:r>
      <w:r>
        <w:rPr/>
        <w:t>年计划完成多个投资并购 目标。</w:t>
      </w:r>
    </w:p>
    <w:p>
      <w:pPr>
        <w:spacing w:line="240" w:lineRule="auto" w:before="8"/>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6</w:t>
      </w:r>
      <w:r>
        <w:rPr/>
        <w:t>、知识产权方面</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295" w:right="282" w:firstLine="480"/>
        <w:jc w:val="both"/>
      </w:pPr>
      <w:r>
        <w:rPr/>
        <w:t>2012年公司将成立知识产权的管理部门，负责对知识产权申报、使用、维权 等综合业务，健全和完善知识产权管理体系，提高知识创新能力和竞争力，制定 切实可行的指导计划，鼓励员工积极参与知识产权的申报，提高知识产权的防范 及保护意识。</w:t>
      </w:r>
    </w:p>
    <w:p>
      <w:pPr>
        <w:spacing w:after="0" w:line="357" w:lineRule="auto"/>
        <w:jc w:val="both"/>
        <w:sectPr>
          <w:pgSz w:w="12240" w:h="15840"/>
          <w:pgMar w:header="0" w:footer="688" w:top="1400" w:bottom="880" w:left="1700" w:right="1560"/>
        </w:sectPr>
      </w:pPr>
    </w:p>
    <w:p>
      <w:pPr>
        <w:pStyle w:val="Heading3"/>
        <w:spacing w:line="240" w:lineRule="auto" w:before="1"/>
        <w:ind w:left="582" w:right="114"/>
        <w:jc w:val="left"/>
        <w:rPr>
          <w:b w:val="0"/>
          <w:bCs w:val="0"/>
        </w:rPr>
      </w:pPr>
      <w:r>
        <w:rPr>
          <w:rFonts w:ascii="Times New Roman" w:hAnsi="Times New Roman" w:cs="Times New Roman" w:eastAsia="Times New Roman" w:hint="default"/>
        </w:rPr>
        <w:t>7</w:t>
      </w:r>
      <w:r>
        <w:rPr/>
        <w:t>、企业文化建设</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295" w:right="239" w:firstLine="480"/>
        <w:jc w:val="both"/>
      </w:pPr>
      <w:r>
        <w:rPr/>
        <w:t>2012年我们提出“创新美亚、高效美亚、幸福美亚”三个美亚的企业文化目 标，继续发扬公司注重企业文化建设的传统，</w:t>
      </w:r>
      <w:r>
        <w:rPr>
          <w:spacing w:val="-76"/>
        </w:rPr>
        <w:t> </w:t>
      </w:r>
      <w:r>
        <w:rPr/>
        <w:t>为员工提供更加好的工作环境，更</w:t>
      </w:r>
      <w:r>
        <w:rPr/>
        <w:t> 加和谐的工作氛围，更加多样的成长机会。</w:t>
      </w:r>
    </w:p>
    <w:p>
      <w:pPr>
        <w:pStyle w:val="BodyText"/>
        <w:spacing w:line="357" w:lineRule="auto" w:before="35"/>
        <w:ind w:left="295" w:right="282" w:firstLine="480"/>
        <w:jc w:val="both"/>
      </w:pPr>
      <w:r>
        <w:rPr/>
        <w:t>2012年，我们将党、工、团建设与公司的企业文化紧密结合。工会将以开展 员工关怀类的各项活动以增进员工的归属感；团总支将以中心为单位建立各团支 部，并将着重推荐优秀团员入党，积极向党组织输送优秀人才。</w:t>
      </w:r>
    </w:p>
    <w:p>
      <w:pPr>
        <w:pStyle w:val="BodyText"/>
        <w:spacing w:line="357" w:lineRule="auto" w:before="35"/>
        <w:ind w:left="295" w:right="282" w:firstLine="480"/>
        <w:jc w:val="both"/>
      </w:pPr>
      <w:r>
        <w:rPr/>
        <w:t>2012年，我们将继续发挥美亚柏科爱心基金的作用，主要用于支持社会各项 公益事业以及困难人员救助，努力回报社会。</w:t>
      </w:r>
    </w:p>
    <w:p>
      <w:pPr>
        <w:spacing w:line="240" w:lineRule="auto" w:before="10"/>
        <w:rPr>
          <w:rFonts w:ascii="宋体" w:hAnsi="宋体" w:cs="宋体" w:eastAsia="宋体" w:hint="default"/>
          <w:sz w:val="33"/>
          <w:szCs w:val="33"/>
        </w:rPr>
      </w:pPr>
    </w:p>
    <w:p>
      <w:pPr>
        <w:pStyle w:val="Heading3"/>
        <w:spacing w:line="240" w:lineRule="auto"/>
        <w:ind w:left="582" w:right="114"/>
        <w:jc w:val="left"/>
        <w:rPr>
          <w:b w:val="0"/>
          <w:bCs w:val="0"/>
        </w:rPr>
      </w:pPr>
      <w:r>
        <w:rPr/>
        <w:t>（四）对公司未来发展战略和经营目标的实现产生不利影响的风险因素</w:t>
      </w:r>
      <w:r>
        <w:rPr>
          <w:b w:val="0"/>
          <w:bCs w:val="0"/>
        </w:rPr>
      </w:r>
    </w:p>
    <w:p>
      <w:pPr>
        <w:spacing w:line="240" w:lineRule="auto" w:before="4"/>
        <w:rPr>
          <w:rFonts w:ascii="宋体" w:hAnsi="宋体" w:cs="宋体" w:eastAsia="宋体" w:hint="default"/>
          <w:b/>
          <w:bCs/>
          <w:sz w:val="18"/>
          <w:szCs w:val="18"/>
        </w:rPr>
      </w:pPr>
    </w:p>
    <w:p>
      <w:pPr>
        <w:spacing w:before="0"/>
        <w:ind w:left="582" w:right="114"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、公司规模快速扩张带来的管理风险</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p>
      <w:pPr>
        <w:pStyle w:val="BodyText"/>
        <w:spacing w:line="350" w:lineRule="auto"/>
        <w:ind w:right="239"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年度，公司人员由</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年底的</w:t>
      </w:r>
      <w:r>
        <w:rPr>
          <w:spacing w:val="-51"/>
        </w:rPr>
        <w:t> </w:t>
      </w:r>
      <w:r>
        <w:rPr>
          <w:rFonts w:ascii="Times New Roman" w:hAnsi="Times New Roman" w:cs="Times New Roman" w:eastAsia="Times New Roman" w:hint="default"/>
        </w:rPr>
        <w:t>382</w:t>
      </w:r>
      <w:r>
        <w:rPr>
          <w:rFonts w:ascii="Times New Roman" w:hAnsi="Times New Roman" w:cs="Times New Roman" w:eastAsia="Times New Roman" w:hint="default"/>
          <w:spacing w:val="9"/>
        </w:rPr>
        <w:t> </w:t>
      </w:r>
      <w:r>
        <w:rPr/>
        <w:t>人迅速增加到</w:t>
      </w:r>
      <w:r>
        <w:rPr>
          <w:spacing w:val="-51"/>
        </w:rPr>
        <w:t> </w:t>
      </w:r>
      <w:r>
        <w:rPr>
          <w:rFonts w:ascii="Times New Roman" w:hAnsi="Times New Roman" w:cs="Times New Roman" w:eastAsia="Times New Roman" w:hint="default"/>
        </w:rPr>
        <w:t>641</w:t>
      </w:r>
      <w:r>
        <w:rPr>
          <w:rFonts w:ascii="Times New Roman" w:hAnsi="Times New Roman" w:cs="Times New Roman" w:eastAsia="Times New Roman" w:hint="default"/>
          <w:spacing w:val="9"/>
        </w:rPr>
        <w:t> </w:t>
      </w:r>
      <w:r>
        <w:rPr/>
        <w:t>人，随着募投项目 的开展，公司的经营规模和业务总量将再上台阶，人员构成和管理体系也将日趋复 杂，这要求公司不断提高自身的管理能力，并根据业务发展需要及时调整现有的组 织模式和管理制度，否则，将会阻碍公司业务的健康发展。</w:t>
      </w:r>
    </w:p>
    <w:p>
      <w:pPr>
        <w:pStyle w:val="BodyText"/>
        <w:spacing w:line="357" w:lineRule="auto" w:before="162"/>
        <w:ind w:right="239" w:firstLine="480"/>
        <w:jc w:val="both"/>
      </w:pPr>
      <w:r>
        <w:rPr/>
        <w:t>因此，公司将不断深化组织架构和业务流程方面的调整，完善管理制度和绩效 考核制度，加强内部控制尤其是风险控制体系建设，以适应公司规模快速发展的需 要。</w:t>
      </w:r>
    </w:p>
    <w:p>
      <w:pPr>
        <w:spacing w:line="240" w:lineRule="auto" w:before="0"/>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2</w:t>
      </w:r>
      <w:r>
        <w:rPr/>
        <w:t>、产品销售季节性不均衡的风险</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114" w:firstLine="480"/>
        <w:jc w:val="left"/>
      </w:pPr>
      <w:r>
        <w:rPr/>
        <w:t>公司产品销售收入在上、下半年具有不均衡的特点，因为公司产品主要销售于 </w:t>
      </w:r>
      <w:r>
        <w:rPr>
          <w:spacing w:val="-4"/>
        </w:rPr>
        <w:t>司法机关、行政执法部门等，这些客户的普遍特点是，上半年制订计划、预算审批，</w:t>
      </w:r>
      <w:r>
        <w:rPr>
          <w:spacing w:val="-92"/>
        </w:rPr>
        <w:t> </w:t>
      </w:r>
      <w:r>
        <w:rPr>
          <w:spacing w:val="-92"/>
        </w:rPr>
      </w:r>
      <w:r>
        <w:rPr/>
        <w:t>下半年实施和验收。因此，公司产品销售收入的实现主要集中在下半年尤其是第四 季度，具有明显的季节性特征。</w:t>
      </w:r>
    </w:p>
    <w:p>
      <w:pPr>
        <w:spacing w:after="0" w:line="357" w:lineRule="auto"/>
        <w:jc w:val="left"/>
        <w:sectPr>
          <w:pgSz w:w="12240" w:h="15840"/>
          <w:pgMar w:header="0" w:footer="688" w:top="1400" w:bottom="880" w:left="1700" w:right="1560"/>
        </w:sectPr>
      </w:pPr>
    </w:p>
    <w:p>
      <w:pPr>
        <w:pStyle w:val="BodyText"/>
        <w:spacing w:line="357" w:lineRule="auto" w:before="1"/>
        <w:ind w:left="120" w:right="119" w:firstLine="480"/>
        <w:jc w:val="both"/>
      </w:pPr>
      <w:r>
        <w:rPr/>
        <w:t>公司业务的季节性特征不仅导致公司季节性资金需求和现金流量不均衡，定期 报告中各季度营业收入、营业成本、营业利润也均呈现出明显的不均衡，即是下半 年明显高于上半年，甚至出现上半年或一季度营业利润为负的情况。这有可能影响 </w:t>
      </w:r>
      <w:r>
        <w:rPr>
          <w:spacing w:val="-4"/>
        </w:rPr>
        <w:t>部分投资者对公司的信心，从而对公司的生产经营活动和股票价值造成一定的影响。</w:t>
      </w:r>
    </w:p>
    <w:p>
      <w:pPr>
        <w:pStyle w:val="BodyText"/>
        <w:spacing w:line="357" w:lineRule="auto" w:before="155"/>
        <w:ind w:left="120" w:right="239" w:firstLine="480"/>
        <w:jc w:val="both"/>
      </w:pPr>
      <w:r>
        <w:rPr/>
        <w:t>因此，公司将不断加强生产计划和财务预算管理，尽可能降低季节性因素导致 的资金需求和现金流量不均衡问题的影响。同时，要加强投资者关系管理，保持与 投资者的充分沟通，以便投资者能及时、正确的了解公司的运营情况。</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3</w:t>
      </w:r>
      <w:r>
        <w:rPr/>
        <w:t>、应收帐款风险</w:t>
      </w:r>
      <w:r>
        <w:rPr>
          <w:b w:val="0"/>
          <w:bCs w:val="0"/>
        </w:rPr>
      </w:r>
    </w:p>
    <w:p>
      <w:pPr>
        <w:spacing w:line="240" w:lineRule="auto" w:before="9"/>
        <w:rPr>
          <w:rFonts w:ascii="宋体" w:hAnsi="宋体" w:cs="宋体" w:eastAsia="宋体" w:hint="default"/>
          <w:b/>
          <w:bCs/>
          <w:sz w:val="28"/>
          <w:szCs w:val="28"/>
        </w:rPr>
      </w:pPr>
    </w:p>
    <w:p>
      <w:pPr>
        <w:pStyle w:val="BodyText"/>
        <w:spacing w:line="338" w:lineRule="auto"/>
        <w:ind w:left="119" w:right="236" w:firstLine="480"/>
        <w:jc w:val="both"/>
      </w:pPr>
      <w:r>
        <w:rPr>
          <w:rFonts w:ascii="Times New Roman" w:hAnsi="Times New Roman" w:cs="Times New Roman" w:eastAsia="Times New Roman" w:hint="default"/>
        </w:rPr>
        <w:t>2009 </w:t>
      </w:r>
      <w:r>
        <w:rPr/>
        <w:t>年末、</w:t>
      </w:r>
      <w:r>
        <w:rPr>
          <w:rFonts w:ascii="Times New Roman" w:hAnsi="Times New Roman" w:cs="Times New Roman" w:eastAsia="Times New Roman" w:hint="default"/>
        </w:rPr>
        <w:t>2010 </w:t>
      </w:r>
      <w:r>
        <w:rPr/>
        <w:t>年末、</w:t>
      </w:r>
      <w:r>
        <w:rPr>
          <w:rFonts w:ascii="Times New Roman" w:hAnsi="Times New Roman" w:cs="Times New Roman" w:eastAsia="Times New Roman" w:hint="default"/>
        </w:rPr>
        <w:t>2011 </w:t>
      </w:r>
      <w:r>
        <w:rPr/>
        <w:t>年末公司应收账款净额 </w:t>
      </w:r>
      <w:r>
        <w:rPr>
          <w:rFonts w:ascii="Times New Roman" w:hAnsi="Times New Roman" w:cs="Times New Roman" w:eastAsia="Times New Roman" w:hint="default"/>
        </w:rPr>
        <w:t>3,058.22</w:t>
      </w:r>
      <w:r>
        <w:rPr>
          <w:rFonts w:ascii="Times New Roman" w:hAnsi="Times New Roman" w:cs="Times New Roman" w:eastAsia="Times New Roman" w:hint="default"/>
          <w:spacing w:val="56"/>
        </w:rPr>
        <w:t> </w:t>
      </w:r>
      <w:r>
        <w:rPr/>
        <w:t>万元、</w:t>
      </w:r>
      <w:r>
        <w:rPr>
          <w:rFonts w:ascii="Times New Roman" w:hAnsi="Times New Roman" w:cs="Times New Roman" w:eastAsia="Times New Roman" w:hint="default"/>
        </w:rPr>
        <w:t>4,142.75 </w:t>
      </w:r>
      <w:r>
        <w:rPr/>
        <w:t>万元、</w:t>
      </w:r>
      <w:r>
        <w:rPr>
          <w:rFonts w:ascii="Times New Roman" w:hAnsi="Times New Roman" w:cs="Times New Roman" w:eastAsia="Times New Roman" w:hint="default"/>
        </w:rPr>
        <w:t>8,563.78</w:t>
      </w:r>
      <w:r>
        <w:rPr>
          <w:rFonts w:ascii="Times New Roman" w:hAnsi="Times New Roman" w:cs="Times New Roman" w:eastAsia="Times New Roman" w:hint="default"/>
          <w:spacing w:val="-29"/>
        </w:rPr>
        <w:t> </w:t>
      </w:r>
      <w:r>
        <w:rPr/>
        <w:t>万元，分别占公司总资产的比例为</w:t>
      </w:r>
      <w:r>
        <w:rPr>
          <w:spacing w:val="-89"/>
        </w:rPr>
        <w:t> </w:t>
      </w:r>
      <w:r>
        <w:rPr>
          <w:rFonts w:ascii="Times New Roman" w:hAnsi="Times New Roman" w:cs="Times New Roman" w:eastAsia="Times New Roman" w:hint="default"/>
        </w:rPr>
        <w:t>22.05%</w:t>
      </w:r>
      <w:r>
        <w:rPr/>
        <w:t>、</w:t>
      </w:r>
      <w:r>
        <w:rPr>
          <w:rFonts w:ascii="Times New Roman" w:hAnsi="Times New Roman" w:cs="Times New Roman" w:eastAsia="Times New Roman" w:hint="default"/>
        </w:rPr>
        <w:t>19.24%</w:t>
      </w:r>
      <w:r>
        <w:rPr/>
        <w:t>、</w:t>
      </w:r>
      <w:r>
        <w:rPr>
          <w:rFonts w:ascii="Times New Roman" w:hAnsi="Times New Roman" w:cs="Times New Roman" w:eastAsia="Times New Roman" w:hint="default"/>
        </w:rPr>
        <w:t>10.43%</w:t>
      </w:r>
      <w:r>
        <w:rPr/>
        <w:t>，是公 </w:t>
      </w:r>
      <w:r>
        <w:rPr>
          <w:spacing w:val="-4"/>
        </w:rPr>
        <w:t>司资产的重要组成部分。截止到</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4"/>
        </w:rPr>
        <w:t>日，账龄在一年以内的应收账款占</w:t>
      </w:r>
      <w:r>
        <w:rPr/>
        <w:t> </w:t>
      </w:r>
      <w:r>
        <w:rPr>
          <w:rFonts w:ascii="Times New Roman" w:hAnsi="Times New Roman" w:cs="Times New Roman" w:eastAsia="Times New Roman" w:hint="default"/>
        </w:rPr>
        <w:t>84.54%</w:t>
      </w:r>
      <w:r>
        <w:rPr/>
        <w:t>，应收账款发生大额坏账的风险较小。</w:t>
      </w:r>
    </w:p>
    <w:p>
      <w:pPr>
        <w:pStyle w:val="BodyText"/>
        <w:spacing w:line="357" w:lineRule="auto" w:before="145"/>
        <w:ind w:left="119" w:right="239" w:firstLine="480"/>
        <w:jc w:val="both"/>
      </w:pPr>
      <w:r>
        <w:rPr/>
        <w:t>公司主要客户为全国各级司法机关、行政执法部门等，这些客户的采购及付款 审批周期较长，因而导致公司应收账款较高。但客户资信状况良好，公司应收账款 坏账计提准备政策也较为稳健，应收账款发生大额坏账的风险较小，报告期内应收 账款未发生不正常情况。</w:t>
      </w:r>
    </w:p>
    <w:p>
      <w:pPr>
        <w:pStyle w:val="BodyText"/>
        <w:spacing w:line="357" w:lineRule="auto" w:before="155"/>
        <w:ind w:left="119" w:right="239" w:firstLine="480"/>
        <w:jc w:val="both"/>
      </w:pPr>
      <w:r>
        <w:rPr/>
        <w:t>随着公司业务拓展至非政府市场，应收账款的风险可能会有所增加，同时随着 公司销售收入的增长，应收账款金额也可能会相应上升，如果公司不能加强应收账 款的高效管理，可能面临较高的坏账风险。</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4</w:t>
      </w:r>
      <w:r>
        <w:rPr/>
        <w:t>、服务市场开拓和培育风险</w:t>
      </w:r>
      <w:r>
        <w:rPr>
          <w:b w:val="0"/>
          <w:bCs w:val="0"/>
        </w:rPr>
      </w:r>
    </w:p>
    <w:p>
      <w:pPr>
        <w:spacing w:line="240" w:lineRule="auto" w:before="8"/>
        <w:rPr>
          <w:rFonts w:ascii="宋体" w:hAnsi="宋体" w:cs="宋体" w:eastAsia="宋体" w:hint="default"/>
          <w:b/>
          <w:bCs/>
          <w:sz w:val="28"/>
          <w:szCs w:val="28"/>
        </w:rPr>
      </w:pPr>
    </w:p>
    <w:p>
      <w:pPr>
        <w:pStyle w:val="BodyText"/>
        <w:spacing w:line="343" w:lineRule="auto"/>
        <w:ind w:left="119" w:right="236"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4"/>
        </w:rPr>
        <w:t> </w:t>
      </w:r>
      <w:r>
        <w:rPr>
          <w:spacing w:val="-2"/>
        </w:rPr>
        <w:t>年公司大力发展云服务平台，客户反映积极，目前已有大量试用用户，公</w:t>
      </w:r>
      <w:r>
        <w:rPr/>
        <w:t> </w:t>
      </w:r>
      <w:r>
        <w:rPr>
          <w:spacing w:val="2"/>
        </w:rPr>
        <w:t>司的经营模式也从单一的产品销售向“小产品</w:t>
      </w:r>
      <w:r>
        <w:rPr>
          <w:rFonts w:ascii="Times New Roman" w:hAnsi="Times New Roman" w:cs="Times New Roman" w:eastAsia="Times New Roman" w:hint="default"/>
          <w:spacing w:val="2"/>
        </w:rPr>
        <w:t>+</w:t>
      </w:r>
      <w:r>
        <w:rPr>
          <w:spacing w:val="2"/>
        </w:rPr>
        <w:t>大服务”的模式迈进一大步。但是</w:t>
      </w:r>
      <w:r>
        <w:rPr>
          <w:spacing w:val="-106"/>
        </w:rPr>
        <w:t> </w:t>
      </w:r>
      <w:r>
        <w:rPr>
          <w:spacing w:val="-106"/>
        </w:rPr>
      </w:r>
      <w:r>
        <w:rPr/>
        <w:t>新的用户领域开拓和用户接受一种新的服务模式都需要一定的过程，市场开拓存在 一定的风险。在电子数据鉴定和知识产权保护服务方面，由于此服务领域在国内尚</w:t>
      </w:r>
    </w:p>
    <w:p>
      <w:pPr>
        <w:spacing w:after="0" w:line="343" w:lineRule="auto"/>
        <w:jc w:val="both"/>
        <w:sectPr>
          <w:pgSz w:w="12240" w:h="15840"/>
          <w:pgMar w:header="0" w:footer="688" w:top="1400" w:bottom="880" w:left="1680" w:right="1560"/>
        </w:sectPr>
      </w:pPr>
    </w:p>
    <w:p>
      <w:pPr>
        <w:pStyle w:val="BodyText"/>
        <w:spacing w:line="357" w:lineRule="auto" w:before="1"/>
        <w:ind w:left="120" w:right="239"/>
        <w:jc w:val="both"/>
      </w:pPr>
      <w:r>
        <w:rPr/>
        <w:t>处在市场培育阶段，大环境还有待改善，客户接受程度逐步提高，市场培育可能需 要较长时间。</w:t>
      </w:r>
    </w:p>
    <w:p>
      <w:pPr>
        <w:spacing w:line="240" w:lineRule="auto" w:before="10"/>
        <w:rPr>
          <w:rFonts w:ascii="宋体" w:hAnsi="宋体" w:cs="宋体" w:eastAsia="宋体" w:hint="default"/>
          <w:sz w:val="33"/>
          <w:szCs w:val="33"/>
        </w:rPr>
      </w:pPr>
    </w:p>
    <w:p>
      <w:pPr>
        <w:pStyle w:val="Heading3"/>
        <w:spacing w:line="240" w:lineRule="auto"/>
        <w:ind w:right="221"/>
        <w:jc w:val="left"/>
        <w:rPr>
          <w:b w:val="0"/>
          <w:bCs w:val="0"/>
        </w:rPr>
      </w:pPr>
      <w:r>
        <w:rPr/>
        <w:t>（五）实现未来发展战略所需的资金需求及使用计划</w:t>
      </w:r>
      <w:r>
        <w:rPr>
          <w:b w:val="0"/>
          <w:bCs w:val="0"/>
        </w:rPr>
      </w:r>
    </w:p>
    <w:p>
      <w:pPr>
        <w:spacing w:line="240" w:lineRule="auto" w:before="4"/>
        <w:rPr>
          <w:rFonts w:ascii="宋体" w:hAnsi="宋体" w:cs="宋体" w:eastAsia="宋体" w:hint="default"/>
          <w:b/>
          <w:bCs/>
          <w:sz w:val="18"/>
          <w:szCs w:val="18"/>
        </w:rPr>
      </w:pPr>
    </w:p>
    <w:p>
      <w:pPr>
        <w:pStyle w:val="BodyText"/>
        <w:spacing w:line="240" w:lineRule="auto"/>
        <w:ind w:left="600" w:right="105"/>
        <w:jc w:val="left"/>
      </w:pPr>
      <w:r>
        <w:rPr/>
        <w:t>公司于</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日在深圳证券交易所创业板挂牌上市，募集资金净额为</w:t>
      </w:r>
    </w:p>
    <w:p>
      <w:pPr>
        <w:pStyle w:val="BodyText"/>
        <w:spacing w:line="338" w:lineRule="auto" w:before="134"/>
        <w:ind w:left="119" w:right="236"/>
        <w:jc w:val="both"/>
      </w:pPr>
      <w:r>
        <w:rPr/>
        <w:t>人民币</w:t>
      </w:r>
      <w:r>
        <w:rPr>
          <w:spacing w:val="-60"/>
        </w:rPr>
        <w:t> </w:t>
      </w:r>
      <w:r>
        <w:rPr>
          <w:rFonts w:ascii="Times New Roman" w:hAnsi="Times New Roman" w:cs="Times New Roman" w:eastAsia="Times New Roman" w:hint="default"/>
        </w:rPr>
        <w:t>50,140.60 </w:t>
      </w:r>
      <w:r>
        <w:rPr/>
        <w:t>万元。从目前资金使用状况分析，实现</w:t>
      </w:r>
      <w:r>
        <w:rPr>
          <w:spacing w:val="-60"/>
        </w:rPr>
        <w:t> </w:t>
      </w:r>
      <w:r>
        <w:rPr>
          <w:rFonts w:ascii="Times New Roman" w:hAnsi="Times New Roman" w:cs="Times New Roman" w:eastAsia="Times New Roman" w:hint="default"/>
        </w:rPr>
        <w:t>2012 </w:t>
      </w:r>
      <w:r>
        <w:rPr/>
        <w:t>年发展战略目标资金 充裕。</w:t>
      </w:r>
      <w:r>
        <w:rPr>
          <w:rFonts w:ascii="Times New Roman" w:hAnsi="Times New Roman" w:cs="Times New Roman" w:eastAsia="Times New Roman" w:hint="default"/>
        </w:rPr>
        <w:t>2012 </w:t>
      </w:r>
      <w:r>
        <w:rPr/>
        <w:t>年，公司将结合 </w:t>
      </w:r>
      <w:r>
        <w:rPr>
          <w:rFonts w:ascii="Times New Roman" w:hAnsi="Times New Roman" w:cs="Times New Roman" w:eastAsia="Times New Roman" w:hint="default"/>
        </w:rPr>
        <w:t>2012 </w:t>
      </w:r>
      <w:r>
        <w:rPr/>
        <w:t>年发展计划和未来发展战略，合理安排使用超募 资金，积极推进并实施超募资金项目。</w:t>
      </w:r>
    </w:p>
    <w:p>
      <w:pPr>
        <w:pStyle w:val="BodyText"/>
        <w:spacing w:line="338" w:lineRule="auto" w:before="174"/>
        <w:ind w:left="119" w:right="239" w:firstLine="480"/>
        <w:jc w:val="both"/>
      </w:pPr>
      <w:r>
        <w:rPr>
          <w:spacing w:val="-10"/>
        </w:rPr>
        <w:t>根据公司发展战略和规划，自</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月公司已陆续启动三个募集资金投资项 目的建设。</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6</w:t>
      </w:r>
      <w:r>
        <w:rPr>
          <w:rFonts w:ascii="Times New Roman" w:hAnsi="Times New Roman" w:cs="Times New Roman" w:eastAsia="Times New Roman" w:hint="default"/>
          <w:spacing w:val="52"/>
        </w:rPr>
        <w:t> </w:t>
      </w:r>
      <w:r>
        <w:rPr/>
        <w:t>月公司完成了对前期已投入三个募投项目的自筹资金人民币 </w:t>
      </w:r>
      <w:r>
        <w:rPr>
          <w:rFonts w:ascii="Times New Roman" w:hAnsi="Times New Roman" w:cs="Times New Roman" w:eastAsia="Times New Roman" w:hint="default"/>
        </w:rPr>
        <w:t>64,759,485.59 </w:t>
      </w:r>
      <w:r>
        <w:rPr/>
        <w:t>元的置换工作，所有募投项目正在按计划顺利进行。</w:t>
      </w:r>
    </w:p>
    <w:p>
      <w:pPr>
        <w:pStyle w:val="BodyText"/>
        <w:spacing w:line="340" w:lineRule="auto" w:before="145"/>
        <w:ind w:left="119" w:right="105" w:firstLine="480"/>
        <w:jc w:val="left"/>
      </w:pPr>
      <w:r>
        <w:rPr>
          <w:spacing w:val="-4"/>
        </w:rPr>
        <w:t>为合理利用好超募资金，公司制定了超募资金使用计划：（</w:t>
      </w:r>
      <w:r>
        <w:rPr>
          <w:rFonts w:ascii="Times New Roman" w:hAnsi="Times New Roman" w:cs="Times New Roman" w:eastAsia="Times New Roman" w:hint="default"/>
          <w:spacing w:val="-4"/>
        </w:rPr>
        <w:t>1</w:t>
      </w:r>
      <w:r>
        <w:rPr>
          <w:spacing w:val="-4"/>
        </w:rPr>
        <w:t>）拟用超募集资金</w:t>
      </w:r>
      <w:r>
        <w:rPr/>
        <w:t> </w:t>
      </w:r>
      <w:r>
        <w:rPr>
          <w:rFonts w:ascii="Times New Roman" w:hAnsi="Times New Roman" w:cs="Times New Roman" w:eastAsia="Times New Roman" w:hint="default"/>
        </w:rPr>
        <w:t>3,012.49</w:t>
      </w:r>
      <w:r>
        <w:rPr>
          <w:rFonts w:ascii="Times New Roman" w:hAnsi="Times New Roman" w:cs="Times New Roman" w:eastAsia="Times New Roman" w:hint="default"/>
          <w:spacing w:val="4"/>
        </w:rPr>
        <w:t> </w:t>
      </w:r>
      <w:r>
        <w:rPr>
          <w:spacing w:val="-12"/>
        </w:rPr>
        <w:t>万元追加投资建设超算中心（云计算）；（</w:t>
      </w:r>
      <w:r>
        <w:rPr>
          <w:rFonts w:ascii="Times New Roman" w:hAnsi="Times New Roman" w:cs="Times New Roman" w:eastAsia="Times New Roman" w:hint="default"/>
          <w:spacing w:val="-12"/>
        </w:rPr>
        <w:t>2</w:t>
      </w:r>
      <w:r>
        <w:rPr>
          <w:spacing w:val="-12"/>
        </w:rPr>
        <w:t>）拟用超募资金</w:t>
      </w:r>
      <w:r>
        <w:rPr>
          <w:spacing w:val="-56"/>
        </w:rPr>
        <w:t> </w:t>
      </w:r>
      <w:r>
        <w:rPr>
          <w:rFonts w:ascii="Times New Roman" w:hAnsi="Times New Roman" w:cs="Times New Roman" w:eastAsia="Times New Roman" w:hint="default"/>
        </w:rPr>
        <w:t>1,363.15</w:t>
      </w:r>
      <w:r>
        <w:rPr>
          <w:rFonts w:ascii="Times New Roman" w:hAnsi="Times New Roman" w:cs="Times New Roman" w:eastAsia="Times New Roman" w:hint="default"/>
          <w:spacing w:val="4"/>
        </w:rPr>
        <w:t> </w:t>
      </w:r>
      <w:r>
        <w:rPr/>
        <w:t>万元投</w:t>
      </w:r>
      <w:r>
        <w:rPr>
          <w:spacing w:val="-112"/>
        </w:rPr>
        <w:t> </w:t>
      </w:r>
      <w:r>
        <w:rPr/>
        <w:t>资建设电子数据公证云项目，目前两个项目已经通过董事会审议，并开始实施。公 </w:t>
      </w:r>
      <w:r>
        <w:rPr>
          <w:spacing w:val="-7"/>
        </w:rPr>
        <w:t>司剩余超募资金将主要用于以下几方面：（</w:t>
      </w:r>
      <w:r>
        <w:rPr>
          <w:rFonts w:ascii="Times New Roman" w:hAnsi="Times New Roman" w:cs="Times New Roman" w:eastAsia="Times New Roman" w:hint="default"/>
          <w:spacing w:val="-7"/>
        </w:rPr>
        <w:t>1</w:t>
      </w:r>
      <w:r>
        <w:rPr>
          <w:spacing w:val="-7"/>
        </w:rPr>
        <w:t>）购置研发生产办公用房；（</w:t>
      </w:r>
      <w:r>
        <w:rPr>
          <w:rFonts w:ascii="Times New Roman" w:hAnsi="Times New Roman" w:cs="Times New Roman" w:eastAsia="Times New Roman" w:hint="default"/>
          <w:spacing w:val="-7"/>
        </w:rPr>
        <w:t>2</w:t>
      </w:r>
      <w:r>
        <w:rPr>
          <w:spacing w:val="-7"/>
        </w:rPr>
        <w:t>）增加在</w:t>
      </w:r>
      <w:r>
        <w:rPr>
          <w:spacing w:val="-94"/>
        </w:rPr>
        <w:t> </w:t>
      </w:r>
      <w:r>
        <w:rPr>
          <w:spacing w:val="-4"/>
        </w:rPr>
        <w:t>电子数据取证和网络信息安全产品研发销售方面的投入；（</w:t>
      </w:r>
      <w:r>
        <w:rPr>
          <w:rFonts w:ascii="Times New Roman" w:hAnsi="Times New Roman" w:cs="Times New Roman" w:eastAsia="Times New Roman" w:hint="default"/>
          <w:spacing w:val="-4"/>
        </w:rPr>
        <w:t>3</w:t>
      </w:r>
      <w:r>
        <w:rPr>
          <w:spacing w:val="-4"/>
        </w:rPr>
        <w:t>）根据公司战略发展目</w:t>
      </w:r>
      <w:r>
        <w:rPr>
          <w:spacing w:val="-92"/>
        </w:rPr>
        <w:t> </w:t>
      </w:r>
      <w:r>
        <w:rPr>
          <w:spacing w:val="-7"/>
        </w:rPr>
        <w:t>标，适度并购有利于提升公司综合研发能力和开拓新市场的同行或上下游企业；（</w:t>
      </w:r>
      <w:r>
        <w:rPr>
          <w:rFonts w:ascii="Times New Roman" w:hAnsi="Times New Roman" w:cs="Times New Roman" w:eastAsia="Times New Roman" w:hint="default"/>
          <w:spacing w:val="-7"/>
        </w:rPr>
        <w:t>4</w:t>
      </w:r>
      <w:r>
        <w:rPr>
          <w:spacing w:val="-7"/>
        </w:rPr>
        <w:t>）</w:t>
      </w:r>
      <w:r>
        <w:rPr>
          <w:spacing w:val="-94"/>
        </w:rPr>
        <w:t> </w:t>
      </w:r>
      <w:r>
        <w:rPr/>
        <w:t>补充公司流动资金。</w:t>
      </w:r>
    </w:p>
    <w:p>
      <w:pPr>
        <w:spacing w:line="240" w:lineRule="auto" w:before="6"/>
        <w:rPr>
          <w:rFonts w:ascii="宋体" w:hAnsi="宋体" w:cs="宋体" w:eastAsia="宋体" w:hint="default"/>
          <w:sz w:val="31"/>
          <w:szCs w:val="31"/>
        </w:rPr>
      </w:pPr>
    </w:p>
    <w:p>
      <w:pPr>
        <w:pStyle w:val="Heading2"/>
        <w:spacing w:line="240" w:lineRule="auto"/>
        <w:ind w:right="221"/>
        <w:jc w:val="left"/>
        <w:rPr>
          <w:b w:val="0"/>
          <w:bCs w:val="0"/>
        </w:rPr>
      </w:pPr>
      <w:r>
        <w:rPr/>
        <w:t>三、报告期内公司投资情况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221"/>
        <w:jc w:val="left"/>
        <w:rPr>
          <w:b w:val="0"/>
          <w:bCs w:val="0"/>
        </w:rPr>
      </w:pPr>
      <w:r>
        <w:rPr/>
        <w:t>（一）募集资金使用情况</w:t>
      </w:r>
      <w:r>
        <w:rPr>
          <w:b w:val="0"/>
          <w:bCs w:val="0"/>
        </w:rPr>
      </w:r>
    </w:p>
    <w:p>
      <w:pPr>
        <w:spacing w:line="240" w:lineRule="auto" w:before="4"/>
        <w:rPr>
          <w:rFonts w:ascii="宋体" w:hAnsi="宋体" w:cs="宋体" w:eastAsia="宋体" w:hint="default"/>
          <w:b/>
          <w:bCs/>
          <w:sz w:val="18"/>
          <w:szCs w:val="18"/>
        </w:rPr>
      </w:pPr>
    </w:p>
    <w:p>
      <w:pPr>
        <w:spacing w:before="0"/>
        <w:ind w:left="602" w:right="22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、实际募集资金金额、资金到位情况</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p>
      <w:pPr>
        <w:pStyle w:val="BodyText"/>
        <w:spacing w:line="350" w:lineRule="auto"/>
        <w:ind w:left="120" w:right="236" w:firstLine="480"/>
        <w:jc w:val="both"/>
      </w:pPr>
      <w:r>
        <w:rPr/>
        <w:t>经中国证券监督管理委员会“证监许可</w:t>
      </w:r>
      <w:r>
        <w:rPr>
          <w:rFonts w:ascii="Times New Roman" w:hAnsi="Times New Roman" w:cs="Times New Roman" w:eastAsia="Times New Roman" w:hint="default"/>
        </w:rPr>
        <w:t>[2011]263</w:t>
      </w:r>
      <w:r>
        <w:rPr>
          <w:rFonts w:ascii="Times New Roman" w:hAnsi="Times New Roman" w:cs="Times New Roman" w:eastAsia="Times New Roman" w:hint="default"/>
          <w:spacing w:val="-36"/>
        </w:rPr>
        <w:t> </w:t>
      </w:r>
      <w:r>
        <w:rPr>
          <w:spacing w:val="-5"/>
        </w:rPr>
        <w:t>号”文《关于核准厦门市美亚</w:t>
      </w:r>
      <w:r>
        <w:rPr/>
        <w:t> 柏科信息股份有限公司首次公开发行股票并在创业板上市的批复》核准，本公司采 用网下向股票配售对象询价配售与网上向社会公众投资者定价发行相结合的方式向 社会公开发行</w:t>
      </w:r>
      <w:r>
        <w:rPr>
          <w:spacing w:val="-59"/>
        </w:rPr>
        <w:t> </w:t>
      </w:r>
      <w:r>
        <w:rPr>
          <w:rFonts w:ascii="Times New Roman" w:hAnsi="Times New Roman" w:cs="Times New Roman" w:eastAsia="Times New Roman" w:hint="default"/>
        </w:rPr>
        <w:t>1350</w:t>
      </w:r>
      <w:r>
        <w:rPr>
          <w:rFonts w:ascii="Times New Roman" w:hAnsi="Times New Roman" w:cs="Times New Roman" w:eastAsia="Times New Roman" w:hint="default"/>
          <w:spacing w:val="1"/>
        </w:rPr>
        <w:t> </w:t>
      </w:r>
      <w:r>
        <w:rPr>
          <w:spacing w:val="-2"/>
          <w:w w:val="99"/>
        </w:rPr>
        <w:t>万股人民币普通股（</w:t>
      </w:r>
      <w:r>
        <w:rPr>
          <w:rFonts w:ascii="Times New Roman" w:hAnsi="Times New Roman" w:cs="Times New Roman" w:eastAsia="Times New Roman" w:hint="default"/>
          <w:spacing w:val="-2"/>
          <w:w w:val="99"/>
        </w:rPr>
        <w:t>A</w:t>
      </w:r>
      <w:r>
        <w:rPr>
          <w:rFonts w:ascii="Times New Roman" w:hAnsi="Times New Roman" w:cs="Times New Roman" w:eastAsia="Times New Roman" w:hint="default"/>
          <w:w w:val="99"/>
        </w:rPr>
        <w:t> </w:t>
      </w:r>
      <w:r>
        <w:rPr>
          <w:spacing w:val="-20"/>
        </w:rPr>
        <w:t>股），每股面值</w:t>
      </w:r>
      <w:r>
        <w:rPr>
          <w:spacing w:val="-59"/>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spacing w:val="-2"/>
        </w:rPr>
        <w:t>元，实际发行价格每</w:t>
      </w:r>
    </w:p>
    <w:p>
      <w:pPr>
        <w:spacing w:after="0" w:line="350" w:lineRule="auto"/>
        <w:jc w:val="both"/>
        <w:sectPr>
          <w:pgSz w:w="12240" w:h="15840"/>
          <w:pgMar w:header="0" w:footer="688" w:top="1400" w:bottom="880" w:left="1680" w:right="1560"/>
        </w:sectPr>
      </w:pPr>
    </w:p>
    <w:p>
      <w:pPr>
        <w:pStyle w:val="BodyText"/>
        <w:spacing w:line="240" w:lineRule="auto" w:before="1"/>
        <w:ind w:right="0"/>
        <w:jc w:val="both"/>
      </w:pPr>
      <w:r>
        <w:rPr/>
        <w:t>股</w:t>
      </w:r>
      <w:r>
        <w:rPr>
          <w:spacing w:val="-55"/>
        </w:rPr>
        <w:t> </w:t>
      </w:r>
      <w:r>
        <w:rPr>
          <w:rFonts w:ascii="Times New Roman" w:hAnsi="Times New Roman" w:cs="Times New Roman" w:eastAsia="Times New Roman" w:hint="default"/>
        </w:rPr>
        <w:t>40</w:t>
      </w:r>
      <w:r>
        <w:rPr>
          <w:rFonts w:ascii="Times New Roman" w:hAnsi="Times New Roman" w:cs="Times New Roman" w:eastAsia="Times New Roman" w:hint="default"/>
          <w:spacing w:val="5"/>
        </w:rPr>
        <w:t> </w:t>
      </w:r>
      <w:r>
        <w:rPr/>
        <w:t>元，可募集资金总额为人民币</w:t>
      </w:r>
      <w:r>
        <w:rPr>
          <w:spacing w:val="-55"/>
        </w:rPr>
        <w:t> </w:t>
      </w:r>
      <w:r>
        <w:rPr>
          <w:rFonts w:ascii="Times New Roman" w:hAnsi="Times New Roman" w:cs="Times New Roman" w:eastAsia="Times New Roman" w:hint="default"/>
        </w:rPr>
        <w:t>54,000</w:t>
      </w:r>
      <w:r>
        <w:rPr>
          <w:rFonts w:ascii="Times New Roman" w:hAnsi="Times New Roman" w:cs="Times New Roman" w:eastAsia="Times New Roman" w:hint="default"/>
          <w:spacing w:val="4"/>
        </w:rPr>
        <w:t> </w:t>
      </w:r>
      <w:r>
        <w:rPr/>
        <w:t>万元。截至</w:t>
      </w:r>
      <w:r>
        <w:rPr>
          <w:spacing w:val="-5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w:t>
      </w:r>
      <w:r>
        <w:rPr>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5"/>
        </w:rPr>
        <w:t> </w:t>
      </w:r>
      <w:r>
        <w:rPr/>
        <w:t>月</w:t>
      </w:r>
      <w:r>
        <w:rPr>
          <w:spacing w:val="-55"/>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日止，本公</w:t>
      </w:r>
    </w:p>
    <w:p>
      <w:pPr>
        <w:pStyle w:val="BodyText"/>
        <w:spacing w:line="240" w:lineRule="auto" w:before="134"/>
        <w:ind w:right="0"/>
        <w:jc w:val="both"/>
      </w:pPr>
      <w:r>
        <w:rPr/>
        <w:t>司已收到社会公众股东缴入的出资款人民币 </w:t>
      </w:r>
      <w:r>
        <w:rPr>
          <w:rFonts w:ascii="Times New Roman" w:hAnsi="Times New Roman" w:cs="Times New Roman" w:eastAsia="Times New Roman" w:hint="default"/>
        </w:rPr>
        <w:t>540,000,000.00 </w:t>
      </w:r>
      <w:r>
        <w:rPr/>
        <w:t>元，扣除发行费用人民</w:t>
      </w:r>
    </w:p>
    <w:p>
      <w:pPr>
        <w:pStyle w:val="BodyText"/>
        <w:spacing w:line="240" w:lineRule="auto" w:before="134"/>
        <w:ind w:right="0"/>
        <w:jc w:val="both"/>
      </w:pPr>
      <w:r>
        <w:rPr/>
        <w:t>币</w:t>
      </w:r>
      <w:r>
        <w:rPr>
          <w:spacing w:val="-60"/>
        </w:rPr>
        <w:t> </w:t>
      </w:r>
      <w:r>
        <w:rPr>
          <w:rFonts w:ascii="Times New Roman" w:hAnsi="Times New Roman" w:cs="Times New Roman" w:eastAsia="Times New Roman" w:hint="default"/>
        </w:rPr>
        <w:t>38,593,965.00 </w:t>
      </w:r>
      <w:r>
        <w:rPr/>
        <w:t>元后，实际募集资金净额为</w:t>
      </w:r>
      <w:r>
        <w:rPr>
          <w:spacing w:val="-60"/>
        </w:rPr>
        <w:t> </w:t>
      </w:r>
      <w:r>
        <w:rPr>
          <w:rFonts w:ascii="Times New Roman" w:hAnsi="Times New Roman" w:cs="Times New Roman" w:eastAsia="Times New Roman" w:hint="default"/>
        </w:rPr>
        <w:t>501,406,035.00 </w:t>
      </w:r>
      <w:r>
        <w:rPr/>
        <w:t>元。上述资金到位情况</w:t>
      </w:r>
    </w:p>
    <w:p>
      <w:pPr>
        <w:pStyle w:val="BodyText"/>
        <w:spacing w:line="338" w:lineRule="auto" w:before="134"/>
        <w:ind w:right="239"/>
        <w:jc w:val="both"/>
      </w:pPr>
      <w:r>
        <w:rPr>
          <w:spacing w:val="-6"/>
        </w:rPr>
        <w:t>业经天健正信会计师事务所有限公司以“天健正信验【</w:t>
      </w:r>
      <w:r>
        <w:rPr>
          <w:rFonts w:ascii="Times New Roman" w:hAnsi="Times New Roman" w:cs="Times New Roman" w:eastAsia="Times New Roman" w:hint="default"/>
          <w:spacing w:val="-6"/>
        </w:rPr>
        <w:t>2011</w:t>
      </w:r>
      <w:r>
        <w:rPr>
          <w:spacing w:val="-6"/>
        </w:rPr>
        <w:t>】综字第</w:t>
      </w:r>
      <w:r>
        <w:rPr>
          <w:spacing w:val="-57"/>
        </w:rPr>
        <w:t> </w:t>
      </w:r>
      <w:r>
        <w:rPr>
          <w:rFonts w:ascii="Times New Roman" w:hAnsi="Times New Roman" w:cs="Times New Roman" w:eastAsia="Times New Roman" w:hint="default"/>
        </w:rPr>
        <w:t>020022</w:t>
      </w:r>
      <w:r>
        <w:rPr>
          <w:rFonts w:ascii="Times New Roman" w:hAnsi="Times New Roman" w:cs="Times New Roman" w:eastAsia="Times New Roman" w:hint="default"/>
          <w:spacing w:val="5"/>
        </w:rPr>
        <w:t> </w:t>
      </w:r>
      <w:r>
        <w:rPr>
          <w:spacing w:val="-45"/>
        </w:rPr>
        <w:t>号”《验</w:t>
      </w:r>
      <w:r>
        <w:rPr/>
        <w:t> 资报告》验证。本公司对募集资金采取了专户存储制度。</w:t>
      </w:r>
    </w:p>
    <w:p>
      <w:pPr>
        <w:spacing w:line="706" w:lineRule="exact" w:before="10"/>
        <w:ind w:left="580" w:right="225"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、募集资金的管理和存放</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本公司根据《深圳证券交易所创业板股票上市规则》、《深圳证券交易所创业板</w:t>
      </w:r>
    </w:p>
    <w:p>
      <w:pPr>
        <w:pStyle w:val="BodyText"/>
        <w:spacing w:line="348" w:lineRule="auto" w:before="45"/>
        <w:ind w:right="235"/>
        <w:jc w:val="both"/>
      </w:pPr>
      <w:r>
        <w:rPr/>
        <w:t>上市公司规范运作指引》以及其他有关法律、法规和规范性文件的规定，结合公司 </w:t>
      </w:r>
      <w:r>
        <w:rPr>
          <w:spacing w:val="-1"/>
        </w:rPr>
        <w:t>实际情况，制定了厦门市美亚柏科信息股份有限公司《募集资金管理制度》，并经</w:t>
      </w:r>
      <w:r>
        <w:rPr>
          <w:spacing w:val="-98"/>
        </w:rPr>
        <w:t> </w:t>
      </w:r>
      <w:r>
        <w:rPr>
          <w:spacing w:val="-98"/>
        </w:rPr>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20 </w:t>
      </w:r>
      <w:r>
        <w:rPr>
          <w:spacing w:val="-7"/>
        </w:rPr>
        <w:t>日股份公司创立大会审议通过，</w:t>
      </w:r>
      <w:r>
        <w:rPr>
          <w:rFonts w:ascii="Times New Roman" w:hAnsi="Times New Roman" w:cs="Times New Roman" w:eastAsia="Times New Roman" w:hint="default"/>
          <w:spacing w:val="-7"/>
        </w:rPr>
        <w:t>2012</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18 </w:t>
      </w:r>
      <w:r>
        <w:rPr/>
        <w:t>日第一届董事会第十 </w:t>
      </w:r>
      <w:r>
        <w:rPr>
          <w:spacing w:val="-2"/>
        </w:rPr>
        <w:t>六次会议决议通过了《关于修订</w:t>
      </w:r>
      <w:r>
        <w:rPr>
          <w:rFonts w:ascii="Times New Roman" w:hAnsi="Times New Roman" w:cs="Times New Roman" w:eastAsia="Times New Roman" w:hint="default"/>
          <w:spacing w:val="-2"/>
        </w:rPr>
        <w:t>&lt;</w:t>
      </w:r>
      <w:r>
        <w:rPr>
          <w:spacing w:val="-2"/>
        </w:rPr>
        <w:t>募集资金管理制度</w:t>
      </w:r>
      <w:r>
        <w:rPr>
          <w:rFonts w:ascii="Times New Roman" w:hAnsi="Times New Roman" w:cs="Times New Roman" w:eastAsia="Times New Roman" w:hint="default"/>
          <w:spacing w:val="-2"/>
        </w:rPr>
        <w:t>&gt;</w:t>
      </w:r>
      <w:r>
        <w:rPr>
          <w:spacing w:val="-2"/>
        </w:rPr>
        <w:t>的议案》。根据《募集资金管</w:t>
      </w:r>
      <w:r>
        <w:rPr>
          <w:spacing w:val="-93"/>
        </w:rPr>
        <w:t> </w:t>
      </w:r>
      <w:r>
        <w:rPr>
          <w:spacing w:val="-93"/>
        </w:rPr>
      </w:r>
      <w:r>
        <w:rPr/>
        <w:t>理制度》的规定，公司对募集资金采用专户存储制度，并严格履行使用审批手续，</w:t>
      </w:r>
      <w:r>
        <w:rPr/>
        <w:t> 以便对募集资金的管理和使用进行监督，保证专款专用。</w:t>
      </w:r>
    </w:p>
    <w:p>
      <w:pPr>
        <w:pStyle w:val="BodyText"/>
        <w:spacing w:line="240" w:lineRule="auto" w:before="164"/>
        <w:ind w:left="580" w:right="98"/>
        <w:jc w:val="left"/>
      </w:pPr>
      <w:r>
        <w:rPr>
          <w:spacing w:val="-4"/>
        </w:rPr>
        <w:t>根据上述法规的要求及本公司《募集资金管理制度》的规定，募集资金到位后，</w:t>
      </w:r>
    </w:p>
    <w:p>
      <w:pPr>
        <w:pStyle w:val="BodyText"/>
        <w:spacing w:line="240" w:lineRule="auto" w:before="152"/>
        <w:ind w:right="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3"/>
        </w:rPr>
        <w:t> </w:t>
      </w:r>
      <w:r>
        <w:rPr/>
        <w:t>年</w:t>
      </w:r>
      <w:r>
        <w:rPr>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14"/>
        </w:rPr>
        <w:t> </w:t>
      </w:r>
      <w:r>
        <w:rPr/>
        <w:t>月</w:t>
      </w:r>
      <w:r>
        <w:rPr>
          <w:spacing w:val="-47"/>
        </w:rPr>
        <w:t> </w:t>
      </w:r>
      <w:r>
        <w:rPr>
          <w:rFonts w:ascii="Times New Roman" w:hAnsi="Times New Roman" w:cs="Times New Roman" w:eastAsia="Times New Roman" w:hint="default"/>
        </w:rPr>
        <w:t>24</w:t>
      </w:r>
      <w:r>
        <w:rPr>
          <w:rFonts w:ascii="Times New Roman" w:hAnsi="Times New Roman" w:cs="Times New Roman" w:eastAsia="Times New Roman" w:hint="default"/>
          <w:spacing w:val="13"/>
        </w:rPr>
        <w:t> </w:t>
      </w:r>
      <w:r>
        <w:rPr/>
        <w:t>日本公司与兴业银行股份有限公司厦门思明支行及保荐机构国信证</w:t>
      </w:r>
    </w:p>
    <w:p>
      <w:pPr>
        <w:pStyle w:val="BodyText"/>
        <w:spacing w:line="350" w:lineRule="auto" w:before="134"/>
        <w:ind w:right="119"/>
        <w:jc w:val="both"/>
      </w:pPr>
      <w:r>
        <w:rPr>
          <w:spacing w:val="-7"/>
        </w:rPr>
        <w:t>券股份有限公司签订了《募集资金三方监管协议》；</w:t>
      </w:r>
      <w:r>
        <w:rPr>
          <w:rFonts w:ascii="Times New Roman" w:hAnsi="Times New Roman" w:cs="Times New Roman" w:eastAsia="Times New Roman" w:hint="default"/>
          <w:spacing w:val="-7"/>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t>日本公司分别与</w:t>
      </w:r>
      <w:r>
        <w:rPr>
          <w:spacing w:val="-118"/>
        </w:rPr>
        <w:t> </w:t>
      </w:r>
      <w:r>
        <w:rPr/>
        <w:t>中国民生银行股份有限公司厦门分行、中国农业银行股份有限公司厦门思明支行、 中国工商银行股份有限公司厦门软件园支行及保荐机构国信证券股份有限公司签订 </w:t>
      </w:r>
      <w:r>
        <w:rPr>
          <w:spacing w:val="-4"/>
        </w:rPr>
        <w:t>了《募集资金三方监管协议》。本公司分别在上述四家银行开设募集资金专项账户。</w:t>
      </w:r>
    </w:p>
    <w:p>
      <w:pPr>
        <w:pStyle w:val="BodyText"/>
        <w:spacing w:line="357" w:lineRule="auto" w:before="42"/>
        <w:ind w:right="239"/>
        <w:jc w:val="both"/>
      </w:pPr>
      <w:r>
        <w:rPr/>
        <w:t>《募集资金三方监管协议》与深圳证券交易所三方监管协议范本不存在重大差异， 三方监管协议的履行不存在问题。</w:t>
      </w:r>
    </w:p>
    <w:p>
      <w:pPr>
        <w:pStyle w:val="BodyText"/>
        <w:spacing w:line="350" w:lineRule="auto" w:before="155"/>
        <w:ind w:right="114" w:firstLine="480"/>
        <w:jc w:val="left"/>
      </w:pPr>
      <w:r>
        <w:rPr/>
        <w:t>截至</w:t>
      </w:r>
      <w:r>
        <w:rPr>
          <w:spacing w:val="-58"/>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5"/>
        </w:rPr>
        <w:t>日止，本公司严格执行《深圳证券交易所创业板上市公司</w:t>
      </w:r>
      <w:r>
        <w:rPr/>
        <w:t> </w:t>
      </w:r>
      <w:r>
        <w:rPr>
          <w:spacing w:val="-4"/>
        </w:rPr>
        <w:t>规范运作指引》及相关格式指引等相关证券监管法规、本公司《募集资金管理制度》</w:t>
      </w:r>
      <w:r>
        <w:rPr>
          <w:spacing w:val="-92"/>
        </w:rPr>
        <w:t> </w:t>
      </w:r>
      <w:r>
        <w:rPr>
          <w:spacing w:val="-92"/>
        </w:rPr>
      </w:r>
      <w:r>
        <w:rPr>
          <w:spacing w:val="-7"/>
        </w:rPr>
        <w:t>以及本公司与开户银行、保荐机构签订的《募集资金三方监管协议》，公司对募集资</w:t>
      </w:r>
      <w:r>
        <w:rPr>
          <w:spacing w:val="-101"/>
        </w:rPr>
        <w:t> </w:t>
      </w:r>
      <w:r>
        <w:rPr>
          <w:spacing w:val="-101"/>
        </w:rPr>
      </w:r>
      <w:r>
        <w:rPr/>
        <w:t>金的存放和使用进行有效的监督和管理，以确保用于募集资金投资项目的建设。在</w:t>
      </w:r>
    </w:p>
    <w:p>
      <w:pPr>
        <w:spacing w:after="0" w:line="350" w:lineRule="auto"/>
        <w:jc w:val="left"/>
        <w:sectPr>
          <w:pgSz w:w="12240" w:h="15840"/>
          <w:pgMar w:header="0" w:footer="688" w:top="1400" w:bottom="880" w:left="1700" w:right="1560"/>
        </w:sectPr>
      </w:pPr>
    </w:p>
    <w:p>
      <w:pPr>
        <w:pStyle w:val="BodyText"/>
        <w:spacing w:line="357" w:lineRule="auto" w:before="1"/>
        <w:ind w:left="240" w:right="1280"/>
        <w:jc w:val="left"/>
      </w:pPr>
      <w:r>
        <w:rPr/>
        <w:t>使用募集资金的时候，公司严格履行相应的申请和审批手续，同时及时知会保荐机 构，随时接受保荐代表人的监督，未发生违反相关规定及协议的情况。</w:t>
      </w:r>
    </w:p>
    <w:p>
      <w:pPr>
        <w:pStyle w:val="BodyText"/>
        <w:spacing w:line="240" w:lineRule="auto" w:before="155"/>
        <w:ind w:left="720" w:right="1280"/>
        <w:jc w:val="left"/>
      </w:pPr>
      <w:r>
        <w:rPr/>
        <w:t>截至</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日止，募集资金具体存放情况如下：</w:t>
      </w:r>
    </w:p>
    <w:p>
      <w:pPr>
        <w:spacing w:line="240" w:lineRule="auto" w:before="10"/>
        <w:rPr>
          <w:rFonts w:ascii="宋体" w:hAnsi="宋体" w:cs="宋体" w:eastAsia="宋体" w:hint="default"/>
          <w:sz w:val="19"/>
          <w:szCs w:val="19"/>
        </w:rPr>
      </w:pPr>
    </w:p>
    <w:p>
      <w:pPr>
        <w:spacing w:before="0"/>
        <w:ind w:left="0" w:right="1299" w:firstLine="0"/>
        <w:jc w:val="right"/>
        <w:rPr>
          <w:rFonts w:ascii="宋体" w:hAnsi="宋体" w:cs="宋体" w:eastAsia="宋体" w:hint="default"/>
          <w:sz w:val="21"/>
          <w:szCs w:val="21"/>
        </w:rPr>
      </w:pPr>
      <w:r>
        <w:rPr>
          <w:rFonts w:ascii="宋体" w:hAnsi="宋体" w:cs="宋体" w:eastAsia="宋体" w:hint="default"/>
          <w:sz w:val="21"/>
          <w:szCs w:val="21"/>
        </w:rPr>
        <w:t>单位：元</w:t>
      </w:r>
    </w:p>
    <w:p>
      <w:pPr>
        <w:spacing w:line="240" w:lineRule="auto" w:before="7"/>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4125"/>
        <w:gridCol w:w="2495"/>
        <w:gridCol w:w="2236"/>
      </w:tblGrid>
      <w:tr>
        <w:trPr>
          <w:trHeight w:val="419" w:hRule="exact"/>
        </w:trPr>
        <w:tc>
          <w:tcPr>
            <w:tcW w:w="4125" w:type="dxa"/>
            <w:tcBorders>
              <w:top w:val="single" w:sz="12" w:space="0" w:color="000000"/>
              <w:left w:val="single" w:sz="12" w:space="0" w:color="000000"/>
              <w:bottom w:val="single" w:sz="6" w:space="0" w:color="000000"/>
              <w:right w:val="single" w:sz="6" w:space="0" w:color="000000"/>
            </w:tcBorders>
            <w:shd w:val="clear" w:color="auto" w:fill="C0C0C0"/>
          </w:tcPr>
          <w:p>
            <w:pPr>
              <w:pStyle w:val="TableParagraph"/>
              <w:spacing w:line="240" w:lineRule="auto" w:before="89"/>
              <w:ind w:right="6"/>
              <w:jc w:val="center"/>
              <w:rPr>
                <w:rFonts w:ascii="宋体" w:hAnsi="宋体" w:cs="宋体" w:eastAsia="宋体" w:hint="default"/>
                <w:sz w:val="21"/>
                <w:szCs w:val="21"/>
              </w:rPr>
            </w:pPr>
            <w:r>
              <w:rPr>
                <w:rFonts w:ascii="宋体" w:hAnsi="宋体" w:cs="宋体" w:eastAsia="宋体" w:hint="default"/>
                <w:sz w:val="21"/>
                <w:szCs w:val="21"/>
              </w:rPr>
              <w:t>开户银行</w:t>
            </w:r>
          </w:p>
        </w:tc>
        <w:tc>
          <w:tcPr>
            <w:tcW w:w="2495" w:type="dxa"/>
            <w:tcBorders>
              <w:top w:val="single" w:sz="12"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9"/>
              <w:ind w:left="819" w:right="0"/>
              <w:jc w:val="left"/>
              <w:rPr>
                <w:rFonts w:ascii="宋体" w:hAnsi="宋体" w:cs="宋体" w:eastAsia="宋体" w:hint="default"/>
                <w:sz w:val="21"/>
                <w:szCs w:val="21"/>
              </w:rPr>
            </w:pPr>
            <w:r>
              <w:rPr>
                <w:rFonts w:ascii="宋体" w:hAnsi="宋体" w:cs="宋体" w:eastAsia="宋体" w:hint="default"/>
                <w:sz w:val="21"/>
                <w:szCs w:val="21"/>
              </w:rPr>
              <w:t>银行账号</w:t>
            </w:r>
          </w:p>
        </w:tc>
        <w:tc>
          <w:tcPr>
            <w:tcW w:w="2236" w:type="dxa"/>
            <w:tcBorders>
              <w:top w:val="single" w:sz="12" w:space="0" w:color="000000"/>
              <w:left w:val="single" w:sz="6" w:space="0" w:color="000000"/>
              <w:bottom w:val="single" w:sz="6" w:space="0" w:color="000000"/>
              <w:right w:val="single" w:sz="12" w:space="0" w:color="000000"/>
            </w:tcBorders>
            <w:shd w:val="clear" w:color="auto" w:fill="C0C0C0"/>
          </w:tcPr>
          <w:p>
            <w:pPr>
              <w:pStyle w:val="TableParagraph"/>
              <w:spacing w:line="240" w:lineRule="auto" w:before="89"/>
              <w:ind w:left="691" w:right="0"/>
              <w:jc w:val="left"/>
              <w:rPr>
                <w:rFonts w:ascii="宋体" w:hAnsi="宋体" w:cs="宋体" w:eastAsia="宋体" w:hint="default"/>
                <w:sz w:val="21"/>
                <w:szCs w:val="21"/>
              </w:rPr>
            </w:pPr>
            <w:r>
              <w:rPr>
                <w:rFonts w:ascii="宋体" w:hAnsi="宋体" w:cs="宋体" w:eastAsia="宋体" w:hint="default"/>
                <w:sz w:val="21"/>
                <w:szCs w:val="21"/>
              </w:rPr>
              <w:t>年末金额</w:t>
            </w:r>
          </w:p>
        </w:tc>
      </w:tr>
      <w:tr>
        <w:trPr>
          <w:trHeight w:val="412" w:hRule="exact"/>
        </w:trPr>
        <w:tc>
          <w:tcPr>
            <w:tcW w:w="412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1"/>
              <w:ind w:left="93" w:right="0"/>
              <w:jc w:val="left"/>
              <w:rPr>
                <w:rFonts w:ascii="宋体" w:hAnsi="宋体" w:cs="宋体" w:eastAsia="宋体" w:hint="default"/>
                <w:sz w:val="21"/>
                <w:szCs w:val="21"/>
              </w:rPr>
            </w:pPr>
            <w:r>
              <w:rPr>
                <w:rFonts w:ascii="宋体" w:hAnsi="宋体" w:cs="宋体" w:eastAsia="宋体" w:hint="default"/>
                <w:sz w:val="21"/>
                <w:szCs w:val="21"/>
              </w:rPr>
              <w:t>中国农业银行股份有限公司厦门思明支行</w:t>
            </w: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40342001040020336</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1,198,190.24</w:t>
            </w:r>
          </w:p>
        </w:tc>
      </w:tr>
      <w:tr>
        <w:trPr>
          <w:trHeight w:val="413" w:hRule="exact"/>
        </w:trPr>
        <w:tc>
          <w:tcPr>
            <w:tcW w:w="4125" w:type="dxa"/>
            <w:vMerge/>
            <w:tcBorders>
              <w:left w:val="single" w:sz="12"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342001120001081</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0"/>
              <w:jc w:val="right"/>
              <w:rPr>
                <w:rFonts w:ascii="Times New Roman" w:hAnsi="Times New Roman" w:cs="Times New Roman" w:eastAsia="Times New Roman" w:hint="default"/>
                <w:sz w:val="21"/>
                <w:szCs w:val="21"/>
              </w:rPr>
            </w:pPr>
            <w:r>
              <w:rPr>
                <w:rFonts w:ascii="Times New Roman"/>
                <w:spacing w:val="-1"/>
                <w:sz w:val="21"/>
              </w:rPr>
              <w:t>12,000,000.00</w:t>
            </w:r>
          </w:p>
        </w:tc>
      </w:tr>
      <w:tr>
        <w:trPr>
          <w:trHeight w:val="412" w:hRule="exact"/>
        </w:trPr>
        <w:tc>
          <w:tcPr>
            <w:tcW w:w="4125" w:type="dxa"/>
            <w:vMerge/>
            <w:tcBorders>
              <w:left w:val="single" w:sz="12" w:space="0" w:color="000000"/>
              <w:bottom w:val="single" w:sz="6"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342001140000501</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7,905,000.00</w:t>
            </w:r>
          </w:p>
        </w:tc>
      </w:tr>
      <w:tr>
        <w:trPr>
          <w:trHeight w:val="412" w:hRule="exact"/>
        </w:trPr>
        <w:tc>
          <w:tcPr>
            <w:tcW w:w="4125" w:type="dxa"/>
            <w:vMerge w:val="restart"/>
            <w:tcBorders>
              <w:top w:val="single" w:sz="6" w:space="0" w:color="000000"/>
              <w:left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72" w:lineRule="exact"/>
              <w:ind w:left="93" w:right="227"/>
              <w:jc w:val="left"/>
              <w:rPr>
                <w:rFonts w:ascii="宋体" w:hAnsi="宋体" w:cs="宋体" w:eastAsia="宋体" w:hint="default"/>
                <w:sz w:val="21"/>
                <w:szCs w:val="21"/>
              </w:rPr>
            </w:pPr>
            <w:r>
              <w:rPr>
                <w:rFonts w:ascii="宋体" w:hAnsi="宋体" w:cs="宋体" w:eastAsia="宋体" w:hint="default"/>
                <w:sz w:val="21"/>
                <w:szCs w:val="21"/>
              </w:rPr>
              <w:t>中国工商银行股份有限公司厦门软件园支 行</w:t>
            </w: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4100200129200001897</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6,086,931.17</w:t>
            </w:r>
          </w:p>
        </w:tc>
      </w:tr>
      <w:tr>
        <w:trPr>
          <w:trHeight w:val="413" w:hRule="exact"/>
        </w:trPr>
        <w:tc>
          <w:tcPr>
            <w:tcW w:w="4125" w:type="dxa"/>
            <w:vMerge/>
            <w:tcBorders>
              <w:left w:val="single" w:sz="12"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4100200114000000682</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0"/>
              <w:jc w:val="right"/>
              <w:rPr>
                <w:rFonts w:ascii="Times New Roman" w:hAnsi="Times New Roman" w:cs="Times New Roman" w:eastAsia="Times New Roman" w:hint="default"/>
                <w:sz w:val="21"/>
                <w:szCs w:val="21"/>
              </w:rPr>
            </w:pPr>
            <w:r>
              <w:rPr>
                <w:rFonts w:ascii="Times New Roman"/>
                <w:spacing w:val="-1"/>
                <w:sz w:val="21"/>
              </w:rPr>
              <w:t>13,000,000.00</w:t>
            </w:r>
          </w:p>
        </w:tc>
      </w:tr>
      <w:tr>
        <w:trPr>
          <w:trHeight w:val="412" w:hRule="exact"/>
        </w:trPr>
        <w:tc>
          <w:tcPr>
            <w:tcW w:w="4125" w:type="dxa"/>
            <w:vMerge/>
            <w:tcBorders>
              <w:left w:val="single" w:sz="12" w:space="0" w:color="000000"/>
              <w:bottom w:val="single" w:sz="6"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4100200114000002114</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7,550,000.00</w:t>
            </w:r>
          </w:p>
        </w:tc>
      </w:tr>
      <w:tr>
        <w:trPr>
          <w:trHeight w:val="412" w:hRule="exact"/>
        </w:trPr>
        <w:tc>
          <w:tcPr>
            <w:tcW w:w="412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8"/>
                <w:szCs w:val="28"/>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兴业银行股份有限公司厦门支行</w:t>
            </w: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129970100100076682</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2"/>
              <w:jc w:val="right"/>
              <w:rPr>
                <w:rFonts w:ascii="Times New Roman" w:hAnsi="Times New Roman" w:cs="Times New Roman" w:eastAsia="Times New Roman" w:hint="default"/>
                <w:sz w:val="21"/>
                <w:szCs w:val="21"/>
              </w:rPr>
            </w:pPr>
            <w:r>
              <w:rPr>
                <w:rFonts w:ascii="Times New Roman"/>
                <w:spacing w:val="-1"/>
                <w:sz w:val="21"/>
              </w:rPr>
              <w:t>698,718.34</w:t>
            </w:r>
            <w:r>
              <w:rPr>
                <w:rFonts w:ascii="Times New Roman"/>
                <w:sz w:val="21"/>
              </w:rPr>
            </w:r>
          </w:p>
        </w:tc>
      </w:tr>
      <w:tr>
        <w:trPr>
          <w:trHeight w:val="413" w:hRule="exact"/>
        </w:trPr>
        <w:tc>
          <w:tcPr>
            <w:tcW w:w="4125" w:type="dxa"/>
            <w:vMerge/>
            <w:tcBorders>
              <w:left w:val="single" w:sz="12"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129970100200092772</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0"/>
              <w:jc w:val="right"/>
              <w:rPr>
                <w:rFonts w:ascii="Times New Roman" w:hAnsi="Times New Roman" w:cs="Times New Roman" w:eastAsia="Times New Roman" w:hint="default"/>
                <w:sz w:val="21"/>
                <w:szCs w:val="21"/>
              </w:rPr>
            </w:pPr>
            <w:r>
              <w:rPr>
                <w:rFonts w:ascii="Times New Roman"/>
                <w:spacing w:val="-1"/>
                <w:sz w:val="21"/>
              </w:rPr>
              <w:t>50,246,835.52</w:t>
            </w:r>
          </w:p>
        </w:tc>
      </w:tr>
      <w:tr>
        <w:trPr>
          <w:trHeight w:val="412" w:hRule="exact"/>
        </w:trPr>
        <w:tc>
          <w:tcPr>
            <w:tcW w:w="4125" w:type="dxa"/>
            <w:vMerge/>
            <w:tcBorders>
              <w:left w:val="single" w:sz="12"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129970100200097022</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0"/>
              <w:jc w:val="right"/>
              <w:rPr>
                <w:rFonts w:ascii="Times New Roman" w:hAnsi="Times New Roman" w:cs="Times New Roman" w:eastAsia="Times New Roman" w:hint="default"/>
                <w:sz w:val="21"/>
                <w:szCs w:val="21"/>
              </w:rPr>
            </w:pPr>
            <w:r>
              <w:rPr>
                <w:rFonts w:ascii="Times New Roman"/>
                <w:spacing w:val="-1"/>
                <w:sz w:val="21"/>
              </w:rPr>
              <w:t>34,399,788.64</w:t>
            </w:r>
          </w:p>
        </w:tc>
      </w:tr>
      <w:tr>
        <w:trPr>
          <w:trHeight w:val="412" w:hRule="exact"/>
        </w:trPr>
        <w:tc>
          <w:tcPr>
            <w:tcW w:w="4125" w:type="dxa"/>
            <w:vMerge/>
            <w:tcBorders>
              <w:left w:val="single" w:sz="12" w:space="0" w:color="000000"/>
              <w:bottom w:val="single" w:sz="6"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129970100200083582</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91"/>
              <w:jc w:val="right"/>
              <w:rPr>
                <w:rFonts w:ascii="Times New Roman" w:hAnsi="Times New Roman" w:cs="Times New Roman" w:eastAsia="Times New Roman" w:hint="default"/>
                <w:sz w:val="21"/>
                <w:szCs w:val="21"/>
              </w:rPr>
            </w:pPr>
            <w:r>
              <w:rPr>
                <w:rFonts w:ascii="Times New Roman"/>
                <w:spacing w:val="-1"/>
                <w:sz w:val="21"/>
              </w:rPr>
              <w:t>250,000,000.00</w:t>
            </w:r>
          </w:p>
        </w:tc>
      </w:tr>
      <w:tr>
        <w:trPr>
          <w:trHeight w:val="413" w:hRule="exact"/>
        </w:trPr>
        <w:tc>
          <w:tcPr>
            <w:tcW w:w="4125"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1"/>
              <w:ind w:left="93" w:right="0"/>
              <w:jc w:val="left"/>
              <w:rPr>
                <w:rFonts w:ascii="宋体" w:hAnsi="宋体" w:cs="宋体" w:eastAsia="宋体" w:hint="default"/>
                <w:sz w:val="21"/>
                <w:szCs w:val="21"/>
              </w:rPr>
            </w:pPr>
            <w:r>
              <w:rPr>
                <w:rFonts w:ascii="宋体" w:hAnsi="宋体" w:cs="宋体" w:eastAsia="宋体" w:hint="default"/>
                <w:sz w:val="21"/>
                <w:szCs w:val="21"/>
              </w:rPr>
              <w:t>中国民生银行股份有限公司厦门集美支行</w:t>
            </w: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2903014210002211</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1,658,721.64</w:t>
            </w:r>
          </w:p>
        </w:tc>
      </w:tr>
      <w:tr>
        <w:trPr>
          <w:trHeight w:val="412" w:hRule="exact"/>
        </w:trPr>
        <w:tc>
          <w:tcPr>
            <w:tcW w:w="4125" w:type="dxa"/>
            <w:vMerge/>
            <w:tcBorders>
              <w:left w:val="single" w:sz="12"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2903014340000267</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9,000,000.00</w:t>
            </w:r>
          </w:p>
        </w:tc>
      </w:tr>
      <w:tr>
        <w:trPr>
          <w:trHeight w:val="412" w:hRule="exact"/>
        </w:trPr>
        <w:tc>
          <w:tcPr>
            <w:tcW w:w="4125" w:type="dxa"/>
            <w:vMerge/>
            <w:tcBorders>
              <w:left w:val="single" w:sz="12" w:space="0" w:color="000000"/>
              <w:bottom w:val="single" w:sz="6" w:space="0" w:color="000000"/>
              <w:right w:val="single" w:sz="6" w:space="0" w:color="000000"/>
            </w:tcBorders>
          </w:tcPr>
          <w:p>
            <w:pPr/>
          </w:p>
        </w:tc>
        <w:tc>
          <w:tcPr>
            <w:tcW w:w="24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100" w:right="0"/>
              <w:jc w:val="left"/>
              <w:rPr>
                <w:rFonts w:ascii="Times New Roman" w:hAnsi="Times New Roman" w:cs="Times New Roman" w:eastAsia="Times New Roman" w:hint="default"/>
                <w:sz w:val="21"/>
                <w:szCs w:val="21"/>
              </w:rPr>
            </w:pPr>
            <w:r>
              <w:rPr>
                <w:rFonts w:ascii="Times New Roman"/>
                <w:sz w:val="21"/>
              </w:rPr>
              <w:t>2903014280000024</w:t>
            </w:r>
          </w:p>
        </w:tc>
        <w:tc>
          <w:tcPr>
            <w:tcW w:w="223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right="89"/>
              <w:jc w:val="right"/>
              <w:rPr>
                <w:rFonts w:ascii="Times New Roman" w:hAnsi="Times New Roman" w:cs="Times New Roman" w:eastAsia="Times New Roman" w:hint="default"/>
                <w:sz w:val="21"/>
                <w:szCs w:val="21"/>
              </w:rPr>
            </w:pPr>
            <w:r>
              <w:rPr>
                <w:rFonts w:ascii="Times New Roman"/>
                <w:spacing w:val="-1"/>
                <w:sz w:val="21"/>
              </w:rPr>
              <w:t>8,000,000.00</w:t>
            </w:r>
          </w:p>
        </w:tc>
      </w:tr>
      <w:tr>
        <w:trPr>
          <w:trHeight w:val="421" w:hRule="exact"/>
        </w:trPr>
        <w:tc>
          <w:tcPr>
            <w:tcW w:w="412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89"/>
              <w:ind w:right="6"/>
              <w:jc w:val="center"/>
              <w:rPr>
                <w:rFonts w:ascii="宋体" w:hAnsi="宋体" w:cs="宋体" w:eastAsia="宋体" w:hint="default"/>
                <w:sz w:val="21"/>
                <w:szCs w:val="21"/>
              </w:rPr>
            </w:pPr>
            <w:r>
              <w:rPr>
                <w:rFonts w:ascii="宋体" w:hAnsi="宋体" w:cs="宋体" w:eastAsia="宋体" w:hint="default"/>
                <w:sz w:val="21"/>
                <w:szCs w:val="21"/>
              </w:rPr>
              <w:t>小计</w:t>
            </w:r>
          </w:p>
        </w:tc>
        <w:tc>
          <w:tcPr>
            <w:tcW w:w="2495" w:type="dxa"/>
            <w:tcBorders>
              <w:top w:val="single" w:sz="6" w:space="0" w:color="000000"/>
              <w:left w:val="single" w:sz="6" w:space="0" w:color="000000"/>
              <w:bottom w:val="single" w:sz="12" w:space="0" w:color="000000"/>
              <w:right w:val="single" w:sz="6" w:space="0" w:color="000000"/>
            </w:tcBorders>
          </w:tcPr>
          <w:p>
            <w:pPr/>
          </w:p>
        </w:tc>
        <w:tc>
          <w:tcPr>
            <w:tcW w:w="223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6"/>
              <w:ind w:right="91"/>
              <w:jc w:val="right"/>
              <w:rPr>
                <w:rFonts w:ascii="Times New Roman" w:hAnsi="Times New Roman" w:cs="Times New Roman" w:eastAsia="Times New Roman" w:hint="default"/>
                <w:sz w:val="21"/>
                <w:szCs w:val="21"/>
              </w:rPr>
            </w:pPr>
            <w:r>
              <w:rPr>
                <w:rFonts w:ascii="Times New Roman"/>
                <w:spacing w:val="-1"/>
                <w:sz w:val="21"/>
              </w:rPr>
              <w:t>401,744,185.55</w:t>
            </w:r>
          </w:p>
        </w:tc>
      </w:tr>
    </w:tbl>
    <w:p>
      <w:pPr>
        <w:spacing w:line="240" w:lineRule="auto" w:before="5"/>
        <w:rPr>
          <w:rFonts w:ascii="宋体" w:hAnsi="宋体" w:cs="宋体" w:eastAsia="宋体" w:hint="default"/>
          <w:sz w:val="13"/>
          <w:szCs w:val="13"/>
        </w:rPr>
      </w:pPr>
    </w:p>
    <w:p>
      <w:pPr>
        <w:pStyle w:val="Heading3"/>
        <w:spacing w:line="240" w:lineRule="auto" w:before="26"/>
        <w:ind w:left="722" w:right="1280"/>
        <w:jc w:val="left"/>
        <w:rPr>
          <w:b w:val="0"/>
          <w:bCs w:val="0"/>
        </w:rPr>
      </w:pPr>
      <w:r>
        <w:rPr>
          <w:rFonts w:ascii="Times New Roman" w:hAnsi="Times New Roman" w:cs="Times New Roman" w:eastAsia="Times New Roman" w:hint="default"/>
        </w:rPr>
        <w:t>3</w:t>
      </w:r>
      <w:r>
        <w:rPr/>
        <w:t>、本年度募集资金的实际使用情况</w:t>
      </w:r>
      <w:r>
        <w:rPr>
          <w:b w:val="0"/>
          <w:bCs w:val="0"/>
        </w:rPr>
      </w:r>
    </w:p>
    <w:p>
      <w:pPr>
        <w:spacing w:line="240" w:lineRule="auto" w:before="8"/>
        <w:rPr>
          <w:rFonts w:ascii="宋体" w:hAnsi="宋体" w:cs="宋体" w:eastAsia="宋体" w:hint="default"/>
          <w:b/>
          <w:bCs/>
          <w:sz w:val="28"/>
          <w:szCs w:val="28"/>
        </w:rPr>
      </w:pPr>
    </w:p>
    <w:p>
      <w:pPr>
        <w:pStyle w:val="BodyText"/>
        <w:spacing w:line="240" w:lineRule="auto"/>
        <w:ind w:left="720" w:right="1280"/>
        <w:jc w:val="left"/>
      </w:pPr>
      <w:r>
        <w:rPr/>
        <w:t>（</w:t>
      </w:r>
      <w:r>
        <w:rPr>
          <w:rFonts w:ascii="Times New Roman" w:hAnsi="Times New Roman" w:cs="Times New Roman" w:eastAsia="Times New Roman" w:hint="default"/>
        </w:rPr>
        <w:t>1</w:t>
      </w:r>
      <w:r>
        <w:rPr/>
        <w:t>）募集资金使用情况对照表</w:t>
      </w:r>
    </w:p>
    <w:p>
      <w:pPr>
        <w:spacing w:line="240" w:lineRule="auto" w:before="10"/>
        <w:rPr>
          <w:rFonts w:ascii="宋体" w:hAnsi="宋体" w:cs="宋体" w:eastAsia="宋体" w:hint="default"/>
          <w:sz w:val="16"/>
          <w:szCs w:val="16"/>
        </w:rPr>
      </w:pPr>
    </w:p>
    <w:p>
      <w:pPr>
        <w:spacing w:before="44"/>
        <w:ind w:left="0" w:right="1299"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5"/>
          <w:szCs w:val="5"/>
        </w:rPr>
      </w:pPr>
    </w:p>
    <w:tbl>
      <w:tblPr>
        <w:tblW w:w="0" w:type="auto"/>
        <w:jc w:val="left"/>
        <w:tblInd w:w="246" w:type="dxa"/>
        <w:tblLayout w:type="fixed"/>
        <w:tblCellMar>
          <w:top w:w="0" w:type="dxa"/>
          <w:left w:w="0" w:type="dxa"/>
          <w:bottom w:w="0" w:type="dxa"/>
          <w:right w:w="0" w:type="dxa"/>
        </w:tblCellMar>
        <w:tblLook w:val="01E0"/>
      </w:tblPr>
      <w:tblGrid>
        <w:gridCol w:w="1808"/>
        <w:gridCol w:w="559"/>
        <w:gridCol w:w="625"/>
        <w:gridCol w:w="974"/>
        <w:gridCol w:w="974"/>
        <w:gridCol w:w="130"/>
        <w:gridCol w:w="482"/>
        <w:gridCol w:w="847"/>
        <w:gridCol w:w="1141"/>
        <w:gridCol w:w="197"/>
        <w:gridCol w:w="571"/>
        <w:gridCol w:w="662"/>
        <w:gridCol w:w="847"/>
      </w:tblGrid>
      <w:tr>
        <w:trPr>
          <w:trHeight w:val="162"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951"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2077" w:type="dxa"/>
            <w:gridSpan w:val="3"/>
            <w:vMerge w:val="restart"/>
            <w:tcBorders>
              <w:top w:val="single" w:sz="4" w:space="0" w:color="000000"/>
              <w:left w:val="single" w:sz="9" w:space="0" w:color="DCDCDC"/>
              <w:right w:val="single" w:sz="9" w:space="0" w:color="DCDCDC"/>
            </w:tcBorders>
          </w:tcPr>
          <w:p>
            <w:pPr>
              <w:pStyle w:val="TableParagraph"/>
              <w:spacing w:line="240" w:lineRule="auto" w:before="49"/>
              <w:ind w:left="667" w:right="0"/>
              <w:jc w:val="left"/>
              <w:rPr>
                <w:rFonts w:ascii="Times New Roman" w:hAnsi="Times New Roman" w:cs="Times New Roman" w:eastAsia="Times New Roman" w:hint="default"/>
                <w:sz w:val="18"/>
                <w:szCs w:val="18"/>
              </w:rPr>
            </w:pPr>
            <w:r>
              <w:rPr>
                <w:rFonts w:ascii="Times New Roman"/>
                <w:sz w:val="18"/>
              </w:rPr>
              <w:t>50,140.60</w:t>
            </w: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3"/>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67" w:right="0"/>
              <w:jc w:val="left"/>
              <w:rPr>
                <w:rFonts w:ascii="Times New Roman" w:hAnsi="Times New Roman" w:cs="Times New Roman" w:eastAsia="Times New Roman" w:hint="default"/>
                <w:sz w:val="18"/>
                <w:szCs w:val="18"/>
              </w:rPr>
            </w:pPr>
            <w:r>
              <w:rPr>
                <w:rFonts w:ascii="Times New Roman"/>
                <w:sz w:val="18"/>
              </w:rPr>
              <w:t>10,250.44</w:t>
            </w:r>
          </w:p>
        </w:tc>
      </w:tr>
      <w:tr>
        <w:trPr>
          <w:trHeight w:val="161"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2077" w:type="dxa"/>
            <w:gridSpan w:val="3"/>
            <w:vMerge/>
            <w:tcBorders>
              <w:left w:val="single" w:sz="9" w:space="0" w:color="DCDCDC"/>
              <w:bottom w:val="single" w:sz="4" w:space="0" w:color="000000"/>
              <w:right w:val="single" w:sz="9" w:space="0" w:color="DCDCDC"/>
            </w:tcBorders>
          </w:tcPr>
          <w:p>
            <w:pPr/>
          </w:p>
        </w:tc>
        <w:tc>
          <w:tcPr>
            <w:tcW w:w="2667"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331"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080" w:type="dxa"/>
            <w:gridSpan w:val="3"/>
            <w:vMerge/>
            <w:tcBorders>
              <w:left w:val="single" w:sz="10" w:space="0" w:color="DCDCDC"/>
              <w:right w:val="single" w:sz="4" w:space="0" w:color="000000"/>
            </w:tcBorders>
          </w:tcPr>
          <w:p>
            <w:pPr/>
          </w:p>
        </w:tc>
      </w:tr>
      <w:tr>
        <w:trPr>
          <w:trHeight w:val="153"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40" w:right="0"/>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报告期内变更用途的募集资金总额</w:t>
            </w:r>
          </w:p>
        </w:tc>
        <w:tc>
          <w:tcPr>
            <w:tcW w:w="2077" w:type="dxa"/>
            <w:gridSpan w:val="3"/>
            <w:vMerge w:val="restart"/>
            <w:tcBorders>
              <w:top w:val="single" w:sz="4" w:space="0" w:color="000000"/>
              <w:left w:val="single" w:sz="9" w:space="0" w:color="DCDCDC"/>
              <w:right w:val="single" w:sz="9" w:space="0" w:color="DCDCDC"/>
            </w:tcBorders>
          </w:tcPr>
          <w:p>
            <w:pPr/>
          </w:p>
        </w:tc>
        <w:tc>
          <w:tcPr>
            <w:tcW w:w="2667" w:type="dxa"/>
            <w:gridSpan w:val="4"/>
            <w:vMerge/>
            <w:tcBorders>
              <w:left w:val="single" w:sz="4" w:space="0" w:color="000000"/>
              <w:bottom w:val="nil" w:sz="6" w:space="0" w:color="auto"/>
              <w:right w:val="single" w:sz="4" w:space="0" w:color="000000"/>
            </w:tcBorders>
            <w:shd w:val="clear" w:color="auto" w:fill="DCDCDC"/>
          </w:tcPr>
          <w:p>
            <w:pPr/>
          </w:p>
        </w:tc>
        <w:tc>
          <w:tcPr>
            <w:tcW w:w="2080" w:type="dxa"/>
            <w:gridSpan w:val="3"/>
            <w:vMerge/>
            <w:tcBorders>
              <w:left w:val="single" w:sz="10" w:space="0" w:color="DCDCDC"/>
              <w:right w:val="single" w:sz="4" w:space="0" w:color="000000"/>
            </w:tcBorders>
          </w:tcPr>
          <w:p>
            <w:pPr/>
          </w:p>
        </w:tc>
      </w:tr>
      <w:tr>
        <w:trPr>
          <w:trHeight w:val="171"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2077" w:type="dxa"/>
            <w:gridSpan w:val="3"/>
            <w:vMerge/>
            <w:tcBorders>
              <w:left w:val="single" w:sz="9" w:space="0" w:color="DCDCDC"/>
              <w:bottom w:val="single" w:sz="4" w:space="0" w:color="000000"/>
              <w:right w:val="single" w:sz="9"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3"/>
            <w:vMerge/>
            <w:tcBorders>
              <w:left w:val="single" w:sz="10" w:space="0" w:color="DCDCDC"/>
              <w:bottom w:val="single" w:sz="4" w:space="0" w:color="000000"/>
              <w:right w:val="single" w:sz="4" w:space="0" w:color="000000"/>
            </w:tcBorders>
          </w:tcPr>
          <w:p>
            <w:pPr/>
          </w:p>
        </w:tc>
      </w:tr>
      <w:tr>
        <w:trPr>
          <w:trHeight w:val="162"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320"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2077" w:type="dxa"/>
            <w:gridSpan w:val="3"/>
            <w:vMerge w:val="restart"/>
            <w:tcBorders>
              <w:top w:val="single" w:sz="4" w:space="0" w:color="000000"/>
              <w:left w:val="single" w:sz="9" w:space="0" w:color="DCDCDC"/>
              <w:right w:val="single" w:sz="9" w:space="0" w:color="DCDCDC"/>
            </w:tcBorders>
          </w:tcPr>
          <w:p>
            <w:pPr/>
          </w:p>
        </w:tc>
        <w:tc>
          <w:tcPr>
            <w:tcW w:w="2667"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3"/>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67" w:right="0"/>
              <w:jc w:val="left"/>
              <w:rPr>
                <w:rFonts w:ascii="Times New Roman" w:hAnsi="Times New Roman" w:cs="Times New Roman" w:eastAsia="Times New Roman" w:hint="default"/>
                <w:sz w:val="18"/>
                <w:szCs w:val="18"/>
              </w:rPr>
            </w:pPr>
            <w:r>
              <w:rPr>
                <w:rFonts w:ascii="Times New Roman"/>
                <w:sz w:val="18"/>
              </w:rPr>
              <w:t>10,250.44</w:t>
            </w:r>
          </w:p>
        </w:tc>
      </w:tr>
      <w:tr>
        <w:trPr>
          <w:trHeight w:val="160"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2077" w:type="dxa"/>
            <w:gridSpan w:val="3"/>
            <w:vMerge/>
            <w:tcBorders>
              <w:left w:val="single" w:sz="9" w:space="0" w:color="DCDCDC"/>
              <w:bottom w:val="single" w:sz="4" w:space="0" w:color="000000"/>
              <w:right w:val="single" w:sz="9" w:space="0" w:color="DCDCDC"/>
            </w:tcBorders>
          </w:tcPr>
          <w:p>
            <w:pPr/>
          </w:p>
        </w:tc>
        <w:tc>
          <w:tcPr>
            <w:tcW w:w="2667"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331"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080" w:type="dxa"/>
            <w:gridSpan w:val="3"/>
            <w:vMerge/>
            <w:tcBorders>
              <w:left w:val="single" w:sz="10" w:space="0" w:color="DCDCDC"/>
              <w:right w:val="single" w:sz="4" w:space="0" w:color="000000"/>
            </w:tcBorders>
          </w:tcPr>
          <w:p>
            <w:pPr/>
          </w:p>
        </w:tc>
      </w:tr>
      <w:tr>
        <w:trPr>
          <w:trHeight w:val="152" w:hRule="exact"/>
        </w:trPr>
        <w:tc>
          <w:tcPr>
            <w:tcW w:w="2993"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140"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累计变更用途的募集资金总额比例</w:t>
            </w:r>
          </w:p>
        </w:tc>
        <w:tc>
          <w:tcPr>
            <w:tcW w:w="2077" w:type="dxa"/>
            <w:gridSpan w:val="3"/>
            <w:vMerge w:val="restart"/>
            <w:tcBorders>
              <w:top w:val="single" w:sz="4" w:space="0" w:color="000000"/>
              <w:left w:val="single" w:sz="9" w:space="0" w:color="DCDCDC"/>
              <w:right w:val="single" w:sz="9" w:space="0" w:color="DCDCDC"/>
            </w:tcBorders>
          </w:tcPr>
          <w:p>
            <w:pPr/>
          </w:p>
        </w:tc>
        <w:tc>
          <w:tcPr>
            <w:tcW w:w="2667" w:type="dxa"/>
            <w:gridSpan w:val="4"/>
            <w:vMerge/>
            <w:tcBorders>
              <w:left w:val="single" w:sz="4" w:space="0" w:color="000000"/>
              <w:bottom w:val="nil" w:sz="6" w:space="0" w:color="auto"/>
              <w:right w:val="single" w:sz="4" w:space="0" w:color="000000"/>
            </w:tcBorders>
            <w:shd w:val="clear" w:color="auto" w:fill="DCDCDC"/>
          </w:tcPr>
          <w:p>
            <w:pPr/>
          </w:p>
        </w:tc>
        <w:tc>
          <w:tcPr>
            <w:tcW w:w="2080" w:type="dxa"/>
            <w:gridSpan w:val="3"/>
            <w:vMerge/>
            <w:tcBorders>
              <w:left w:val="single" w:sz="10" w:space="0" w:color="DCDCDC"/>
              <w:right w:val="single" w:sz="4" w:space="0" w:color="000000"/>
            </w:tcBorders>
          </w:tcPr>
          <w:p>
            <w:pPr/>
          </w:p>
        </w:tc>
      </w:tr>
      <w:tr>
        <w:trPr>
          <w:trHeight w:val="172" w:hRule="exact"/>
        </w:trPr>
        <w:tc>
          <w:tcPr>
            <w:tcW w:w="2993" w:type="dxa"/>
            <w:gridSpan w:val="3"/>
            <w:vMerge/>
            <w:tcBorders>
              <w:left w:val="single" w:sz="4" w:space="0" w:color="000000"/>
              <w:bottom w:val="single" w:sz="4" w:space="0" w:color="000000"/>
              <w:right w:val="single" w:sz="4" w:space="0" w:color="000000"/>
            </w:tcBorders>
            <w:shd w:val="clear" w:color="auto" w:fill="DCDCDC"/>
          </w:tcPr>
          <w:p>
            <w:pPr/>
          </w:p>
        </w:tc>
        <w:tc>
          <w:tcPr>
            <w:tcW w:w="2077" w:type="dxa"/>
            <w:gridSpan w:val="3"/>
            <w:vMerge/>
            <w:tcBorders>
              <w:left w:val="single" w:sz="9" w:space="0" w:color="DCDCDC"/>
              <w:bottom w:val="single" w:sz="4" w:space="0" w:color="000000"/>
              <w:right w:val="single" w:sz="9" w:space="0" w:color="DCDCDC"/>
            </w:tcBorders>
          </w:tcPr>
          <w:p>
            <w:pPr/>
          </w:p>
        </w:tc>
        <w:tc>
          <w:tcPr>
            <w:tcW w:w="2667"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3"/>
            <w:vMerge/>
            <w:tcBorders>
              <w:left w:val="single" w:sz="10" w:space="0" w:color="DCDCDC"/>
              <w:bottom w:val="single" w:sz="4" w:space="0" w:color="000000"/>
              <w:right w:val="single" w:sz="4" w:space="0" w:color="000000"/>
            </w:tcBorders>
          </w:tcPr>
          <w:p>
            <w:pPr/>
          </w:p>
        </w:tc>
      </w:tr>
      <w:tr>
        <w:trPr>
          <w:trHeight w:val="244" w:hRule="exact"/>
        </w:trPr>
        <w:tc>
          <w:tcPr>
            <w:tcW w:w="1808" w:type="dxa"/>
            <w:vMerge w:val="restart"/>
            <w:tcBorders>
              <w:top w:val="single" w:sz="4" w:space="0" w:color="000000"/>
              <w:left w:val="single" w:sz="4" w:space="0" w:color="000000"/>
              <w:right w:val="single" w:sz="4" w:space="0" w:color="000000"/>
            </w:tcBorders>
            <w:shd w:val="clear" w:color="auto" w:fill="DCDCDC"/>
          </w:tcPr>
          <w:p>
            <w:pPr/>
          </w:p>
        </w:tc>
        <w:tc>
          <w:tcPr>
            <w:tcW w:w="559" w:type="dxa"/>
            <w:vMerge w:val="restart"/>
            <w:tcBorders>
              <w:top w:val="single" w:sz="4" w:space="0" w:color="000000"/>
              <w:left w:val="single" w:sz="4" w:space="0" w:color="000000"/>
              <w:right w:val="single" w:sz="4" w:space="0" w:color="000000"/>
            </w:tcBorders>
            <w:shd w:val="clear" w:color="auto" w:fill="DCDCDC"/>
          </w:tcPr>
          <w:p>
            <w:pPr>
              <w:pStyle w:val="TableParagraph"/>
              <w:spacing w:line="235" w:lineRule="auto" w:before="13"/>
              <w:ind w:left="64" w:right="63"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 已变 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变更</w:t>
            </w:r>
            <w:r>
              <w:rPr>
                <w:rFonts w:ascii="Times New Roman" w:hAnsi="Times New Roman" w:cs="Times New Roman" w:eastAsia="Times New Roman" w:hint="default"/>
                <w:sz w:val="18"/>
                <w:szCs w:val="18"/>
              </w:rPr>
              <w:t>)</w:t>
            </w:r>
          </w:p>
        </w:tc>
        <w:tc>
          <w:tcPr>
            <w:tcW w:w="625" w:type="dxa"/>
            <w:tcBorders>
              <w:top w:val="single" w:sz="4" w:space="0" w:color="000000"/>
              <w:left w:val="single" w:sz="4" w:space="0" w:color="000000"/>
              <w:bottom w:val="nil" w:sz="6" w:space="0" w:color="auto"/>
              <w:right w:val="single" w:sz="4" w:space="0" w:color="000000"/>
            </w:tcBorders>
            <w:shd w:val="clear" w:color="auto" w:fill="DCDCDC"/>
          </w:tcPr>
          <w:p>
            <w:pPr/>
          </w:p>
        </w:tc>
        <w:tc>
          <w:tcPr>
            <w:tcW w:w="974" w:type="dxa"/>
            <w:vMerge w:val="restart"/>
            <w:tcBorders>
              <w:top w:val="single" w:sz="4" w:space="0" w:color="000000"/>
              <w:left w:val="single" w:sz="4" w:space="0" w:color="000000"/>
              <w:right w:val="single" w:sz="4" w:space="0" w:color="000000"/>
            </w:tcBorders>
            <w:shd w:val="clear" w:color="auto" w:fill="DCDCDC"/>
          </w:tcPr>
          <w:p>
            <w:pPr/>
          </w:p>
        </w:tc>
        <w:tc>
          <w:tcPr>
            <w:tcW w:w="974" w:type="dxa"/>
            <w:vMerge w:val="restart"/>
            <w:tcBorders>
              <w:top w:val="single" w:sz="4" w:space="0" w:color="000000"/>
              <w:left w:val="single" w:sz="4" w:space="0" w:color="000000"/>
              <w:right w:val="single" w:sz="4" w:space="0" w:color="000000"/>
            </w:tcBorders>
            <w:shd w:val="clear" w:color="auto" w:fill="DCDCDC"/>
          </w:tcPr>
          <w:p>
            <w:pPr/>
          </w:p>
        </w:tc>
        <w:tc>
          <w:tcPr>
            <w:tcW w:w="612"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847" w:type="dxa"/>
            <w:tcBorders>
              <w:top w:val="single" w:sz="4" w:space="0" w:color="000000"/>
              <w:left w:val="single" w:sz="4" w:space="0" w:color="000000"/>
              <w:bottom w:val="nil" w:sz="6" w:space="0" w:color="auto"/>
              <w:right w:val="single" w:sz="4" w:space="0" w:color="000000"/>
            </w:tcBorders>
            <w:shd w:val="clear" w:color="auto" w:fill="DCDCDC"/>
          </w:tcPr>
          <w:p>
            <w:pPr/>
          </w:p>
        </w:tc>
        <w:tc>
          <w:tcPr>
            <w:tcW w:w="1141" w:type="dxa"/>
            <w:vMerge w:val="restart"/>
            <w:tcBorders>
              <w:top w:val="single" w:sz="4" w:space="0" w:color="000000"/>
              <w:left w:val="single" w:sz="4" w:space="0" w:color="000000"/>
              <w:right w:val="single" w:sz="4" w:space="0" w:color="000000"/>
            </w:tcBorders>
            <w:shd w:val="clear" w:color="auto" w:fill="DCDCDC"/>
          </w:tcPr>
          <w:p>
            <w:pPr/>
          </w:p>
        </w:tc>
        <w:tc>
          <w:tcPr>
            <w:tcW w:w="768" w:type="dxa"/>
            <w:gridSpan w:val="2"/>
            <w:vMerge w:val="restart"/>
            <w:tcBorders>
              <w:top w:val="single" w:sz="4" w:space="0" w:color="000000"/>
              <w:left w:val="single" w:sz="4" w:space="0" w:color="000000"/>
              <w:right w:val="single" w:sz="4" w:space="0" w:color="000000"/>
            </w:tcBorders>
            <w:shd w:val="clear" w:color="auto" w:fill="DCDCDC"/>
          </w:tcPr>
          <w:p>
            <w:pPr/>
          </w:p>
        </w:tc>
        <w:tc>
          <w:tcPr>
            <w:tcW w:w="662" w:type="dxa"/>
            <w:vMerge w:val="restart"/>
            <w:tcBorders>
              <w:top w:val="single" w:sz="4" w:space="0" w:color="000000"/>
              <w:left w:val="single" w:sz="4" w:space="0" w:color="000000"/>
              <w:right w:val="single" w:sz="4" w:space="0" w:color="000000"/>
            </w:tcBorders>
            <w:shd w:val="clear" w:color="auto" w:fill="DCDCDC"/>
          </w:tcPr>
          <w:p>
            <w:pPr/>
          </w:p>
        </w:tc>
        <w:tc>
          <w:tcPr>
            <w:tcW w:w="84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5" w:hRule="exact"/>
        </w:trPr>
        <w:tc>
          <w:tcPr>
            <w:tcW w:w="1808"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25"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5"/>
              <w:ind w:left="43" w:right="29"/>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974" w:type="dxa"/>
            <w:vMerge/>
            <w:tcBorders>
              <w:left w:val="single" w:sz="4" w:space="0" w:color="000000"/>
              <w:right w:val="single" w:sz="4" w:space="0" w:color="000000"/>
            </w:tcBorders>
            <w:shd w:val="clear" w:color="auto" w:fill="DCDCDC"/>
          </w:tcPr>
          <w:p>
            <w:pPr/>
          </w:p>
        </w:tc>
        <w:tc>
          <w:tcPr>
            <w:tcW w:w="974" w:type="dxa"/>
            <w:vMerge/>
            <w:tcBorders>
              <w:left w:val="single" w:sz="4" w:space="0" w:color="000000"/>
              <w:right w:val="single" w:sz="4" w:space="0" w:color="000000"/>
            </w:tcBorders>
            <w:shd w:val="clear" w:color="auto" w:fill="DCDCDC"/>
          </w:tcPr>
          <w:p>
            <w:pPr/>
          </w:p>
        </w:tc>
        <w:tc>
          <w:tcPr>
            <w:tcW w:w="612"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8"/>
              <w:ind w:left="24" w:right="3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847"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21"/>
              <w:ind w:left="64" w:right="50"/>
              <w:jc w:val="both"/>
              <w:rPr>
                <w:rFonts w:ascii="宋体" w:hAnsi="宋体" w:cs="宋体" w:eastAsia="宋体"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p>
            <w:pPr>
              <w:pStyle w:val="TableParagraph"/>
              <w:spacing w:line="240" w:lineRule="auto" w:before="10"/>
              <w:ind w:left="188" w:right="0"/>
              <w:jc w:val="left"/>
              <w:rPr>
                <w:rFonts w:ascii="Times New Roman" w:hAnsi="Times New Roman" w:cs="Times New Roman" w:eastAsia="Times New Roman" w:hint="default"/>
                <w:sz w:val="18"/>
                <w:szCs w:val="18"/>
              </w:rPr>
            </w:pPr>
            <w:r>
              <w:rPr>
                <w:rFonts w:ascii="Times New Roman"/>
                <w:sz w:val="18"/>
              </w:rPr>
              <w:t>(2)/(1)</w:t>
            </w:r>
          </w:p>
        </w:tc>
        <w:tc>
          <w:tcPr>
            <w:tcW w:w="1141" w:type="dxa"/>
            <w:vMerge/>
            <w:tcBorders>
              <w:left w:val="single" w:sz="4" w:space="0" w:color="000000"/>
              <w:bottom w:val="nil" w:sz="6" w:space="0" w:color="auto"/>
              <w:right w:val="single" w:sz="4" w:space="0" w:color="000000"/>
            </w:tcBorders>
            <w:shd w:val="clear" w:color="auto" w:fill="DCDCDC"/>
          </w:tcPr>
          <w:p>
            <w:pPr/>
          </w:p>
        </w:tc>
        <w:tc>
          <w:tcPr>
            <w:tcW w:w="768" w:type="dxa"/>
            <w:gridSpan w:val="2"/>
            <w:vMerge/>
            <w:tcBorders>
              <w:left w:val="single" w:sz="4" w:space="0" w:color="000000"/>
              <w:right w:val="single" w:sz="4" w:space="0" w:color="000000"/>
            </w:tcBorders>
            <w:shd w:val="clear" w:color="auto" w:fill="DCDCDC"/>
          </w:tcPr>
          <w:p>
            <w:pPr/>
          </w:p>
        </w:tc>
        <w:tc>
          <w:tcPr>
            <w:tcW w:w="662" w:type="dxa"/>
            <w:vMerge/>
            <w:tcBorders>
              <w:left w:val="single" w:sz="4" w:space="0" w:color="000000"/>
              <w:bottom w:val="nil" w:sz="6" w:space="0" w:color="auto"/>
              <w:right w:val="single" w:sz="4" w:space="0" w:color="000000"/>
            </w:tcBorders>
            <w:shd w:val="clear" w:color="auto" w:fill="DCDCDC"/>
          </w:tcPr>
          <w:p>
            <w:pPr/>
          </w:p>
        </w:tc>
        <w:tc>
          <w:tcPr>
            <w:tcW w:w="847"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8"/>
              <w:ind w:left="52" w:right="62"/>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116" w:hRule="exact"/>
        </w:trPr>
        <w:tc>
          <w:tcPr>
            <w:tcW w:w="1808" w:type="dxa"/>
            <w:vMerge/>
            <w:tcBorders>
              <w:left w:val="single" w:sz="4" w:space="0" w:color="000000"/>
              <w:bottom w:val="nil" w:sz="6" w:space="0" w:color="auto"/>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974" w:type="dxa"/>
            <w:vMerge/>
            <w:tcBorders>
              <w:left w:val="single" w:sz="4" w:space="0" w:color="000000"/>
              <w:bottom w:val="nil" w:sz="6" w:space="0" w:color="auto"/>
              <w:right w:val="single" w:sz="4" w:space="0" w:color="000000"/>
            </w:tcBorders>
            <w:shd w:val="clear" w:color="auto" w:fill="DCDCDC"/>
          </w:tcPr>
          <w:p>
            <w:pPr/>
          </w:p>
        </w:tc>
        <w:tc>
          <w:tcPr>
            <w:tcW w:w="974" w:type="dxa"/>
            <w:vMerge/>
            <w:tcBorders>
              <w:left w:val="single" w:sz="4" w:space="0" w:color="000000"/>
              <w:bottom w:val="nil" w:sz="6" w:space="0" w:color="auto"/>
              <w:right w:val="single" w:sz="4" w:space="0" w:color="000000"/>
            </w:tcBorders>
            <w:shd w:val="clear" w:color="auto" w:fill="DCDCDC"/>
          </w:tcPr>
          <w:p>
            <w:pPr/>
          </w:p>
        </w:tc>
        <w:tc>
          <w:tcPr>
            <w:tcW w:w="612" w:type="dxa"/>
            <w:gridSpan w:val="2"/>
            <w:vMerge/>
            <w:tcBorders>
              <w:left w:val="single" w:sz="4" w:space="0" w:color="000000"/>
              <w:right w:val="single" w:sz="4" w:space="0" w:color="000000"/>
            </w:tcBorders>
            <w:shd w:val="clear" w:color="auto" w:fill="DCDCDC"/>
          </w:tcPr>
          <w:p>
            <w:pPr/>
          </w:p>
        </w:tc>
        <w:tc>
          <w:tcPr>
            <w:tcW w:w="847" w:type="dxa"/>
            <w:vMerge/>
            <w:tcBorders>
              <w:left w:val="single" w:sz="4" w:space="0" w:color="000000"/>
              <w:right w:val="single" w:sz="4" w:space="0" w:color="000000"/>
            </w:tcBorders>
            <w:shd w:val="clear" w:color="auto" w:fill="DCDCDC"/>
          </w:tcPr>
          <w:p>
            <w:pPr/>
          </w:p>
        </w:tc>
        <w:tc>
          <w:tcPr>
            <w:tcW w:w="1141"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1"/>
              <w:ind w:left="115" w:right="114"/>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768" w:type="dxa"/>
            <w:gridSpan w:val="2"/>
            <w:vMerge/>
            <w:tcBorders>
              <w:left w:val="single" w:sz="4" w:space="0" w:color="000000"/>
              <w:bottom w:val="nil" w:sz="6" w:space="0" w:color="auto"/>
              <w:right w:val="single" w:sz="4" w:space="0" w:color="000000"/>
            </w:tcBorders>
            <w:shd w:val="clear" w:color="auto" w:fill="DCDCDC"/>
          </w:tcPr>
          <w:p>
            <w:pPr/>
          </w:p>
        </w:tc>
        <w:tc>
          <w:tcPr>
            <w:tcW w:w="662"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1"/>
              <w:ind w:left="50" w:right="59"/>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847" w:type="dxa"/>
            <w:vMerge/>
            <w:tcBorders>
              <w:left w:val="single" w:sz="4" w:space="0" w:color="000000"/>
              <w:right w:val="single" w:sz="4" w:space="0" w:color="000000"/>
            </w:tcBorders>
            <w:shd w:val="clear" w:color="auto" w:fill="DCDCDC"/>
          </w:tcPr>
          <w:p>
            <w:pPr/>
          </w:p>
        </w:tc>
      </w:tr>
      <w:tr>
        <w:trPr>
          <w:trHeight w:val="546" w:hRule="exact"/>
        </w:trPr>
        <w:tc>
          <w:tcPr>
            <w:tcW w:w="180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533" w:right="93" w:hanging="450"/>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559" w:type="dxa"/>
            <w:vMerge/>
            <w:tcBorders>
              <w:left w:val="single" w:sz="4" w:space="0" w:color="000000"/>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97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203" w:right="24" w:hanging="166"/>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调整后投资 总额</w:t>
            </w:r>
            <w:r>
              <w:rPr>
                <w:rFonts w:ascii="Times New Roman" w:hAnsi="Times New Roman" w:cs="Times New Roman" w:eastAsia="Times New Roman" w:hint="default"/>
                <w:sz w:val="18"/>
                <w:szCs w:val="18"/>
              </w:rPr>
              <w:t>(1)</w:t>
            </w:r>
          </w:p>
        </w:tc>
        <w:tc>
          <w:tcPr>
            <w:tcW w:w="97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295" w:right="38" w:hanging="270"/>
              <w:jc w:val="left"/>
              <w:rPr>
                <w:rFonts w:ascii="宋体" w:hAnsi="宋体" w:cs="宋体" w:eastAsia="宋体" w:hint="default"/>
                <w:sz w:val="18"/>
                <w:szCs w:val="18"/>
              </w:rPr>
            </w:pPr>
            <w:r>
              <w:rPr>
                <w:rFonts w:ascii="宋体" w:hAnsi="宋体" w:cs="宋体" w:eastAsia="宋体" w:hint="default"/>
                <w:sz w:val="18"/>
                <w:szCs w:val="18"/>
              </w:rPr>
              <w:t>本年度投入 金额</w:t>
            </w:r>
          </w:p>
        </w:tc>
        <w:tc>
          <w:tcPr>
            <w:tcW w:w="612" w:type="dxa"/>
            <w:gridSpan w:val="2"/>
            <w:vMerge/>
            <w:tcBorders>
              <w:left w:val="single" w:sz="4" w:space="0" w:color="000000"/>
              <w:right w:val="single" w:sz="4" w:space="0" w:color="000000"/>
            </w:tcBorders>
            <w:shd w:val="clear" w:color="auto" w:fill="DCDCDC"/>
          </w:tcPr>
          <w:p>
            <w:pPr/>
          </w:p>
        </w:tc>
        <w:tc>
          <w:tcPr>
            <w:tcW w:w="847" w:type="dxa"/>
            <w:vMerge/>
            <w:tcBorders>
              <w:left w:val="single" w:sz="4" w:space="0" w:color="000000"/>
              <w:right w:val="single" w:sz="4" w:space="0" w:color="000000"/>
            </w:tcBorders>
            <w:shd w:val="clear" w:color="auto" w:fill="DCDCDC"/>
          </w:tcPr>
          <w:p>
            <w:pPr/>
          </w:p>
        </w:tc>
        <w:tc>
          <w:tcPr>
            <w:tcW w:w="1141" w:type="dxa"/>
            <w:vMerge/>
            <w:tcBorders>
              <w:left w:val="single" w:sz="4" w:space="0" w:color="000000"/>
              <w:right w:val="single" w:sz="4" w:space="0" w:color="000000"/>
            </w:tcBorders>
            <w:shd w:val="clear" w:color="auto" w:fill="DCDCDC"/>
          </w:tcPr>
          <w:p>
            <w:pPr/>
          </w:p>
        </w:tc>
        <w:tc>
          <w:tcPr>
            <w:tcW w:w="768"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
              <w:ind w:left="13" w:right="23"/>
              <w:jc w:val="left"/>
              <w:rPr>
                <w:rFonts w:ascii="宋体" w:hAnsi="宋体" w:cs="宋体" w:eastAsia="宋体" w:hint="default"/>
                <w:sz w:val="18"/>
                <w:szCs w:val="18"/>
              </w:rPr>
            </w:pPr>
            <w:r>
              <w:rPr>
                <w:rFonts w:ascii="宋体" w:hAnsi="宋体" w:cs="宋体" w:eastAsia="宋体" w:hint="default"/>
                <w:sz w:val="18"/>
                <w:szCs w:val="18"/>
              </w:rPr>
              <w:t>本年度实 现的效益</w:t>
            </w:r>
          </w:p>
        </w:tc>
        <w:tc>
          <w:tcPr>
            <w:tcW w:w="662" w:type="dxa"/>
            <w:vMerge/>
            <w:tcBorders>
              <w:left w:val="single" w:sz="4" w:space="0" w:color="000000"/>
              <w:right w:val="single" w:sz="4" w:space="0" w:color="000000"/>
            </w:tcBorders>
            <w:shd w:val="clear" w:color="auto" w:fill="DCDCDC"/>
          </w:tcPr>
          <w:p>
            <w:pPr/>
          </w:p>
        </w:tc>
        <w:tc>
          <w:tcPr>
            <w:tcW w:w="847" w:type="dxa"/>
            <w:vMerge/>
            <w:tcBorders>
              <w:left w:val="single" w:sz="4" w:space="0" w:color="000000"/>
              <w:right w:val="single" w:sz="4" w:space="0" w:color="000000"/>
            </w:tcBorders>
            <w:shd w:val="clear" w:color="auto" w:fill="DCDCDC"/>
          </w:tcPr>
          <w:p>
            <w:pPr/>
          </w:p>
        </w:tc>
      </w:tr>
      <w:tr>
        <w:trPr>
          <w:trHeight w:val="117" w:hRule="exact"/>
        </w:trPr>
        <w:tc>
          <w:tcPr>
            <w:tcW w:w="1808" w:type="dxa"/>
            <w:vMerge w:val="restart"/>
            <w:tcBorders>
              <w:top w:val="nil" w:sz="6" w:space="0" w:color="auto"/>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974" w:type="dxa"/>
            <w:vMerge w:val="restart"/>
            <w:tcBorders>
              <w:top w:val="nil" w:sz="6" w:space="0" w:color="auto"/>
              <w:left w:val="single" w:sz="4" w:space="0" w:color="000000"/>
              <w:right w:val="single" w:sz="4" w:space="0" w:color="000000"/>
            </w:tcBorders>
            <w:shd w:val="clear" w:color="auto" w:fill="DCDCDC"/>
          </w:tcPr>
          <w:p>
            <w:pPr/>
          </w:p>
        </w:tc>
        <w:tc>
          <w:tcPr>
            <w:tcW w:w="974" w:type="dxa"/>
            <w:vMerge w:val="restart"/>
            <w:tcBorders>
              <w:top w:val="nil" w:sz="6" w:space="0" w:color="auto"/>
              <w:left w:val="single" w:sz="4" w:space="0" w:color="000000"/>
              <w:right w:val="single" w:sz="4" w:space="0" w:color="000000"/>
            </w:tcBorders>
            <w:shd w:val="clear" w:color="auto" w:fill="DCDCDC"/>
          </w:tcPr>
          <w:p>
            <w:pPr/>
          </w:p>
        </w:tc>
        <w:tc>
          <w:tcPr>
            <w:tcW w:w="612" w:type="dxa"/>
            <w:gridSpan w:val="2"/>
            <w:vMerge/>
            <w:tcBorders>
              <w:left w:val="single" w:sz="4" w:space="0" w:color="000000"/>
              <w:right w:val="single" w:sz="4" w:space="0" w:color="000000"/>
            </w:tcBorders>
            <w:shd w:val="clear" w:color="auto" w:fill="DCDCDC"/>
          </w:tcPr>
          <w:p>
            <w:pPr/>
          </w:p>
        </w:tc>
        <w:tc>
          <w:tcPr>
            <w:tcW w:w="847" w:type="dxa"/>
            <w:vMerge/>
            <w:tcBorders>
              <w:left w:val="single" w:sz="4" w:space="0" w:color="000000"/>
              <w:right w:val="single" w:sz="4" w:space="0" w:color="000000"/>
            </w:tcBorders>
            <w:shd w:val="clear" w:color="auto" w:fill="DCDCDC"/>
          </w:tcPr>
          <w:p>
            <w:pPr/>
          </w:p>
        </w:tc>
        <w:tc>
          <w:tcPr>
            <w:tcW w:w="1141" w:type="dxa"/>
            <w:vMerge/>
            <w:tcBorders>
              <w:left w:val="single" w:sz="4" w:space="0" w:color="000000"/>
              <w:bottom w:val="nil" w:sz="6" w:space="0" w:color="auto"/>
              <w:right w:val="single" w:sz="4" w:space="0" w:color="000000"/>
            </w:tcBorders>
            <w:shd w:val="clear" w:color="auto" w:fill="DCDCDC"/>
          </w:tcPr>
          <w:p>
            <w:pPr/>
          </w:p>
        </w:tc>
        <w:tc>
          <w:tcPr>
            <w:tcW w:w="768" w:type="dxa"/>
            <w:gridSpan w:val="2"/>
            <w:vMerge w:val="restart"/>
            <w:tcBorders>
              <w:top w:val="nil" w:sz="6" w:space="0" w:color="auto"/>
              <w:left w:val="single" w:sz="4" w:space="0" w:color="000000"/>
              <w:right w:val="single" w:sz="4" w:space="0" w:color="000000"/>
            </w:tcBorders>
            <w:shd w:val="clear" w:color="auto" w:fill="DCDCDC"/>
          </w:tcPr>
          <w:p>
            <w:pPr/>
          </w:p>
        </w:tc>
        <w:tc>
          <w:tcPr>
            <w:tcW w:w="662" w:type="dxa"/>
            <w:vMerge/>
            <w:tcBorders>
              <w:left w:val="single" w:sz="4" w:space="0" w:color="000000"/>
              <w:bottom w:val="nil" w:sz="6" w:space="0" w:color="auto"/>
              <w:right w:val="single" w:sz="4" w:space="0" w:color="000000"/>
            </w:tcBorders>
            <w:shd w:val="clear" w:color="auto" w:fill="DCDCDC"/>
          </w:tcPr>
          <w:p>
            <w:pPr/>
          </w:p>
        </w:tc>
        <w:tc>
          <w:tcPr>
            <w:tcW w:w="847" w:type="dxa"/>
            <w:vMerge/>
            <w:tcBorders>
              <w:left w:val="single" w:sz="4" w:space="0" w:color="000000"/>
              <w:right w:val="single" w:sz="4" w:space="0" w:color="000000"/>
            </w:tcBorders>
            <w:shd w:val="clear" w:color="auto" w:fill="DCDCDC"/>
          </w:tcPr>
          <w:p>
            <w:pPr/>
          </w:p>
        </w:tc>
      </w:tr>
      <w:tr>
        <w:trPr>
          <w:trHeight w:val="109" w:hRule="exact"/>
        </w:trPr>
        <w:tc>
          <w:tcPr>
            <w:tcW w:w="1808" w:type="dxa"/>
            <w:vMerge/>
            <w:tcBorders>
              <w:left w:val="single" w:sz="4" w:space="0" w:color="000000"/>
              <w:right w:val="single" w:sz="4" w:space="0" w:color="000000"/>
            </w:tcBorders>
            <w:shd w:val="clear" w:color="auto" w:fill="DCDCDC"/>
          </w:tcPr>
          <w:p>
            <w:pPr/>
          </w:p>
        </w:tc>
        <w:tc>
          <w:tcPr>
            <w:tcW w:w="559" w:type="dxa"/>
            <w:vMerge/>
            <w:tcBorders>
              <w:left w:val="single" w:sz="4" w:space="0" w:color="000000"/>
              <w:right w:val="single" w:sz="4" w:space="0" w:color="000000"/>
            </w:tcBorders>
            <w:shd w:val="clear" w:color="auto" w:fill="DCDCDC"/>
          </w:tcPr>
          <w:p>
            <w:pPr/>
          </w:p>
        </w:tc>
        <w:tc>
          <w:tcPr>
            <w:tcW w:w="625" w:type="dxa"/>
            <w:vMerge/>
            <w:tcBorders>
              <w:left w:val="single" w:sz="4" w:space="0" w:color="000000"/>
              <w:bottom w:val="nil" w:sz="6" w:space="0" w:color="auto"/>
              <w:right w:val="single" w:sz="4" w:space="0" w:color="000000"/>
            </w:tcBorders>
            <w:shd w:val="clear" w:color="auto" w:fill="DCDCDC"/>
          </w:tcPr>
          <w:p>
            <w:pPr/>
          </w:p>
        </w:tc>
        <w:tc>
          <w:tcPr>
            <w:tcW w:w="974" w:type="dxa"/>
            <w:vMerge/>
            <w:tcBorders>
              <w:left w:val="single" w:sz="4" w:space="0" w:color="000000"/>
              <w:right w:val="single" w:sz="4" w:space="0" w:color="000000"/>
            </w:tcBorders>
            <w:shd w:val="clear" w:color="auto" w:fill="DCDCDC"/>
          </w:tcPr>
          <w:p>
            <w:pPr/>
          </w:p>
        </w:tc>
        <w:tc>
          <w:tcPr>
            <w:tcW w:w="974" w:type="dxa"/>
            <w:vMerge/>
            <w:tcBorders>
              <w:left w:val="single" w:sz="4" w:space="0" w:color="000000"/>
              <w:right w:val="single" w:sz="4" w:space="0" w:color="000000"/>
            </w:tcBorders>
            <w:shd w:val="clear" w:color="auto" w:fill="DCDCDC"/>
          </w:tcPr>
          <w:p>
            <w:pPr/>
          </w:p>
        </w:tc>
        <w:tc>
          <w:tcPr>
            <w:tcW w:w="612" w:type="dxa"/>
            <w:gridSpan w:val="2"/>
            <w:vMerge/>
            <w:tcBorders>
              <w:left w:val="single" w:sz="4" w:space="0" w:color="000000"/>
              <w:bottom w:val="nil" w:sz="6" w:space="0" w:color="auto"/>
              <w:right w:val="single" w:sz="4" w:space="0" w:color="000000"/>
            </w:tcBorders>
            <w:shd w:val="clear" w:color="auto" w:fill="DCDCDC"/>
          </w:tcPr>
          <w:p>
            <w:pPr/>
          </w:p>
        </w:tc>
        <w:tc>
          <w:tcPr>
            <w:tcW w:w="847" w:type="dxa"/>
            <w:vMerge/>
            <w:tcBorders>
              <w:left w:val="single" w:sz="4" w:space="0" w:color="000000"/>
              <w:bottom w:val="nil" w:sz="6" w:space="0" w:color="auto"/>
              <w:right w:val="single" w:sz="4" w:space="0" w:color="000000"/>
            </w:tcBorders>
            <w:shd w:val="clear" w:color="auto" w:fill="DCDCDC"/>
          </w:tcPr>
          <w:p>
            <w:pPr/>
          </w:p>
        </w:tc>
        <w:tc>
          <w:tcPr>
            <w:tcW w:w="1141" w:type="dxa"/>
            <w:vMerge w:val="restart"/>
            <w:tcBorders>
              <w:top w:val="nil" w:sz="6" w:space="0" w:color="auto"/>
              <w:left w:val="single" w:sz="4" w:space="0" w:color="000000"/>
              <w:right w:val="single" w:sz="4" w:space="0" w:color="000000"/>
            </w:tcBorders>
            <w:shd w:val="clear" w:color="auto" w:fill="DCDCDC"/>
          </w:tcPr>
          <w:p>
            <w:pPr/>
          </w:p>
        </w:tc>
        <w:tc>
          <w:tcPr>
            <w:tcW w:w="768" w:type="dxa"/>
            <w:gridSpan w:val="2"/>
            <w:vMerge/>
            <w:tcBorders>
              <w:left w:val="single" w:sz="4" w:space="0" w:color="000000"/>
              <w:right w:val="single" w:sz="4" w:space="0" w:color="000000"/>
            </w:tcBorders>
            <w:shd w:val="clear" w:color="auto" w:fill="DCDCDC"/>
          </w:tcPr>
          <w:p>
            <w:pPr/>
          </w:p>
        </w:tc>
        <w:tc>
          <w:tcPr>
            <w:tcW w:w="662" w:type="dxa"/>
            <w:vMerge w:val="restart"/>
            <w:tcBorders>
              <w:top w:val="nil" w:sz="6" w:space="0" w:color="auto"/>
              <w:left w:val="single" w:sz="4" w:space="0" w:color="000000"/>
              <w:right w:val="single" w:sz="4" w:space="0" w:color="000000"/>
            </w:tcBorders>
            <w:shd w:val="clear" w:color="auto" w:fill="DCDCDC"/>
          </w:tcPr>
          <w:p>
            <w:pPr/>
          </w:p>
        </w:tc>
        <w:tc>
          <w:tcPr>
            <w:tcW w:w="847" w:type="dxa"/>
            <w:vMerge/>
            <w:tcBorders>
              <w:left w:val="single" w:sz="4" w:space="0" w:color="000000"/>
              <w:bottom w:val="nil" w:sz="6" w:space="0" w:color="auto"/>
              <w:right w:val="single" w:sz="4" w:space="0" w:color="000000"/>
            </w:tcBorders>
            <w:shd w:val="clear" w:color="auto" w:fill="DCDCDC"/>
          </w:tcPr>
          <w:p>
            <w:pPr/>
          </w:p>
        </w:tc>
      </w:tr>
      <w:tr>
        <w:trPr>
          <w:trHeight w:val="242" w:hRule="exact"/>
        </w:trPr>
        <w:tc>
          <w:tcPr>
            <w:tcW w:w="1808" w:type="dxa"/>
            <w:vMerge/>
            <w:tcBorders>
              <w:left w:val="single" w:sz="4" w:space="0" w:color="000000"/>
              <w:bottom w:val="single" w:sz="4" w:space="0" w:color="000000"/>
              <w:right w:val="single" w:sz="4" w:space="0" w:color="000000"/>
            </w:tcBorders>
            <w:shd w:val="clear" w:color="auto" w:fill="DCDCDC"/>
          </w:tcPr>
          <w:p>
            <w:pPr/>
          </w:p>
        </w:tc>
        <w:tc>
          <w:tcPr>
            <w:tcW w:w="559" w:type="dxa"/>
            <w:vMerge/>
            <w:tcBorders>
              <w:left w:val="single" w:sz="4" w:space="0" w:color="000000"/>
              <w:bottom w:val="single" w:sz="4" w:space="0" w:color="000000"/>
              <w:right w:val="single" w:sz="4" w:space="0" w:color="000000"/>
            </w:tcBorders>
            <w:shd w:val="clear" w:color="auto" w:fill="DCDCDC"/>
          </w:tcPr>
          <w:p>
            <w:pPr/>
          </w:p>
        </w:tc>
        <w:tc>
          <w:tcPr>
            <w:tcW w:w="625" w:type="dxa"/>
            <w:tcBorders>
              <w:top w:val="nil" w:sz="6" w:space="0" w:color="auto"/>
              <w:left w:val="single" w:sz="4" w:space="0" w:color="000000"/>
              <w:bottom w:val="single" w:sz="4" w:space="0" w:color="000000"/>
              <w:right w:val="single" w:sz="4" w:space="0" w:color="000000"/>
            </w:tcBorders>
            <w:shd w:val="clear" w:color="auto" w:fill="DCDCDC"/>
          </w:tcPr>
          <w:p>
            <w:pPr/>
          </w:p>
        </w:tc>
        <w:tc>
          <w:tcPr>
            <w:tcW w:w="974" w:type="dxa"/>
            <w:vMerge/>
            <w:tcBorders>
              <w:left w:val="single" w:sz="4" w:space="0" w:color="000000"/>
              <w:bottom w:val="single" w:sz="4" w:space="0" w:color="000000"/>
              <w:right w:val="single" w:sz="4" w:space="0" w:color="000000"/>
            </w:tcBorders>
            <w:shd w:val="clear" w:color="auto" w:fill="DCDCDC"/>
          </w:tcPr>
          <w:p>
            <w:pPr/>
          </w:p>
        </w:tc>
        <w:tc>
          <w:tcPr>
            <w:tcW w:w="974" w:type="dxa"/>
            <w:vMerge/>
            <w:tcBorders>
              <w:left w:val="single" w:sz="4" w:space="0" w:color="000000"/>
              <w:bottom w:val="single" w:sz="4" w:space="0" w:color="000000"/>
              <w:right w:val="single" w:sz="4" w:space="0" w:color="000000"/>
            </w:tcBorders>
            <w:shd w:val="clear" w:color="auto" w:fill="DCDCDC"/>
          </w:tcPr>
          <w:p>
            <w:pPr/>
          </w:p>
        </w:tc>
        <w:tc>
          <w:tcPr>
            <w:tcW w:w="612"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84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1" w:type="dxa"/>
            <w:vMerge/>
            <w:tcBorders>
              <w:left w:val="single" w:sz="4" w:space="0" w:color="000000"/>
              <w:bottom w:val="single" w:sz="4" w:space="0" w:color="000000"/>
              <w:right w:val="single" w:sz="4" w:space="0" w:color="000000"/>
            </w:tcBorders>
            <w:shd w:val="clear" w:color="auto" w:fill="DCDCDC"/>
          </w:tcPr>
          <w:p>
            <w:pPr/>
          </w:p>
        </w:tc>
        <w:tc>
          <w:tcPr>
            <w:tcW w:w="768" w:type="dxa"/>
            <w:gridSpan w:val="2"/>
            <w:vMerge/>
            <w:tcBorders>
              <w:left w:val="single" w:sz="4" w:space="0" w:color="000000"/>
              <w:bottom w:val="single" w:sz="4" w:space="0" w:color="000000"/>
              <w:right w:val="single" w:sz="4" w:space="0" w:color="000000"/>
            </w:tcBorders>
            <w:shd w:val="clear" w:color="auto" w:fill="DCDCDC"/>
          </w:tcPr>
          <w:p>
            <w:pPr/>
          </w:p>
        </w:tc>
        <w:tc>
          <w:tcPr>
            <w:tcW w:w="662" w:type="dxa"/>
            <w:vMerge/>
            <w:tcBorders>
              <w:left w:val="single" w:sz="4" w:space="0" w:color="000000"/>
              <w:bottom w:val="single" w:sz="4" w:space="0" w:color="000000"/>
              <w:right w:val="single" w:sz="4" w:space="0" w:color="000000"/>
            </w:tcBorders>
            <w:shd w:val="clear" w:color="auto" w:fill="DCDCDC"/>
          </w:tcPr>
          <w:p>
            <w:pPr/>
          </w:p>
        </w:tc>
        <w:tc>
          <w:tcPr>
            <w:tcW w:w="847" w:type="dxa"/>
            <w:tcBorders>
              <w:top w:val="nil" w:sz="6" w:space="0" w:color="auto"/>
              <w:left w:val="single" w:sz="4" w:space="0" w:color="000000"/>
              <w:bottom w:val="single" w:sz="4" w:space="0" w:color="000000"/>
              <w:right w:val="single" w:sz="4" w:space="0" w:color="000000"/>
            </w:tcBorders>
            <w:shd w:val="clear" w:color="auto" w:fill="DCDCDC"/>
          </w:tcPr>
          <w:p>
            <w:pPr/>
          </w:p>
        </w:tc>
      </w:tr>
    </w:tbl>
    <w:p>
      <w:pPr>
        <w:spacing w:after="0"/>
        <w:sectPr>
          <w:pgSz w:w="12240" w:h="15840"/>
          <w:pgMar w:header="0" w:footer="688" w:top="1400" w:bottom="880" w:left="1560" w:right="500"/>
        </w:sectPr>
      </w:pPr>
    </w:p>
    <w:p>
      <w:pPr>
        <w:spacing w:line="240" w:lineRule="auto" w:before="11"/>
        <w:rPr>
          <w:rFonts w:ascii="Times New Roman" w:hAnsi="Times New Roman" w:cs="Times New Roman" w:eastAsia="Times New Roman"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1820"/>
        <w:gridCol w:w="559"/>
        <w:gridCol w:w="636"/>
        <w:gridCol w:w="962"/>
        <w:gridCol w:w="962"/>
        <w:gridCol w:w="624"/>
        <w:gridCol w:w="858"/>
        <w:gridCol w:w="1117"/>
        <w:gridCol w:w="780"/>
        <w:gridCol w:w="650"/>
        <w:gridCol w:w="858"/>
      </w:tblGrid>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承诺投资项目</w:t>
            </w:r>
          </w:p>
        </w:tc>
        <w:tc>
          <w:tcPr>
            <w:tcW w:w="8008" w:type="dxa"/>
            <w:gridSpan w:val="10"/>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22" w:right="5"/>
              <w:jc w:val="left"/>
              <w:rPr>
                <w:rFonts w:ascii="宋体" w:hAnsi="宋体" w:cs="宋体" w:eastAsia="宋体" w:hint="default"/>
                <w:sz w:val="18"/>
                <w:szCs w:val="18"/>
              </w:rPr>
            </w:pPr>
            <w:r>
              <w:rPr>
                <w:rFonts w:ascii="宋体" w:hAnsi="宋体" w:cs="宋体" w:eastAsia="宋体" w:hint="default"/>
                <w:spacing w:val="16"/>
                <w:sz w:val="18"/>
                <w:szCs w:val="18"/>
              </w:rPr>
              <w:t>电子数据取证产品项</w:t>
            </w:r>
            <w:r>
              <w:rPr>
                <w:rFonts w:ascii="宋体" w:hAnsi="宋体" w:cs="宋体" w:eastAsia="宋体" w:hint="default"/>
                <w:spacing w:val="-72"/>
                <w:sz w:val="18"/>
                <w:szCs w:val="18"/>
              </w:rPr>
              <w:t> </w:t>
            </w:r>
            <w:r>
              <w:rPr>
                <w:rFonts w:ascii="宋体" w:hAnsi="宋体" w:cs="宋体" w:eastAsia="宋体" w:hint="default"/>
                <w:sz w:val="18"/>
                <w:szCs w:val="18"/>
              </w:rPr>
              <w:t>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1" w:right="0"/>
              <w:jc w:val="center"/>
              <w:rPr>
                <w:rFonts w:ascii="Times New Roman" w:hAnsi="Times New Roman" w:cs="Times New Roman" w:eastAsia="Times New Roman" w:hint="default"/>
                <w:sz w:val="18"/>
                <w:szCs w:val="18"/>
              </w:rPr>
            </w:pPr>
            <w:r>
              <w:rPr>
                <w:rFonts w:ascii="Times New Roman"/>
                <w:sz w:val="18"/>
              </w:rPr>
              <w:t>6,993.2</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9</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6,993.29</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5,183.02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0"/>
              <w:jc w:val="center"/>
              <w:rPr>
                <w:rFonts w:ascii="Times New Roman" w:hAnsi="Times New Roman" w:cs="Times New Roman" w:eastAsia="Times New Roman" w:hint="default"/>
                <w:sz w:val="18"/>
                <w:szCs w:val="18"/>
              </w:rPr>
            </w:pPr>
            <w:r>
              <w:rPr>
                <w:rFonts w:ascii="Times New Roman"/>
                <w:sz w:val="18"/>
              </w:rPr>
              <w:t>5,183.0</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2</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74.11%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4"/>
              <w:ind w:left="22" w:right="5"/>
              <w:jc w:val="left"/>
              <w:rPr>
                <w:rFonts w:ascii="宋体" w:hAnsi="宋体" w:cs="宋体" w:eastAsia="宋体" w:hint="default"/>
                <w:sz w:val="18"/>
                <w:szCs w:val="18"/>
              </w:rPr>
            </w:pPr>
            <w:r>
              <w:rPr>
                <w:rFonts w:ascii="宋体" w:hAnsi="宋体" w:cs="宋体" w:eastAsia="宋体" w:hint="default"/>
                <w:spacing w:val="16"/>
                <w:sz w:val="18"/>
                <w:szCs w:val="18"/>
              </w:rPr>
              <w:t>网络信息安全产品项</w:t>
            </w:r>
            <w:r>
              <w:rPr>
                <w:rFonts w:ascii="宋体" w:hAnsi="宋体" w:cs="宋体" w:eastAsia="宋体" w:hint="default"/>
                <w:spacing w:val="-72"/>
                <w:sz w:val="18"/>
                <w:szCs w:val="18"/>
              </w:rPr>
              <w:t> </w:t>
            </w:r>
            <w:r>
              <w:rPr>
                <w:rFonts w:ascii="宋体" w:hAnsi="宋体" w:cs="宋体" w:eastAsia="宋体" w:hint="default"/>
                <w:sz w:val="18"/>
                <w:szCs w:val="18"/>
              </w:rPr>
              <w:t>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1" w:right="0"/>
              <w:jc w:val="center"/>
              <w:rPr>
                <w:rFonts w:ascii="Times New Roman" w:hAnsi="Times New Roman" w:cs="Times New Roman" w:eastAsia="Times New Roman" w:hint="default"/>
                <w:sz w:val="18"/>
                <w:szCs w:val="18"/>
              </w:rPr>
            </w:pPr>
            <w:r>
              <w:rPr>
                <w:rFonts w:ascii="Times New Roman"/>
                <w:sz w:val="18"/>
              </w:rPr>
              <w:t>6,291.6</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2</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6,291.62</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3,685.88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0"/>
              <w:jc w:val="center"/>
              <w:rPr>
                <w:rFonts w:ascii="Times New Roman" w:hAnsi="Times New Roman" w:cs="Times New Roman" w:eastAsia="Times New Roman" w:hint="default"/>
                <w:sz w:val="18"/>
                <w:szCs w:val="18"/>
              </w:rPr>
            </w:pPr>
            <w:r>
              <w:rPr>
                <w:rFonts w:ascii="Times New Roman"/>
                <w:sz w:val="18"/>
              </w:rPr>
              <w:t>3,685.8</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8</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58.58%</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90"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1"/>
              <w:ind w:left="22" w:right="5"/>
              <w:jc w:val="both"/>
              <w:rPr>
                <w:rFonts w:ascii="宋体" w:hAnsi="宋体" w:cs="宋体" w:eastAsia="宋体" w:hint="default"/>
                <w:sz w:val="18"/>
                <w:szCs w:val="18"/>
              </w:rPr>
            </w:pPr>
            <w:r>
              <w:rPr>
                <w:rFonts w:ascii="宋体" w:hAnsi="宋体" w:cs="宋体" w:eastAsia="宋体" w:hint="default"/>
                <w:spacing w:val="16"/>
                <w:sz w:val="18"/>
                <w:szCs w:val="18"/>
              </w:rPr>
              <w:t>电子数据鉴定及互联</w:t>
            </w:r>
            <w:r>
              <w:rPr>
                <w:rFonts w:ascii="宋体" w:hAnsi="宋体" w:cs="宋体" w:eastAsia="宋体" w:hint="default"/>
                <w:spacing w:val="-72"/>
                <w:sz w:val="18"/>
                <w:szCs w:val="18"/>
              </w:rPr>
              <w:t> </w:t>
            </w:r>
            <w:r>
              <w:rPr>
                <w:rFonts w:ascii="宋体" w:hAnsi="宋体" w:cs="宋体" w:eastAsia="宋体" w:hint="default"/>
                <w:spacing w:val="16"/>
                <w:sz w:val="18"/>
                <w:szCs w:val="18"/>
              </w:rPr>
              <w:t>网数字知识产权保护</w:t>
            </w:r>
            <w:r>
              <w:rPr>
                <w:rFonts w:ascii="宋体" w:hAnsi="宋体" w:cs="宋体" w:eastAsia="宋体" w:hint="default"/>
                <w:spacing w:val="-72"/>
                <w:sz w:val="18"/>
                <w:szCs w:val="18"/>
              </w:rPr>
              <w:t> </w:t>
            </w:r>
            <w:r>
              <w:rPr>
                <w:rFonts w:ascii="宋体" w:hAnsi="宋体" w:cs="宋体" w:eastAsia="宋体" w:hint="default"/>
                <w:sz w:val="18"/>
                <w:szCs w:val="18"/>
              </w:rPr>
              <w:t>等项目</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left="1" w:right="0"/>
              <w:jc w:val="center"/>
              <w:rPr>
                <w:rFonts w:ascii="Times New Roman" w:hAnsi="Times New Roman" w:cs="Times New Roman" w:eastAsia="Times New Roman" w:hint="default"/>
                <w:sz w:val="18"/>
                <w:szCs w:val="18"/>
              </w:rPr>
            </w:pPr>
            <w:r>
              <w:rPr>
                <w:rFonts w:ascii="Times New Roman"/>
                <w:sz w:val="18"/>
              </w:rPr>
              <w:t>3,459.9</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5</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3,459.95</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1,381.54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5"/>
                <w:szCs w:val="15"/>
              </w:rPr>
            </w:pP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1,381.5</w:t>
            </w:r>
          </w:p>
          <w:p>
            <w:pPr>
              <w:pStyle w:val="TableParagraph"/>
              <w:spacing w:line="207" w:lineRule="exact"/>
              <w:ind w:right="0"/>
              <w:jc w:val="center"/>
              <w:rPr>
                <w:rFonts w:ascii="Times New Roman" w:hAnsi="Times New Roman" w:cs="Times New Roman" w:eastAsia="Times New Roman" w:hint="default"/>
                <w:sz w:val="18"/>
                <w:szCs w:val="18"/>
              </w:rPr>
            </w:pPr>
            <w:r>
              <w:rPr>
                <w:rFonts w:ascii="Times New Roman"/>
                <w:sz w:val="18"/>
              </w:rPr>
              <w:t>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39.93%</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125"/>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p>
          <w:p>
            <w:pPr>
              <w:pStyle w:val="TableParagraph"/>
              <w:spacing w:line="228"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50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承诺投资项目小计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18"/>
                <w:szCs w:val="18"/>
              </w:rPr>
            </w:pPr>
            <w:r>
              <w:rPr>
                <w:rFonts w:ascii="Times New Roman"/>
                <w:sz w:val="18"/>
              </w:rPr>
              <w:t>16,744.</w:t>
            </w: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 w:right="0"/>
              <w:jc w:val="center"/>
              <w:rPr>
                <w:rFonts w:ascii="Times New Roman" w:hAnsi="Times New Roman" w:cs="Times New Roman" w:eastAsia="Times New Roman" w:hint="default"/>
                <w:sz w:val="18"/>
                <w:szCs w:val="18"/>
              </w:rPr>
            </w:pPr>
            <w:r>
              <w:rPr>
                <w:rFonts w:ascii="Times New Roman"/>
                <w:sz w:val="18"/>
              </w:rPr>
              <w:t>16,744.86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10,250.44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10,250.</w:t>
            </w: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5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超募资金投向</w:t>
            </w:r>
          </w:p>
        </w:tc>
        <w:tc>
          <w:tcPr>
            <w:tcW w:w="8008" w:type="dxa"/>
            <w:gridSpan w:val="10"/>
            <w:tcBorders>
              <w:top w:val="single" w:sz="4" w:space="0" w:color="000000"/>
              <w:left w:val="single" w:sz="4" w:space="0" w:color="000000"/>
              <w:bottom w:val="single" w:sz="4" w:space="0" w:color="000000"/>
              <w:right w:val="single" w:sz="4" w:space="0" w:color="000000"/>
            </w:tcBorders>
          </w:tcPr>
          <w:p>
            <w:pP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13"/>
              <w:jc w:val="center"/>
              <w:rPr>
                <w:rFonts w:ascii="宋体" w:hAnsi="宋体" w:cs="宋体" w:eastAsia="宋体" w:hint="default"/>
                <w:sz w:val="18"/>
                <w:szCs w:val="18"/>
              </w:rPr>
            </w:pPr>
            <w:r>
              <w:rPr>
                <w:rFonts w:ascii="宋体" w:hAnsi="宋体" w:cs="宋体" w:eastAsia="宋体" w:hint="default"/>
                <w:sz w:val="18"/>
                <w:szCs w:val="18"/>
              </w:rPr>
              <w:t>归还银行贷款（如有）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858"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13"/>
              <w:jc w:val="center"/>
              <w:rPr>
                <w:rFonts w:ascii="宋体" w:hAnsi="宋体" w:cs="宋体" w:eastAsia="宋体" w:hint="default"/>
                <w:sz w:val="18"/>
                <w:szCs w:val="18"/>
              </w:rPr>
            </w:pPr>
            <w:r>
              <w:rPr>
                <w:rFonts w:ascii="宋体" w:hAnsi="宋体" w:cs="宋体" w:eastAsia="宋体" w:hint="default"/>
                <w:sz w:val="18"/>
                <w:szCs w:val="18"/>
              </w:rPr>
              <w:t>补充流动资金（如有）</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858" w:type="dxa"/>
            <w:tcBorders>
              <w:top w:val="single" w:sz="4" w:space="0" w:color="000000"/>
              <w:left w:val="single" w:sz="4" w:space="0" w:color="000000"/>
              <w:bottom w:val="single" w:sz="4" w:space="0" w:color="000000"/>
              <w:right w:val="single" w:sz="4" w:space="0" w:color="000000"/>
            </w:tcBorders>
          </w:tcPr>
          <w:p>
            <w:pP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23"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超募资金投向小计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962"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0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18"/>
                <w:szCs w:val="18"/>
              </w:rPr>
            </w:pPr>
            <w:r>
              <w:rPr>
                <w:rFonts w:ascii="Times New Roman"/>
                <w:sz w:val="18"/>
              </w:rPr>
              <w:t>16,744.</w:t>
            </w: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 w:right="0"/>
              <w:jc w:val="center"/>
              <w:rPr>
                <w:rFonts w:ascii="Times New Roman" w:hAnsi="Times New Roman" w:cs="Times New Roman" w:eastAsia="Times New Roman" w:hint="default"/>
                <w:sz w:val="18"/>
                <w:szCs w:val="18"/>
              </w:rPr>
            </w:pPr>
            <w:r>
              <w:rPr>
                <w:rFonts w:ascii="Times New Roman"/>
                <w:sz w:val="18"/>
              </w:rPr>
              <w:t>16,744.86</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sz w:val="18"/>
              </w:rPr>
              <w:t>10,250.44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Times New Roman" w:hAnsi="Times New Roman" w:cs="Times New Roman" w:eastAsia="Times New Roman" w:hint="default"/>
                <w:sz w:val="18"/>
                <w:szCs w:val="18"/>
              </w:rPr>
            </w:pPr>
            <w:r>
              <w:rPr>
                <w:rFonts w:ascii="Times New Roman"/>
                <w:sz w:val="18"/>
              </w:rPr>
              <w:t>10,250.</w:t>
            </w: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w:t>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52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91"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95"/>
              <w:jc w:val="center"/>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（分具体项目）</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164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left="274" w:right="23" w:hanging="252"/>
              <w:jc w:val="left"/>
              <w:rPr>
                <w:rFonts w:ascii="宋体" w:hAnsi="宋体" w:cs="宋体" w:eastAsia="宋体" w:hint="default"/>
                <w:sz w:val="18"/>
                <w:szCs w:val="18"/>
              </w:rPr>
            </w:pPr>
            <w:r>
              <w:rPr>
                <w:rFonts w:ascii="宋体" w:hAnsi="宋体" w:cs="宋体" w:eastAsia="宋体" w:hint="default"/>
                <w:spacing w:val="-4"/>
                <w:sz w:val="18"/>
                <w:szCs w:val="18"/>
              </w:rPr>
              <w:t>超募资金的金额、用途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及使用进展情况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firstLine="420"/>
              <w:jc w:val="left"/>
              <w:rPr>
                <w:rFonts w:ascii="宋体" w:hAnsi="宋体" w:cs="宋体" w:eastAsia="宋体" w:hint="default"/>
                <w:sz w:val="21"/>
                <w:szCs w:val="21"/>
              </w:rPr>
            </w:pPr>
            <w:r>
              <w:rPr>
                <w:rFonts w:ascii="宋体" w:hAnsi="宋体" w:cs="宋体" w:eastAsia="宋体" w:hint="default"/>
                <w:spacing w:val="12"/>
                <w:sz w:val="21"/>
                <w:szCs w:val="21"/>
              </w:rPr>
              <w:t>为合</w:t>
            </w:r>
            <w:r>
              <w:rPr>
                <w:rFonts w:ascii="宋体" w:hAnsi="宋体" w:cs="宋体" w:eastAsia="宋体" w:hint="default"/>
                <w:spacing w:val="10"/>
                <w:sz w:val="21"/>
                <w:szCs w:val="21"/>
              </w:rPr>
              <w:t>理</w:t>
            </w:r>
            <w:r>
              <w:rPr>
                <w:rFonts w:ascii="宋体" w:hAnsi="宋体" w:cs="宋体" w:eastAsia="宋体" w:hint="default"/>
                <w:spacing w:val="12"/>
                <w:sz w:val="21"/>
                <w:szCs w:val="21"/>
              </w:rPr>
              <w:t>利</w:t>
            </w:r>
            <w:r>
              <w:rPr>
                <w:rFonts w:ascii="宋体" w:hAnsi="宋体" w:cs="宋体" w:eastAsia="宋体" w:hint="default"/>
                <w:spacing w:val="10"/>
                <w:sz w:val="21"/>
                <w:szCs w:val="21"/>
              </w:rPr>
              <w:t>用</w:t>
            </w:r>
            <w:r>
              <w:rPr>
                <w:rFonts w:ascii="宋体" w:hAnsi="宋体" w:cs="宋体" w:eastAsia="宋体" w:hint="default"/>
                <w:spacing w:val="12"/>
                <w:sz w:val="21"/>
                <w:szCs w:val="21"/>
              </w:rPr>
              <w:t>好超</w:t>
            </w:r>
            <w:r>
              <w:rPr>
                <w:rFonts w:ascii="宋体" w:hAnsi="宋体" w:cs="宋体" w:eastAsia="宋体" w:hint="default"/>
                <w:spacing w:val="10"/>
                <w:sz w:val="21"/>
                <w:szCs w:val="21"/>
              </w:rPr>
              <w:t>募</w:t>
            </w:r>
            <w:r>
              <w:rPr>
                <w:rFonts w:ascii="宋体" w:hAnsi="宋体" w:cs="宋体" w:eastAsia="宋体" w:hint="default"/>
                <w:spacing w:val="12"/>
                <w:sz w:val="21"/>
                <w:szCs w:val="21"/>
              </w:rPr>
              <w:t>资</w:t>
            </w:r>
            <w:r>
              <w:rPr>
                <w:rFonts w:ascii="宋体" w:hAnsi="宋体" w:cs="宋体" w:eastAsia="宋体" w:hint="default"/>
                <w:spacing w:val="10"/>
                <w:sz w:val="21"/>
                <w:szCs w:val="21"/>
              </w:rPr>
              <w:t>金</w:t>
            </w:r>
            <w:r>
              <w:rPr>
                <w:rFonts w:ascii="宋体" w:hAnsi="宋体" w:cs="宋体" w:eastAsia="宋体" w:hint="default"/>
                <w:spacing w:val="12"/>
                <w:sz w:val="21"/>
                <w:szCs w:val="21"/>
              </w:rPr>
              <w:t>，公</w:t>
            </w:r>
            <w:r>
              <w:rPr>
                <w:rFonts w:ascii="宋体" w:hAnsi="宋体" w:cs="宋体" w:eastAsia="宋体" w:hint="default"/>
                <w:spacing w:val="10"/>
                <w:sz w:val="21"/>
                <w:szCs w:val="21"/>
              </w:rPr>
              <w:t>司</w:t>
            </w:r>
            <w:r>
              <w:rPr>
                <w:rFonts w:ascii="宋体" w:hAnsi="宋体" w:cs="宋体" w:eastAsia="宋体" w:hint="default"/>
                <w:spacing w:val="12"/>
                <w:sz w:val="21"/>
                <w:szCs w:val="21"/>
              </w:rPr>
              <w:t>制</w:t>
            </w:r>
            <w:r>
              <w:rPr>
                <w:rFonts w:ascii="宋体" w:hAnsi="宋体" w:cs="宋体" w:eastAsia="宋体" w:hint="default"/>
                <w:spacing w:val="10"/>
                <w:sz w:val="21"/>
                <w:szCs w:val="21"/>
              </w:rPr>
              <w:t>定</w:t>
            </w:r>
            <w:r>
              <w:rPr>
                <w:rFonts w:ascii="宋体" w:hAnsi="宋体" w:cs="宋体" w:eastAsia="宋体" w:hint="default"/>
                <w:spacing w:val="12"/>
                <w:sz w:val="21"/>
                <w:szCs w:val="21"/>
              </w:rPr>
              <w:t>了超</w:t>
            </w:r>
            <w:r>
              <w:rPr>
                <w:rFonts w:ascii="宋体" w:hAnsi="宋体" w:cs="宋体" w:eastAsia="宋体" w:hint="default"/>
                <w:spacing w:val="10"/>
                <w:sz w:val="21"/>
                <w:szCs w:val="21"/>
              </w:rPr>
              <w:t>募</w:t>
            </w:r>
            <w:r>
              <w:rPr>
                <w:rFonts w:ascii="宋体" w:hAnsi="宋体" w:cs="宋体" w:eastAsia="宋体" w:hint="default"/>
                <w:spacing w:val="12"/>
                <w:sz w:val="21"/>
                <w:szCs w:val="21"/>
              </w:rPr>
              <w:t>资</w:t>
            </w:r>
            <w:r>
              <w:rPr>
                <w:rFonts w:ascii="宋体" w:hAnsi="宋体" w:cs="宋体" w:eastAsia="宋体" w:hint="default"/>
                <w:spacing w:val="10"/>
                <w:sz w:val="21"/>
                <w:szCs w:val="21"/>
              </w:rPr>
              <w:t>金</w:t>
            </w:r>
            <w:r>
              <w:rPr>
                <w:rFonts w:ascii="宋体" w:hAnsi="宋体" w:cs="宋体" w:eastAsia="宋体" w:hint="default"/>
                <w:spacing w:val="12"/>
                <w:sz w:val="21"/>
                <w:szCs w:val="21"/>
              </w:rPr>
              <w:t>使用</w:t>
            </w:r>
            <w:r>
              <w:rPr>
                <w:rFonts w:ascii="宋体" w:hAnsi="宋体" w:cs="宋体" w:eastAsia="宋体" w:hint="default"/>
                <w:spacing w:val="10"/>
                <w:sz w:val="21"/>
                <w:szCs w:val="21"/>
              </w:rPr>
              <w:t>计</w:t>
            </w:r>
            <w:r>
              <w:rPr>
                <w:rFonts w:ascii="宋体" w:hAnsi="宋体" w:cs="宋体" w:eastAsia="宋体" w:hint="default"/>
                <w:spacing w:val="12"/>
                <w:sz w:val="21"/>
                <w:szCs w:val="21"/>
              </w:rPr>
              <w:t>划</w:t>
            </w:r>
            <w:r>
              <w:rPr>
                <w:rFonts w:ascii="宋体" w:hAnsi="宋体" w:cs="宋体" w:eastAsia="宋体" w:hint="default"/>
                <w:spacing w:val="-93"/>
                <w:sz w:val="21"/>
                <w:szCs w:val="21"/>
              </w:rPr>
              <w:t>：</w:t>
            </w:r>
            <w:r>
              <w:rPr>
                <w:rFonts w:ascii="宋体" w:hAnsi="宋体" w:cs="宋体" w:eastAsia="宋体" w:hint="default"/>
                <w:spacing w:val="10"/>
                <w:sz w:val="21"/>
                <w:szCs w:val="21"/>
              </w:rPr>
              <w:t>（</w:t>
            </w:r>
            <w:r>
              <w:rPr>
                <w:rFonts w:ascii="Times New Roman" w:hAnsi="Times New Roman" w:cs="Times New Roman" w:eastAsia="Times New Roman" w:hint="default"/>
                <w:spacing w:val="12"/>
                <w:sz w:val="21"/>
                <w:szCs w:val="21"/>
              </w:rPr>
              <w:t>1</w:t>
            </w:r>
            <w:r>
              <w:rPr>
                <w:rFonts w:ascii="宋体" w:hAnsi="宋体" w:cs="宋体" w:eastAsia="宋体" w:hint="default"/>
                <w:spacing w:val="10"/>
                <w:sz w:val="21"/>
                <w:szCs w:val="21"/>
              </w:rPr>
              <w:t>）</w:t>
            </w:r>
            <w:r>
              <w:rPr>
                <w:rFonts w:ascii="宋体" w:hAnsi="宋体" w:cs="宋体" w:eastAsia="宋体" w:hint="default"/>
                <w:spacing w:val="12"/>
                <w:sz w:val="21"/>
                <w:szCs w:val="21"/>
              </w:rPr>
              <w:t>拟用</w:t>
            </w:r>
            <w:r>
              <w:rPr>
                <w:rFonts w:ascii="宋体" w:hAnsi="宋体" w:cs="宋体" w:eastAsia="宋体" w:hint="default"/>
                <w:spacing w:val="10"/>
                <w:sz w:val="21"/>
                <w:szCs w:val="21"/>
              </w:rPr>
              <w:t>超募</w:t>
            </w:r>
            <w:r>
              <w:rPr>
                <w:rFonts w:ascii="宋体" w:hAnsi="宋体" w:cs="宋体" w:eastAsia="宋体" w:hint="default"/>
                <w:spacing w:val="12"/>
                <w:sz w:val="21"/>
                <w:szCs w:val="21"/>
              </w:rPr>
              <w:t>集资金</w:t>
            </w:r>
            <w:r>
              <w:rPr>
                <w:rFonts w:ascii="宋体" w:hAnsi="宋体" w:cs="宋体" w:eastAsia="宋体" w:hint="default"/>
                <w:sz w:val="21"/>
                <w:szCs w:val="21"/>
              </w:rPr>
            </w:r>
          </w:p>
          <w:p>
            <w:pPr>
              <w:pStyle w:val="TableParagraph"/>
              <w:spacing w:line="272" w:lineRule="exact" w:before="18"/>
              <w:ind w:left="22" w:right="-5"/>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3,012.49</w:t>
            </w:r>
            <w:r>
              <w:rPr>
                <w:rFonts w:ascii="Times New Roman" w:hAnsi="Times New Roman" w:cs="Times New Roman" w:eastAsia="Times New Roman" w:hint="default"/>
                <w:spacing w:val="9"/>
                <w:sz w:val="21"/>
                <w:szCs w:val="21"/>
              </w:rPr>
              <w:t> </w:t>
            </w:r>
            <w:r>
              <w:rPr>
                <w:rFonts w:ascii="宋体" w:hAnsi="宋体" w:cs="宋体" w:eastAsia="宋体" w:hint="default"/>
                <w:spacing w:val="-12"/>
                <w:sz w:val="21"/>
                <w:szCs w:val="21"/>
              </w:rPr>
              <w:t>万元追加投资建设超算中心（云计算）；（</w:t>
            </w:r>
            <w:r>
              <w:rPr>
                <w:rFonts w:ascii="Times New Roman" w:hAnsi="Times New Roman" w:cs="Times New Roman" w:eastAsia="Times New Roman" w:hint="default"/>
                <w:spacing w:val="-12"/>
                <w:sz w:val="21"/>
                <w:szCs w:val="21"/>
              </w:rPr>
              <w:t>2</w:t>
            </w:r>
            <w:r>
              <w:rPr>
                <w:rFonts w:ascii="宋体" w:hAnsi="宋体" w:cs="宋体" w:eastAsia="宋体" w:hint="default"/>
                <w:spacing w:val="-12"/>
                <w:sz w:val="21"/>
                <w:szCs w:val="21"/>
              </w:rPr>
              <w:t>）拟用超募资金</w:t>
            </w:r>
            <w:r>
              <w:rPr>
                <w:rFonts w:ascii="宋体" w:hAnsi="宋体" w:cs="宋体" w:eastAsia="宋体" w:hint="default"/>
                <w:spacing w:val="-45"/>
                <w:sz w:val="21"/>
                <w:szCs w:val="21"/>
              </w:rPr>
              <w:t> </w:t>
            </w:r>
            <w:r>
              <w:rPr>
                <w:rFonts w:ascii="Times New Roman" w:hAnsi="Times New Roman" w:cs="Times New Roman" w:eastAsia="Times New Roman" w:hint="default"/>
                <w:spacing w:val="-1"/>
                <w:sz w:val="21"/>
                <w:szCs w:val="21"/>
              </w:rPr>
              <w:t>1,363.15</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万元投资建</w:t>
            </w:r>
            <w:r>
              <w:rPr>
                <w:rFonts w:ascii="宋体" w:hAnsi="宋体" w:cs="宋体" w:eastAsia="宋体" w:hint="default"/>
                <w:spacing w:val="-97"/>
                <w:sz w:val="21"/>
                <w:szCs w:val="21"/>
              </w:rPr>
              <w:t> </w:t>
            </w:r>
            <w:r>
              <w:rPr>
                <w:rFonts w:ascii="宋体" w:hAnsi="宋体" w:cs="宋体" w:eastAsia="宋体" w:hint="default"/>
                <w:spacing w:val="-1"/>
                <w:sz w:val="21"/>
                <w:szCs w:val="21"/>
              </w:rPr>
              <w:t>设电子数据公证云项目，目前两个项目已经通过董事会审议，并开始实施。公司剩余超</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7"/>
                <w:sz w:val="21"/>
                <w:szCs w:val="21"/>
              </w:rPr>
              <w:t>募资金将主要用于以下几方面：（</w:t>
            </w:r>
            <w:r>
              <w:rPr>
                <w:rFonts w:ascii="Times New Roman" w:hAnsi="Times New Roman" w:cs="Times New Roman" w:eastAsia="Times New Roman" w:hint="default"/>
                <w:spacing w:val="-7"/>
                <w:sz w:val="21"/>
                <w:szCs w:val="21"/>
              </w:rPr>
              <w:t>1</w:t>
            </w:r>
            <w:r>
              <w:rPr>
                <w:rFonts w:ascii="宋体" w:hAnsi="宋体" w:cs="宋体" w:eastAsia="宋体" w:hint="default"/>
                <w:spacing w:val="-7"/>
                <w:sz w:val="21"/>
                <w:szCs w:val="21"/>
              </w:rPr>
              <w:t>）购置研发生产办公用房；（</w:t>
            </w:r>
            <w:r>
              <w:rPr>
                <w:rFonts w:ascii="Times New Roman" w:hAnsi="Times New Roman" w:cs="Times New Roman" w:eastAsia="Times New Roman" w:hint="default"/>
                <w:spacing w:val="-7"/>
                <w:sz w:val="21"/>
                <w:szCs w:val="21"/>
              </w:rPr>
              <w:t>2</w:t>
            </w:r>
            <w:r>
              <w:rPr>
                <w:rFonts w:ascii="宋体" w:hAnsi="宋体" w:cs="宋体" w:eastAsia="宋体" w:hint="default"/>
                <w:spacing w:val="-7"/>
                <w:sz w:val="21"/>
                <w:szCs w:val="21"/>
              </w:rPr>
              <w:t>）增加在电子数据取证</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pacing w:val="-4"/>
                <w:sz w:val="21"/>
                <w:szCs w:val="21"/>
              </w:rPr>
              <w:t>和网络信息安全产品研发销售方面的投入；（</w:t>
            </w:r>
            <w:r>
              <w:rPr>
                <w:rFonts w:ascii="Times New Roman" w:hAnsi="Times New Roman" w:cs="Times New Roman" w:eastAsia="Times New Roman" w:hint="default"/>
                <w:spacing w:val="-4"/>
                <w:sz w:val="21"/>
                <w:szCs w:val="21"/>
              </w:rPr>
              <w:t>3</w:t>
            </w:r>
            <w:r>
              <w:rPr>
                <w:rFonts w:ascii="宋体" w:hAnsi="宋体" w:cs="宋体" w:eastAsia="宋体" w:hint="default"/>
                <w:spacing w:val="-4"/>
                <w:sz w:val="21"/>
                <w:szCs w:val="21"/>
              </w:rPr>
              <w:t>）根据公司战略发展目标，适度并购有利</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3"/>
                <w:sz w:val="21"/>
                <w:szCs w:val="21"/>
              </w:rPr>
              <w:t>于提升公司综合研发能力和开拓新市场的同行或上下游企业；（</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）补充公司流动资金。</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02"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84" w:right="95" w:hanging="90"/>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firstLine="420"/>
              <w:jc w:val="left"/>
              <w:rPr>
                <w:rFonts w:ascii="宋体" w:hAnsi="宋体" w:cs="宋体" w:eastAsia="宋体" w:hint="default"/>
                <w:sz w:val="21"/>
                <w:szCs w:val="21"/>
              </w:rPr>
            </w:pPr>
            <w:r>
              <w:rPr>
                <w:rFonts w:ascii="宋体" w:hAnsi="宋体" w:cs="宋体" w:eastAsia="宋体" w:hint="default"/>
                <w:spacing w:val="-1"/>
                <w:sz w:val="21"/>
                <w:szCs w:val="21"/>
              </w:rPr>
              <w:t>在首次公开发行股票募集资金到位之前，为保障募集资金投资项目的顺利进行，公</w:t>
            </w:r>
          </w:p>
          <w:p>
            <w:pPr>
              <w:pStyle w:val="TableParagraph"/>
              <w:spacing w:line="280" w:lineRule="exact"/>
              <w:ind w:left="22" w:right="0"/>
              <w:jc w:val="left"/>
              <w:rPr>
                <w:rFonts w:ascii="宋体" w:hAnsi="宋体" w:cs="宋体" w:eastAsia="宋体" w:hint="default"/>
                <w:sz w:val="21"/>
                <w:szCs w:val="21"/>
              </w:rPr>
            </w:pPr>
            <w:r>
              <w:rPr>
                <w:rFonts w:ascii="宋体" w:hAnsi="宋体" w:cs="宋体" w:eastAsia="宋体" w:hint="default"/>
                <w:sz w:val="21"/>
                <w:szCs w:val="21"/>
              </w:rPr>
              <w:t>司已使用自筹资金投入部分募集资金投资项目的前期建设。截至</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w:t>
            </w:r>
          </w:p>
          <w:p>
            <w:pPr>
              <w:pStyle w:val="TableParagraph"/>
              <w:spacing w:line="272"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公司以自筹资金预先投入募投项目累计金额为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64,759,485.59</w:t>
            </w:r>
            <w:r>
              <w:rPr>
                <w:rFonts w:ascii="Times New Roman" w:hAnsi="Times New Roman" w:cs="Times New Roman" w:eastAsia="Times New Roman" w:hint="default"/>
                <w:spacing w:val="-3"/>
                <w:sz w:val="21"/>
                <w:szCs w:val="21"/>
              </w:rPr>
              <w:t> </w:t>
            </w:r>
            <w:r>
              <w:rPr>
                <w:rFonts w:ascii="宋体" w:hAnsi="宋体" w:cs="宋体" w:eastAsia="宋体" w:hint="default"/>
                <w:spacing w:val="-7"/>
                <w:sz w:val="21"/>
                <w:szCs w:val="21"/>
              </w:rPr>
              <w:t>元，其中向中国工商银行股</w:t>
            </w:r>
          </w:p>
          <w:p>
            <w:pPr>
              <w:pStyle w:val="TableParagraph"/>
              <w:spacing w:line="272" w:lineRule="exact" w:before="18"/>
              <w:ind w:left="443" w:right="21" w:hanging="422"/>
              <w:jc w:val="left"/>
              <w:rPr>
                <w:rFonts w:ascii="宋体" w:hAnsi="宋体" w:cs="宋体" w:eastAsia="宋体" w:hint="default"/>
                <w:sz w:val="21"/>
                <w:szCs w:val="21"/>
              </w:rPr>
            </w:pPr>
            <w:r>
              <w:rPr>
                <w:rFonts w:ascii="宋体" w:hAnsi="宋体" w:cs="宋体" w:eastAsia="宋体" w:hint="default"/>
                <w:sz w:val="21"/>
                <w:szCs w:val="21"/>
              </w:rPr>
              <w:t>份有限公司厦门东区支行借款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761.00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万元，其余为公司自有资金。 </w:t>
            </w:r>
            <w:r>
              <w:rPr>
                <w:rFonts w:ascii="宋体" w:hAnsi="宋体" w:cs="宋体" w:eastAsia="宋体" w:hint="default"/>
                <w:spacing w:val="-7"/>
                <w:sz w:val="21"/>
                <w:szCs w:val="21"/>
              </w:rPr>
              <w:t>为提高资金利用率，降低财务成本，公司第一届董事会第十二次会议审议通过了《关</w:t>
            </w:r>
          </w:p>
          <w:p>
            <w:pPr>
              <w:pStyle w:val="TableParagraph"/>
              <w:spacing w:line="272" w:lineRule="exact"/>
              <w:ind w:left="22" w:right="22"/>
              <w:jc w:val="left"/>
              <w:rPr>
                <w:rFonts w:ascii="宋体" w:hAnsi="宋体" w:cs="宋体" w:eastAsia="宋体" w:hint="default"/>
                <w:sz w:val="21"/>
                <w:szCs w:val="21"/>
              </w:rPr>
            </w:pPr>
            <w:r>
              <w:rPr>
                <w:rFonts w:ascii="宋体" w:hAnsi="宋体" w:cs="宋体" w:eastAsia="宋体" w:hint="default"/>
                <w:spacing w:val="-1"/>
                <w:sz w:val="21"/>
                <w:szCs w:val="21"/>
              </w:rPr>
              <w:t>于使用募集资金置换公司预先已投入募集资金投资项目的自筹资金》的议案，拟置换人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民币</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64,759,485.59</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元。天健正信会计师事务所有限公司对公司前期以自筹资金投入募集</w:t>
            </w:r>
          </w:p>
          <w:p>
            <w:pPr>
              <w:pStyle w:val="TableParagraph"/>
              <w:spacing w:line="254" w:lineRule="exact"/>
              <w:ind w:left="21" w:right="0"/>
              <w:jc w:val="left"/>
              <w:rPr>
                <w:rFonts w:ascii="宋体" w:hAnsi="宋体" w:cs="宋体" w:eastAsia="宋体" w:hint="default"/>
                <w:sz w:val="21"/>
                <w:szCs w:val="21"/>
              </w:rPr>
            </w:pPr>
            <w:r>
              <w:rPr>
                <w:rFonts w:ascii="宋体" w:hAnsi="宋体" w:cs="宋体" w:eastAsia="宋体" w:hint="default"/>
                <w:sz w:val="21"/>
                <w:szCs w:val="21"/>
              </w:rPr>
              <w:t>资金投资项目的情况进行了专项审核，并出具了天健正信审（</w:t>
            </w:r>
            <w:r>
              <w:rPr>
                <w:rFonts w:ascii="Times New Roman" w:hAnsi="Times New Roman" w:cs="Times New Roman" w:eastAsia="Times New Roman" w:hint="default"/>
                <w:sz w:val="21"/>
                <w:szCs w:val="21"/>
              </w:rPr>
              <w:t>2011</w:t>
            </w:r>
            <w:r>
              <w:rPr>
                <w:rFonts w:ascii="宋体" w:hAnsi="宋体" w:cs="宋体" w:eastAsia="宋体" w:hint="default"/>
                <w:sz w:val="21"/>
                <w:szCs w:val="21"/>
              </w:rPr>
              <w:t>）专字第</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020621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w:t>
            </w:r>
          </w:p>
          <w:p>
            <w:pPr>
              <w:pStyle w:val="TableParagraph"/>
              <w:spacing w:line="272" w:lineRule="exact" w:before="18"/>
              <w:ind w:left="21" w:right="21"/>
              <w:jc w:val="left"/>
              <w:rPr>
                <w:rFonts w:ascii="宋体" w:hAnsi="宋体" w:cs="宋体" w:eastAsia="宋体" w:hint="default"/>
                <w:sz w:val="21"/>
                <w:szCs w:val="21"/>
              </w:rPr>
            </w:pPr>
            <w:r>
              <w:rPr>
                <w:rFonts w:ascii="宋体" w:hAnsi="宋体" w:cs="宋体" w:eastAsia="宋体" w:hint="default"/>
                <w:spacing w:val="-3"/>
                <w:sz w:val="21"/>
                <w:szCs w:val="21"/>
              </w:rPr>
              <w:t>《关于厦门市美亚柏科信息股份有限公司以自筹资金预先投入募投项目的鉴证报告》。</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监事会和独立董事发表了同意意见，履行了必要的审批程序。保荐机构国信证券股份有</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限公司进行了核查，对公司本次以募集资金置换预先已投入募集资金投资项目的自筹资</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金事项发表无异议核查意见。</w:t>
            </w:r>
          </w:p>
          <w:p>
            <w:pPr>
              <w:pStyle w:val="TableParagraph"/>
              <w:spacing w:line="272" w:lineRule="exact" w:before="41"/>
              <w:ind w:left="21" w:right="21" w:firstLine="421"/>
              <w:jc w:val="left"/>
              <w:rPr>
                <w:rFonts w:ascii="宋体" w:hAnsi="宋体" w:cs="宋体" w:eastAsia="宋体" w:hint="default"/>
                <w:sz w:val="21"/>
                <w:szCs w:val="21"/>
              </w:rPr>
            </w:pPr>
            <w:r>
              <w:rPr>
                <w:rFonts w:ascii="宋体" w:hAnsi="宋体" w:cs="宋体" w:eastAsia="宋体" w:hint="default"/>
                <w:spacing w:val="4"/>
                <w:sz w:val="21"/>
                <w:szCs w:val="21"/>
              </w:rPr>
              <w:t>以上事项公司已于</w:t>
            </w:r>
            <w:r>
              <w:rPr>
                <w:rFonts w:ascii="Times New Roman" w:hAnsi="Times New Roman" w:cs="Times New Roman" w:eastAsia="Times New Roman" w:hint="default"/>
                <w:spacing w:val="4"/>
                <w:sz w:val="21"/>
                <w:szCs w:val="21"/>
              </w:rPr>
              <w:t>2011</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6</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24</w:t>
            </w:r>
            <w:r>
              <w:rPr>
                <w:rFonts w:ascii="宋体" w:hAnsi="宋体" w:cs="宋体" w:eastAsia="宋体" w:hint="default"/>
                <w:spacing w:val="4"/>
                <w:sz w:val="21"/>
                <w:szCs w:val="21"/>
              </w:rPr>
              <w:t>日在深圳证券交易所进行公告。截止</w:t>
            </w:r>
            <w:r>
              <w:rPr>
                <w:rFonts w:ascii="Times New Roman" w:hAnsi="Times New Roman" w:cs="Times New Roman" w:eastAsia="Times New Roman" w:hint="default"/>
                <w:spacing w:val="4"/>
                <w:sz w:val="21"/>
                <w:szCs w:val="21"/>
              </w:rPr>
              <w:t>2011</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6</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30</w:t>
            </w:r>
            <w:r>
              <w:rPr>
                <w:rFonts w:ascii="Times New Roman" w:hAnsi="Times New Roman" w:cs="Times New Roman" w:eastAsia="Times New Roman" w:hint="default"/>
                <w:sz w:val="21"/>
                <w:szCs w:val="21"/>
              </w:rPr>
              <w:t> </w:t>
            </w:r>
            <w:r>
              <w:rPr>
                <w:rFonts w:ascii="宋体" w:hAnsi="宋体" w:cs="宋体" w:eastAsia="宋体" w:hint="default"/>
                <w:sz w:val="21"/>
                <w:szCs w:val="21"/>
              </w:rPr>
              <w:t>日，公司已办理完募集资金置换手续。</w:t>
            </w:r>
          </w:p>
        </w:tc>
      </w:tr>
      <w:tr>
        <w:trPr>
          <w:trHeight w:val="28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用闲置募集资金暂时</w:t>
            </w:r>
          </w:p>
        </w:tc>
        <w:tc>
          <w:tcPr>
            <w:tcW w:w="8008"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after="0" w:line="240" w:lineRule="exact"/>
        <w:jc w:val="left"/>
        <w:rPr>
          <w:rFonts w:ascii="宋体" w:hAnsi="宋体" w:cs="宋体" w:eastAsia="宋体" w:hint="default"/>
          <w:sz w:val="21"/>
          <w:szCs w:val="21"/>
        </w:rPr>
        <w:sectPr>
          <w:pgSz w:w="12240" w:h="15840"/>
          <w:pgMar w:header="0" w:footer="688" w:top="1360" w:bottom="880" w:left="1680" w:right="500"/>
        </w:sectPr>
      </w:pPr>
    </w:p>
    <w:p>
      <w:pPr>
        <w:spacing w:line="240" w:lineRule="auto" w:before="11"/>
        <w:rPr>
          <w:rFonts w:ascii="Times New Roman" w:hAnsi="Times New Roman" w:cs="Times New Roman" w:eastAsia="Times New Roman"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1792"/>
        <w:gridCol w:w="8036"/>
      </w:tblGrid>
      <w:tr>
        <w:trPr>
          <w:trHeight w:val="283" w:hRule="exact"/>
        </w:trPr>
        <w:tc>
          <w:tcPr>
            <w:tcW w:w="17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84" w:right="0"/>
              <w:jc w:val="left"/>
              <w:rPr>
                <w:rFonts w:ascii="宋体" w:hAnsi="宋体" w:cs="宋体" w:eastAsia="宋体" w:hint="default"/>
                <w:sz w:val="18"/>
                <w:szCs w:val="18"/>
              </w:rPr>
            </w:pPr>
            <w:r>
              <w:rPr>
                <w:rFonts w:ascii="宋体" w:hAnsi="宋体" w:cs="宋体" w:eastAsia="宋体" w:hint="default"/>
                <w:sz w:val="18"/>
                <w:szCs w:val="18"/>
              </w:rPr>
              <w:t>补充流动资金情况</w:t>
            </w:r>
          </w:p>
        </w:tc>
        <w:tc>
          <w:tcPr>
            <w:tcW w:w="8036" w:type="dxa"/>
            <w:tcBorders>
              <w:top w:val="single" w:sz="4" w:space="0" w:color="000000"/>
              <w:left w:val="single" w:sz="10" w:space="0" w:color="DCDCDC"/>
              <w:bottom w:val="single" w:sz="4" w:space="0" w:color="000000"/>
              <w:right w:val="single" w:sz="4" w:space="0" w:color="000000"/>
            </w:tcBorders>
          </w:tcPr>
          <w:p>
            <w:pPr/>
          </w:p>
        </w:tc>
      </w:tr>
      <w:tr>
        <w:trPr>
          <w:trHeight w:val="557" w:hRule="exact"/>
        </w:trPr>
        <w:tc>
          <w:tcPr>
            <w:tcW w:w="17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65"/>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803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1"/>
              <w:ind w:left="44"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557" w:hRule="exact"/>
        </w:trPr>
        <w:tc>
          <w:tcPr>
            <w:tcW w:w="17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454" w:right="65" w:hanging="360"/>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803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1"/>
              <w:ind w:left="44" w:right="0"/>
              <w:jc w:val="left"/>
              <w:rPr>
                <w:rFonts w:ascii="宋体" w:hAnsi="宋体" w:cs="宋体" w:eastAsia="宋体" w:hint="default"/>
                <w:sz w:val="21"/>
                <w:szCs w:val="21"/>
              </w:rPr>
            </w:pPr>
            <w:r>
              <w:rPr>
                <w:rFonts w:ascii="宋体" w:hAnsi="宋体" w:cs="宋体" w:eastAsia="宋体" w:hint="default"/>
                <w:sz w:val="21"/>
                <w:szCs w:val="21"/>
              </w:rPr>
              <w:t>项目尚未实施完毕，尚未使用的募集资金全部存放在专项账户。</w:t>
            </w:r>
          </w:p>
        </w:tc>
      </w:tr>
      <w:tr>
        <w:trPr>
          <w:trHeight w:val="791" w:hRule="exact"/>
        </w:trPr>
        <w:tc>
          <w:tcPr>
            <w:tcW w:w="17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65"/>
              <w:jc w:val="center"/>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803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240" w:lineRule="auto"/>
              <w:ind w:left="44" w:right="0"/>
              <w:jc w:val="left"/>
              <w:rPr>
                <w:rFonts w:ascii="宋体" w:hAnsi="宋体" w:cs="宋体" w:eastAsia="宋体" w:hint="default"/>
                <w:sz w:val="21"/>
                <w:szCs w:val="21"/>
              </w:rPr>
            </w:pPr>
            <w:r>
              <w:rPr>
                <w:rFonts w:ascii="宋体" w:hAnsi="宋体" w:cs="宋体" w:eastAsia="宋体" w:hint="default"/>
                <w:sz w:val="21"/>
                <w:szCs w:val="21"/>
              </w:rPr>
              <w:t>无</w:t>
            </w:r>
          </w:p>
        </w:tc>
      </w:tr>
    </w:tbl>
    <w:p>
      <w:pPr>
        <w:pStyle w:val="BodyText"/>
        <w:spacing w:line="240" w:lineRule="auto" w:before="81"/>
        <w:ind w:left="600" w:right="0"/>
        <w:jc w:val="left"/>
      </w:pPr>
      <w:r>
        <w:rPr/>
        <w:t>（</w:t>
      </w:r>
      <w:r>
        <w:rPr>
          <w:rFonts w:ascii="Times New Roman" w:hAnsi="Times New Roman" w:cs="Times New Roman" w:eastAsia="Times New Roman" w:hint="default"/>
        </w:rPr>
        <w:t>2</w:t>
      </w:r>
      <w:r>
        <w:rPr/>
        <w:t>）募集资金投资项目的实施地点、实施方式变更情况</w:t>
      </w:r>
    </w:p>
    <w:p>
      <w:pPr>
        <w:spacing w:line="240" w:lineRule="auto" w:before="6"/>
        <w:rPr>
          <w:rFonts w:ascii="宋体" w:hAnsi="宋体" w:cs="宋体" w:eastAsia="宋体" w:hint="default"/>
          <w:sz w:val="19"/>
          <w:szCs w:val="19"/>
        </w:rPr>
      </w:pPr>
    </w:p>
    <w:p>
      <w:pPr>
        <w:pStyle w:val="BodyText"/>
        <w:spacing w:line="240" w:lineRule="auto"/>
        <w:ind w:left="60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年度，本公司不存在变更募集资金投资项目实施地点、实施方式的情况。</w:t>
      </w:r>
    </w:p>
    <w:p>
      <w:pPr>
        <w:spacing w:line="240" w:lineRule="auto" w:before="6"/>
        <w:rPr>
          <w:rFonts w:ascii="宋体" w:hAnsi="宋体" w:cs="宋体" w:eastAsia="宋体" w:hint="default"/>
          <w:sz w:val="19"/>
          <w:szCs w:val="19"/>
        </w:rPr>
      </w:pPr>
    </w:p>
    <w:p>
      <w:pPr>
        <w:pStyle w:val="BodyText"/>
        <w:spacing w:line="240" w:lineRule="auto"/>
        <w:ind w:left="600" w:right="0"/>
        <w:jc w:val="left"/>
      </w:pPr>
      <w:r>
        <w:rPr/>
        <w:t>（</w:t>
      </w:r>
      <w:r>
        <w:rPr>
          <w:rFonts w:ascii="Times New Roman" w:hAnsi="Times New Roman" w:cs="Times New Roman" w:eastAsia="Times New Roman" w:hint="default"/>
        </w:rPr>
        <w:t>3</w:t>
      </w:r>
      <w:r>
        <w:rPr/>
        <w:t>）用闲置募集资金暂时补充流动资金情况</w:t>
      </w:r>
    </w:p>
    <w:p>
      <w:pPr>
        <w:spacing w:line="240" w:lineRule="auto" w:before="6"/>
        <w:rPr>
          <w:rFonts w:ascii="宋体" w:hAnsi="宋体" w:cs="宋体" w:eastAsia="宋体" w:hint="default"/>
          <w:sz w:val="19"/>
          <w:szCs w:val="19"/>
        </w:rPr>
      </w:pPr>
    </w:p>
    <w:p>
      <w:pPr>
        <w:pStyle w:val="BodyText"/>
        <w:spacing w:line="240" w:lineRule="auto"/>
        <w:ind w:left="600"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年度，本公司不存在用闲置募集资金暂时补充流动资金的情况。</w:t>
      </w:r>
    </w:p>
    <w:p>
      <w:pPr>
        <w:spacing w:line="240" w:lineRule="auto" w:before="7"/>
        <w:rPr>
          <w:rFonts w:ascii="宋体" w:hAnsi="宋体" w:cs="宋体" w:eastAsia="宋体" w:hint="default"/>
          <w:sz w:val="19"/>
          <w:szCs w:val="19"/>
        </w:rPr>
      </w:pPr>
    </w:p>
    <w:p>
      <w:pPr>
        <w:pStyle w:val="BodyText"/>
        <w:spacing w:line="240" w:lineRule="auto"/>
        <w:ind w:left="599" w:right="0"/>
        <w:jc w:val="left"/>
      </w:pPr>
      <w:r>
        <w:rPr/>
        <w:t>（</w:t>
      </w:r>
      <w:r>
        <w:rPr>
          <w:rFonts w:ascii="Times New Roman" w:hAnsi="Times New Roman" w:cs="Times New Roman" w:eastAsia="Times New Roman" w:hint="default"/>
        </w:rPr>
        <w:t>4</w:t>
      </w:r>
      <w:r>
        <w:rPr/>
        <w:t>）超募资金使用情况</w:t>
      </w:r>
    </w:p>
    <w:p>
      <w:pPr>
        <w:spacing w:line="240" w:lineRule="auto" w:before="6"/>
        <w:rPr>
          <w:rFonts w:ascii="宋体" w:hAnsi="宋体" w:cs="宋体" w:eastAsia="宋体" w:hint="default"/>
          <w:sz w:val="19"/>
          <w:szCs w:val="19"/>
        </w:rPr>
      </w:pPr>
    </w:p>
    <w:p>
      <w:pPr>
        <w:pStyle w:val="BodyText"/>
        <w:spacing w:line="240" w:lineRule="auto"/>
        <w:ind w:left="599"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3"/>
        </w:rPr>
        <w:t> </w:t>
      </w:r>
      <w:r>
        <w:rPr/>
        <w:t>年度，本公司不存在使用超募资金的情况。</w:t>
      </w:r>
    </w:p>
    <w:p>
      <w:pPr>
        <w:spacing w:line="240" w:lineRule="auto" w:before="6"/>
        <w:rPr>
          <w:rFonts w:ascii="宋体" w:hAnsi="宋体" w:cs="宋体" w:eastAsia="宋体" w:hint="default"/>
          <w:sz w:val="19"/>
          <w:szCs w:val="19"/>
        </w:rPr>
      </w:pPr>
    </w:p>
    <w:p>
      <w:pPr>
        <w:pStyle w:val="BodyText"/>
        <w:spacing w:line="240" w:lineRule="auto"/>
        <w:ind w:left="599" w:right="0"/>
        <w:jc w:val="left"/>
      </w:pPr>
      <w:r>
        <w:rPr/>
        <w:t>（</w:t>
      </w:r>
      <w:r>
        <w:rPr>
          <w:rFonts w:ascii="Times New Roman" w:hAnsi="Times New Roman" w:cs="Times New Roman" w:eastAsia="Times New Roman" w:hint="default"/>
        </w:rPr>
        <w:t>5</w:t>
      </w:r>
      <w:r>
        <w:rPr/>
        <w:t>）节余募集资金使用情况</w:t>
      </w:r>
    </w:p>
    <w:p>
      <w:pPr>
        <w:spacing w:line="240" w:lineRule="auto" w:before="6"/>
        <w:rPr>
          <w:rFonts w:ascii="宋体" w:hAnsi="宋体" w:cs="宋体" w:eastAsia="宋体" w:hint="default"/>
          <w:sz w:val="19"/>
          <w:szCs w:val="19"/>
        </w:rPr>
      </w:pPr>
    </w:p>
    <w:p>
      <w:pPr>
        <w:pStyle w:val="BodyText"/>
        <w:spacing w:line="240" w:lineRule="auto"/>
        <w:ind w:left="599" w:right="0"/>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8"/>
        </w:rPr>
        <w:t> </w:t>
      </w:r>
      <w:r>
        <w:rPr>
          <w:spacing w:val="-6"/>
        </w:rPr>
        <w:t>年度，募集资金投资项目尚未全部完成，故尚不存在节余募集资金的情况。</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17"/>
          <w:szCs w:val="17"/>
        </w:rPr>
      </w:pPr>
    </w:p>
    <w:p>
      <w:pPr>
        <w:spacing w:line="422" w:lineRule="auto" w:before="0"/>
        <w:ind w:left="600" w:right="3680" w:firstLine="2"/>
        <w:jc w:val="left"/>
        <w:rPr>
          <w:rFonts w:ascii="宋体" w:hAnsi="宋体" w:cs="宋体" w:eastAsia="宋体" w:hint="default"/>
          <w:sz w:val="24"/>
          <w:szCs w:val="24"/>
        </w:rPr>
      </w:pPr>
      <w:r>
        <w:rPr>
          <w:rFonts w:ascii="宋体" w:hAnsi="宋体" w:cs="宋体" w:eastAsia="宋体" w:hint="default"/>
          <w:b/>
          <w:bCs/>
          <w:sz w:val="24"/>
          <w:szCs w:val="24"/>
        </w:rPr>
        <w:t>（二）变更募集资金投资项目情况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报告期内，公司不存在变更募集资金投资项目的情况。</w:t>
      </w:r>
    </w:p>
    <w:p>
      <w:pPr>
        <w:spacing w:line="240" w:lineRule="auto" w:before="11"/>
        <w:rPr>
          <w:rFonts w:ascii="宋体" w:hAnsi="宋体" w:cs="宋体" w:eastAsia="宋体" w:hint="default"/>
          <w:sz w:val="28"/>
          <w:szCs w:val="28"/>
        </w:rPr>
      </w:pPr>
    </w:p>
    <w:p>
      <w:pPr>
        <w:spacing w:line="422" w:lineRule="auto" w:before="0"/>
        <w:ind w:left="600" w:right="4160" w:firstLine="2"/>
        <w:jc w:val="left"/>
        <w:rPr>
          <w:rFonts w:ascii="宋体" w:hAnsi="宋体" w:cs="宋体" w:eastAsia="宋体" w:hint="default"/>
          <w:sz w:val="24"/>
          <w:szCs w:val="24"/>
        </w:rPr>
      </w:pPr>
      <w:r>
        <w:rPr>
          <w:rFonts w:ascii="宋体" w:hAnsi="宋体" w:cs="宋体" w:eastAsia="宋体" w:hint="default"/>
          <w:b/>
          <w:bCs/>
          <w:sz w:val="24"/>
          <w:szCs w:val="24"/>
        </w:rPr>
        <w:t>（三）非募集资金项目情况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报告期内，公司未发生重大非募集资金投资情况。</w:t>
      </w:r>
    </w:p>
    <w:p>
      <w:pPr>
        <w:spacing w:line="240" w:lineRule="auto" w:before="11"/>
        <w:rPr>
          <w:rFonts w:ascii="宋体" w:hAnsi="宋体" w:cs="宋体" w:eastAsia="宋体" w:hint="default"/>
          <w:sz w:val="28"/>
          <w:szCs w:val="28"/>
        </w:rPr>
      </w:pPr>
    </w:p>
    <w:p>
      <w:pPr>
        <w:spacing w:line="422" w:lineRule="auto" w:before="0"/>
        <w:ind w:left="600" w:right="4640" w:firstLine="2"/>
        <w:jc w:val="left"/>
        <w:rPr>
          <w:rFonts w:ascii="宋体" w:hAnsi="宋体" w:cs="宋体" w:eastAsia="宋体" w:hint="default"/>
          <w:sz w:val="24"/>
          <w:szCs w:val="24"/>
        </w:rPr>
      </w:pPr>
      <w:r>
        <w:rPr>
          <w:rFonts w:ascii="宋体" w:hAnsi="宋体" w:cs="宋体" w:eastAsia="宋体" w:hint="default"/>
          <w:b/>
          <w:bCs/>
          <w:sz w:val="24"/>
          <w:szCs w:val="24"/>
        </w:rPr>
        <w:t>（四）持有其他上市公司股权情况</w:t>
      </w:r>
      <w:r>
        <w:rPr>
          <w:rFonts w:ascii="宋体" w:hAnsi="宋体" w:cs="宋体" w:eastAsia="宋体" w:hint="default"/>
          <w:b/>
          <w:bCs/>
          <w:w w:val="99"/>
          <w:sz w:val="24"/>
          <w:szCs w:val="24"/>
        </w:rPr>
        <w:t> </w:t>
      </w:r>
      <w:r>
        <w:rPr>
          <w:rFonts w:ascii="宋体" w:hAnsi="宋体" w:cs="宋体" w:eastAsia="宋体" w:hint="default"/>
          <w:sz w:val="24"/>
          <w:szCs w:val="24"/>
        </w:rPr>
        <w:t>报告期内，公司没有持有其他上市公司股权。</w:t>
      </w:r>
    </w:p>
    <w:p>
      <w:pPr>
        <w:spacing w:line="240" w:lineRule="auto" w:before="11"/>
        <w:rPr>
          <w:rFonts w:ascii="宋体" w:hAnsi="宋体" w:cs="宋体" w:eastAsia="宋体" w:hint="default"/>
          <w:sz w:val="28"/>
          <w:szCs w:val="28"/>
        </w:rPr>
      </w:pPr>
    </w:p>
    <w:p>
      <w:pPr>
        <w:spacing w:line="422" w:lineRule="auto" w:before="0"/>
        <w:ind w:left="600" w:right="3200" w:firstLine="2"/>
        <w:jc w:val="left"/>
        <w:rPr>
          <w:rFonts w:ascii="宋体" w:hAnsi="宋体" w:cs="宋体" w:eastAsia="宋体" w:hint="default"/>
          <w:sz w:val="24"/>
          <w:szCs w:val="24"/>
        </w:rPr>
      </w:pPr>
      <w:r>
        <w:rPr>
          <w:rFonts w:ascii="宋体" w:hAnsi="宋体" w:cs="宋体" w:eastAsia="宋体" w:hint="default"/>
          <w:b/>
          <w:bCs/>
          <w:sz w:val="24"/>
          <w:szCs w:val="24"/>
        </w:rPr>
        <w:t>（五）持有拟上市公司及非上市金融企业股权情况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报告期内，公司无持有拟上市公司及非上市金融企业股权。</w:t>
      </w:r>
    </w:p>
    <w:p>
      <w:pPr>
        <w:spacing w:after="0" w:line="422" w:lineRule="auto"/>
        <w:jc w:val="left"/>
        <w:rPr>
          <w:rFonts w:ascii="宋体" w:hAnsi="宋体" w:cs="宋体" w:eastAsia="宋体" w:hint="default"/>
          <w:sz w:val="24"/>
          <w:szCs w:val="24"/>
        </w:rPr>
        <w:sectPr>
          <w:pgSz w:w="12240" w:h="15840"/>
          <w:pgMar w:header="0" w:footer="688" w:top="1360" w:bottom="880" w:left="1680" w:right="500"/>
        </w:sectPr>
      </w:pPr>
    </w:p>
    <w:p>
      <w:pPr>
        <w:spacing w:line="422" w:lineRule="auto" w:before="7"/>
        <w:ind w:left="600" w:right="3820" w:firstLine="2"/>
        <w:jc w:val="left"/>
        <w:rPr>
          <w:rFonts w:ascii="宋体" w:hAnsi="宋体" w:cs="宋体" w:eastAsia="宋体" w:hint="default"/>
          <w:sz w:val="24"/>
          <w:szCs w:val="24"/>
        </w:rPr>
      </w:pPr>
      <w:r>
        <w:rPr>
          <w:rFonts w:ascii="宋体" w:hAnsi="宋体" w:cs="宋体" w:eastAsia="宋体" w:hint="default"/>
          <w:b/>
          <w:bCs/>
          <w:sz w:val="24"/>
          <w:szCs w:val="24"/>
        </w:rPr>
        <w:t>（六）买卖其他上市公司股份的情况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报告期内，公司无买卖其他上市公司股份。</w:t>
      </w:r>
    </w:p>
    <w:p>
      <w:pPr>
        <w:spacing w:line="240" w:lineRule="auto" w:before="11"/>
        <w:rPr>
          <w:rFonts w:ascii="宋体" w:hAnsi="宋体" w:cs="宋体" w:eastAsia="宋体" w:hint="default"/>
          <w:sz w:val="28"/>
          <w:szCs w:val="28"/>
        </w:rPr>
      </w:pPr>
    </w:p>
    <w:p>
      <w:pPr>
        <w:spacing w:line="422" w:lineRule="auto" w:before="0"/>
        <w:ind w:left="600" w:right="221" w:firstLine="2"/>
        <w:jc w:val="left"/>
        <w:rPr>
          <w:rFonts w:ascii="宋体" w:hAnsi="宋体" w:cs="宋体" w:eastAsia="宋体" w:hint="default"/>
          <w:sz w:val="24"/>
          <w:szCs w:val="24"/>
        </w:rPr>
      </w:pPr>
      <w:r>
        <w:rPr>
          <w:rFonts w:ascii="宋体" w:hAnsi="宋体" w:cs="宋体" w:eastAsia="宋体" w:hint="default"/>
          <w:b/>
          <w:bCs/>
          <w:sz w:val="24"/>
          <w:szCs w:val="24"/>
        </w:rPr>
        <w:t>（七）持有以公允价值计量的金融资产情况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报告期内，公司无持有以公允价值计量的金融资产。</w:t>
      </w:r>
    </w:p>
    <w:p>
      <w:pPr>
        <w:spacing w:line="240" w:lineRule="auto" w:before="3"/>
        <w:rPr>
          <w:rFonts w:ascii="宋体" w:hAnsi="宋体" w:cs="宋体" w:eastAsia="宋体" w:hint="default"/>
          <w:sz w:val="25"/>
          <w:szCs w:val="25"/>
        </w:rPr>
      </w:pPr>
    </w:p>
    <w:p>
      <w:pPr>
        <w:pStyle w:val="Heading2"/>
        <w:spacing w:line="240" w:lineRule="auto"/>
        <w:ind w:right="221"/>
        <w:jc w:val="left"/>
        <w:rPr>
          <w:b w:val="0"/>
          <w:bCs w:val="0"/>
        </w:rPr>
      </w:pPr>
      <w:r>
        <w:rPr/>
        <w:t>四、董事会本次利润分配或资本公积金转增股本预案</w:t>
      </w:r>
      <w:r>
        <w:rPr>
          <w:b w:val="0"/>
          <w:bCs w:val="0"/>
        </w:rPr>
      </w:r>
    </w:p>
    <w:p>
      <w:pPr>
        <w:spacing w:line="240" w:lineRule="auto" w:before="8"/>
        <w:rPr>
          <w:rFonts w:ascii="宋体" w:hAnsi="宋体" w:cs="宋体" w:eastAsia="宋体" w:hint="default"/>
          <w:b/>
          <w:bCs/>
          <w:sz w:val="30"/>
          <w:szCs w:val="30"/>
        </w:rPr>
      </w:pPr>
    </w:p>
    <w:p>
      <w:pPr>
        <w:spacing w:line="422" w:lineRule="auto" w:before="0"/>
        <w:ind w:left="600" w:right="221" w:firstLine="2"/>
        <w:jc w:val="left"/>
        <w:rPr>
          <w:rFonts w:ascii="宋体" w:hAnsi="宋体" w:cs="宋体" w:eastAsia="宋体" w:hint="default"/>
          <w:sz w:val="24"/>
          <w:szCs w:val="24"/>
        </w:rPr>
      </w:pPr>
      <w:r>
        <w:rPr>
          <w:rFonts w:ascii="宋体" w:hAnsi="宋体" w:cs="宋体" w:eastAsia="宋体" w:hint="default"/>
          <w:b/>
          <w:bCs/>
          <w:sz w:val="24"/>
          <w:szCs w:val="24"/>
        </w:rPr>
        <w:t>（一）2011年利润分配预案</w:t>
      </w:r>
      <w:r>
        <w:rPr>
          <w:rFonts w:ascii="宋体" w:hAnsi="宋体" w:cs="宋体" w:eastAsia="宋体" w:hint="default"/>
          <w:b/>
          <w:bCs/>
          <w:w w:val="99"/>
          <w:sz w:val="24"/>
          <w:szCs w:val="24"/>
        </w:rPr>
        <w:t> </w:t>
      </w:r>
      <w:r>
        <w:rPr>
          <w:rFonts w:ascii="宋体" w:hAnsi="宋体" w:cs="宋体" w:eastAsia="宋体" w:hint="default"/>
          <w:spacing w:val="2"/>
          <w:sz w:val="24"/>
          <w:szCs w:val="24"/>
        </w:rPr>
        <w:t>公司于</w:t>
      </w:r>
      <w:r>
        <w:rPr>
          <w:rFonts w:ascii="Times New Roman" w:hAnsi="Times New Roman" w:cs="Times New Roman" w:eastAsia="Times New Roman" w:hint="default"/>
          <w:spacing w:val="2"/>
          <w:sz w:val="24"/>
          <w:szCs w:val="24"/>
        </w:rPr>
        <w:t>2012</w:t>
      </w:r>
      <w:r>
        <w:rPr>
          <w:rFonts w:ascii="宋体" w:hAnsi="宋体" w:cs="宋体" w:eastAsia="宋体" w:hint="default"/>
          <w:spacing w:val="2"/>
          <w:sz w:val="24"/>
          <w:szCs w:val="24"/>
        </w:rPr>
        <w:t>年</w:t>
      </w:r>
      <w:r>
        <w:rPr>
          <w:rFonts w:ascii="Times New Roman" w:hAnsi="Times New Roman" w:cs="Times New Roman" w:eastAsia="Times New Roman" w:hint="default"/>
          <w:spacing w:val="2"/>
          <w:sz w:val="24"/>
          <w:szCs w:val="24"/>
        </w:rPr>
        <w:t>3</w:t>
      </w:r>
      <w:r>
        <w:rPr>
          <w:rFonts w:ascii="宋体" w:hAnsi="宋体" w:cs="宋体" w:eastAsia="宋体" w:hint="default"/>
          <w:spacing w:val="2"/>
          <w:sz w:val="24"/>
          <w:szCs w:val="24"/>
        </w:rPr>
        <w:t>月</w:t>
      </w:r>
      <w:r>
        <w:rPr>
          <w:rFonts w:ascii="Times New Roman" w:hAnsi="Times New Roman" w:cs="Times New Roman" w:eastAsia="Times New Roman" w:hint="default"/>
          <w:spacing w:val="2"/>
          <w:sz w:val="24"/>
          <w:szCs w:val="24"/>
        </w:rPr>
        <w:t>28</w:t>
      </w:r>
      <w:r>
        <w:rPr>
          <w:rFonts w:ascii="宋体" w:hAnsi="宋体" w:cs="宋体" w:eastAsia="宋体" w:hint="default"/>
          <w:spacing w:val="2"/>
          <w:sz w:val="24"/>
          <w:szCs w:val="24"/>
        </w:rPr>
        <w:t>日召开的第一届董事会第十八次会议和第一届监事会第十</w:t>
      </w:r>
      <w:r>
        <w:rPr>
          <w:rFonts w:ascii="宋体" w:hAnsi="宋体" w:cs="宋体" w:eastAsia="宋体" w:hint="default"/>
          <w:sz w:val="24"/>
          <w:szCs w:val="24"/>
        </w:rPr>
      </w:r>
    </w:p>
    <w:p>
      <w:pPr>
        <w:pStyle w:val="BodyText"/>
        <w:spacing w:line="265" w:lineRule="exact"/>
        <w:ind w:left="120" w:right="221"/>
        <w:jc w:val="left"/>
      </w:pPr>
      <w:r>
        <w:rPr/>
        <w:t>三次会议分别审议通过了《</w:t>
      </w:r>
      <w:r>
        <w:rPr>
          <w:rFonts w:ascii="Times New Roman" w:hAnsi="Times New Roman" w:cs="Times New Roman" w:eastAsia="Times New Roman" w:hint="default"/>
        </w:rPr>
        <w:t>2011</w:t>
      </w:r>
      <w:r>
        <w:rPr/>
        <w:t>年度利润分配的预案》。</w:t>
      </w:r>
    </w:p>
    <w:p>
      <w:pPr>
        <w:spacing w:line="240" w:lineRule="auto" w:before="6"/>
        <w:rPr>
          <w:rFonts w:ascii="宋体" w:hAnsi="宋体" w:cs="宋体" w:eastAsia="宋体" w:hint="default"/>
          <w:sz w:val="19"/>
          <w:szCs w:val="19"/>
        </w:rPr>
      </w:pPr>
    </w:p>
    <w:p>
      <w:pPr>
        <w:pStyle w:val="BodyText"/>
        <w:spacing w:line="338" w:lineRule="auto"/>
        <w:ind w:left="119" w:right="105" w:firstLine="480"/>
        <w:jc w:val="left"/>
      </w:pPr>
      <w:r>
        <w:rPr/>
        <w:t>经天健正信会计师事务所有限责任公司审计，公司</w:t>
      </w:r>
      <w:r>
        <w:rPr>
          <w:rFonts w:ascii="Times New Roman" w:hAnsi="Times New Roman" w:cs="Times New Roman" w:eastAsia="Times New Roman" w:hint="default"/>
        </w:rPr>
        <w:t>2011</w:t>
      </w:r>
      <w:r>
        <w:rPr/>
        <w:t>年实现归属于公司股东 的净利润为</w:t>
      </w:r>
      <w:r>
        <w:rPr>
          <w:rFonts w:ascii="Times New Roman" w:hAnsi="Times New Roman" w:cs="Times New Roman" w:eastAsia="Times New Roman" w:hint="default"/>
        </w:rPr>
        <w:t>61,504,981.78</w:t>
      </w:r>
      <w:r>
        <w:rPr/>
        <w:t>元</w:t>
      </w:r>
      <w:r>
        <w:rPr>
          <w:rFonts w:ascii="Times New Roman" w:hAnsi="Times New Roman" w:cs="Times New Roman" w:eastAsia="Times New Roman" w:hint="default"/>
        </w:rPr>
        <w:t>,</w:t>
      </w:r>
      <w:r>
        <w:rPr>
          <w:rFonts w:ascii="Times New Roman" w:hAnsi="Times New Roman" w:cs="Times New Roman" w:eastAsia="Times New Roman" w:hint="default"/>
          <w:spacing w:val="30"/>
        </w:rPr>
        <w:t> </w:t>
      </w:r>
      <w:r>
        <w:rPr/>
        <w:t>母公司实现的净利润为</w:t>
      </w:r>
      <w:r>
        <w:rPr>
          <w:rFonts w:ascii="Times New Roman" w:hAnsi="Times New Roman" w:cs="Times New Roman" w:eastAsia="Times New Roman" w:hint="default"/>
        </w:rPr>
        <w:t>60,092,293.18</w:t>
      </w:r>
      <w:r>
        <w:rPr/>
        <w:t>元。根据《公司章 </w:t>
      </w:r>
      <w:r>
        <w:rPr>
          <w:spacing w:val="13"/>
        </w:rPr>
        <w:t>程》的有关规定，按照母公司</w:t>
      </w:r>
      <w:r>
        <w:rPr>
          <w:rFonts w:ascii="Times New Roman" w:hAnsi="Times New Roman" w:cs="Times New Roman" w:eastAsia="Times New Roman" w:hint="default"/>
          <w:spacing w:val="13"/>
        </w:rPr>
        <w:t>2011</w:t>
      </w:r>
      <w:r>
        <w:rPr>
          <w:spacing w:val="13"/>
        </w:rPr>
        <w:t>年度实现净利润的</w:t>
      </w:r>
      <w:r>
        <w:rPr>
          <w:rFonts w:ascii="Times New Roman" w:hAnsi="Times New Roman" w:cs="Times New Roman" w:eastAsia="Times New Roman" w:hint="default"/>
          <w:spacing w:val="13"/>
        </w:rPr>
        <w:t>10%</w:t>
      </w:r>
      <w:r>
        <w:rPr>
          <w:spacing w:val="13"/>
        </w:rPr>
        <w:t>计提法定盈余公积金</w:t>
      </w:r>
      <w:r>
        <w:rPr>
          <w:spacing w:val="-90"/>
        </w:rPr>
        <w:t> </w:t>
      </w:r>
      <w:r>
        <w:rPr>
          <w:rFonts w:ascii="Times New Roman" w:hAnsi="Times New Roman" w:cs="Times New Roman" w:eastAsia="Times New Roman" w:hint="default"/>
          <w:spacing w:val="-3"/>
        </w:rPr>
        <w:t>6,009,229.32</w:t>
      </w:r>
      <w:r>
        <w:rPr>
          <w:spacing w:val="-3"/>
        </w:rPr>
        <w:t>元。截至</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日，公司可供股东分配利润为</w:t>
      </w:r>
      <w:r>
        <w:rPr>
          <w:rFonts w:ascii="Times New Roman" w:hAnsi="Times New Roman" w:cs="Times New Roman" w:eastAsia="Times New Roman" w:hint="default"/>
          <w:spacing w:val="-3"/>
        </w:rPr>
        <w:t>104,688,122.97</w:t>
      </w:r>
      <w:r>
        <w:rPr>
          <w:rFonts w:ascii="Times New Roman" w:hAnsi="Times New Roman" w:cs="Times New Roman" w:eastAsia="Times New Roman" w:hint="default"/>
          <w:spacing w:val="41"/>
        </w:rPr>
        <w:t> </w:t>
      </w:r>
      <w:r>
        <w:rPr/>
        <w:t>元， 公司年末资本公积金余额为</w:t>
      </w:r>
      <w:r>
        <w:rPr>
          <w:rFonts w:ascii="Times New Roman" w:hAnsi="Times New Roman" w:cs="Times New Roman" w:eastAsia="Times New Roman" w:hint="default"/>
        </w:rPr>
        <w:t>503,182,020.13</w:t>
      </w:r>
      <w:r>
        <w:rPr/>
        <w:t>元。</w:t>
      </w:r>
    </w:p>
    <w:p>
      <w:pPr>
        <w:pStyle w:val="BodyText"/>
        <w:spacing w:line="357" w:lineRule="auto" w:before="145"/>
        <w:ind w:left="119" w:right="239" w:firstLine="480"/>
        <w:jc w:val="both"/>
      </w:pPr>
      <w:r>
        <w:rPr/>
        <w:t>考虑到公司处于高速发展期，营业规模和利润保持大幅增长，根据证监会鼓励 企业现金分红，给予投资者稳定、合理回报的指导意见，在符合利润分配原则、保 证公司正常经营和长远发展的前提下，为了满足公司顺利开拓经营业务的需要和公 司流动资金的需求，同时更好地兼顾股东的即期利益和长远利益，根据《公司法》 及《公司章程》的相关规定，现拟定如下分配预案：</w:t>
      </w:r>
    </w:p>
    <w:p>
      <w:pPr>
        <w:pStyle w:val="BodyText"/>
        <w:spacing w:line="338" w:lineRule="auto" w:before="155"/>
        <w:ind w:left="120" w:right="233" w:firstLine="480"/>
        <w:jc w:val="both"/>
      </w:pPr>
      <w:r>
        <w:rPr>
          <w:spacing w:val="4"/>
        </w:rPr>
        <w:t>以截止</w:t>
      </w: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日公司总股本</w:t>
      </w:r>
      <w:r>
        <w:rPr>
          <w:rFonts w:ascii="Times New Roman" w:hAnsi="Times New Roman" w:cs="Times New Roman" w:eastAsia="Times New Roman" w:hint="default"/>
          <w:spacing w:val="4"/>
        </w:rPr>
        <w:t>5,350</w:t>
      </w:r>
      <w:r>
        <w:rPr>
          <w:spacing w:val="4"/>
        </w:rPr>
        <w:t>万股为基数向全体股东每</w:t>
      </w:r>
      <w:r>
        <w:rPr>
          <w:rFonts w:ascii="Times New Roman" w:hAnsi="Times New Roman" w:cs="Times New Roman" w:eastAsia="Times New Roman" w:hint="default"/>
          <w:spacing w:val="4"/>
        </w:rPr>
        <w:t>10</w:t>
      </w:r>
      <w:r>
        <w:rPr>
          <w:spacing w:val="4"/>
        </w:rPr>
        <w:t>股派发现</w:t>
      </w:r>
      <w:r>
        <w:rPr>
          <w:spacing w:val="6"/>
        </w:rPr>
        <w:t> </w:t>
      </w:r>
      <w:r>
        <w:rPr/>
        <w:t>金股利</w:t>
      </w:r>
      <w:r>
        <w:rPr>
          <w:rFonts w:ascii="Times New Roman" w:hAnsi="Times New Roman" w:cs="Times New Roman" w:eastAsia="Times New Roman" w:hint="default"/>
        </w:rPr>
        <w:t>2</w:t>
      </w:r>
      <w:r>
        <w:rPr/>
        <w:t>元人民币（含税），同时进行资本公积金转增股本，以</w:t>
      </w:r>
      <w:r>
        <w:rPr>
          <w:rFonts w:ascii="Times New Roman" w:hAnsi="Times New Roman" w:cs="Times New Roman" w:eastAsia="Times New Roman" w:hint="default"/>
        </w:rPr>
        <w:t>5,350</w:t>
      </w:r>
      <w:r>
        <w:rPr/>
        <w:t>万股为基数向</w:t>
      </w:r>
      <w:r>
        <w:rPr>
          <w:spacing w:val="-82"/>
        </w:rPr>
        <w:t> </w:t>
      </w:r>
      <w:r>
        <w:rPr>
          <w:spacing w:val="-82"/>
        </w:rPr>
      </w:r>
      <w:r>
        <w:rPr/>
        <w:t>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股，共计转增</w:t>
      </w:r>
      <w:r>
        <w:rPr>
          <w:rFonts w:ascii="Times New Roman" w:hAnsi="Times New Roman" w:cs="Times New Roman" w:eastAsia="Times New Roman" w:hint="default"/>
        </w:rPr>
        <w:t>5,350</w:t>
      </w:r>
      <w:r>
        <w:rPr/>
        <w:t>万股，转增后公司总股本将增加至</w:t>
      </w:r>
      <w:r>
        <w:rPr>
          <w:rFonts w:ascii="Times New Roman" w:hAnsi="Times New Roman" w:cs="Times New Roman" w:eastAsia="Times New Roman" w:hint="default"/>
        </w:rPr>
        <w:t>10,700 </w:t>
      </w:r>
      <w:r>
        <w:rPr/>
        <w:t>万股。</w:t>
      </w:r>
    </w:p>
    <w:p>
      <w:pPr>
        <w:pStyle w:val="BodyText"/>
        <w:spacing w:line="357" w:lineRule="auto" w:before="174"/>
        <w:ind w:left="120" w:right="239" w:firstLine="480"/>
        <w:jc w:val="both"/>
      </w:pPr>
      <w:r>
        <w:rPr/>
        <w:t>公司董事会认为：鉴于公司处于高速成长期，经营规模不断扩大，同时对流动 资金需求逐渐增加，为更好的兼顾股东的即期利益和长远利益，公司拟定了</w:t>
      </w:r>
      <w:r>
        <w:rPr>
          <w:rFonts w:ascii="Times New Roman" w:hAnsi="Times New Roman" w:cs="Times New Roman" w:eastAsia="Times New Roman" w:hint="default"/>
        </w:rPr>
        <w:t>2011</w:t>
      </w:r>
      <w:r>
        <w:rPr/>
        <w:t>年</w:t>
      </w:r>
    </w:p>
    <w:p>
      <w:pPr>
        <w:spacing w:after="0" w:line="357" w:lineRule="auto"/>
        <w:jc w:val="both"/>
        <w:sectPr>
          <w:pgSz w:w="12240" w:h="15840"/>
          <w:pgMar w:header="0" w:footer="688" w:top="1440" w:bottom="880" w:left="1680" w:right="1560"/>
        </w:sectPr>
      </w:pPr>
    </w:p>
    <w:p>
      <w:pPr>
        <w:pStyle w:val="BodyText"/>
        <w:spacing w:line="348" w:lineRule="auto" w:before="1"/>
        <w:ind w:left="220" w:right="681"/>
        <w:jc w:val="left"/>
      </w:pPr>
      <w:r>
        <w:rPr>
          <w:spacing w:val="-7"/>
        </w:rPr>
        <w:t>度利润分配预案，该预案与公司业绩成长性相匹配，符合《公司法》和</w:t>
      </w:r>
      <w:r>
        <w:rPr>
          <w:spacing w:val="-24"/>
        </w:rPr>
        <w:t> </w:t>
      </w:r>
      <w:r>
        <w:rPr/>
        <w:t>《公司章程》</w:t>
      </w:r>
      <w:r>
        <w:rPr/>
        <w:t> </w:t>
      </w:r>
      <w:r>
        <w:rPr>
          <w:spacing w:val="-5"/>
        </w:rPr>
        <w:t>的规定，具备合法性、合规性、合理性。</w:t>
      </w:r>
      <w:r>
        <w:rPr>
          <w:spacing w:val="-30"/>
        </w:rPr>
        <w:t> </w:t>
      </w:r>
      <w:r>
        <w:rPr/>
        <w:t>上述预案尚需提交公司</w:t>
      </w:r>
      <w:r>
        <w:rPr>
          <w:rFonts w:ascii="Times New Roman" w:hAnsi="Times New Roman" w:cs="Times New Roman" w:eastAsia="Times New Roman" w:hint="default"/>
        </w:rPr>
        <w:t>2011</w:t>
      </w:r>
      <w:r>
        <w:rPr/>
        <w:t>年度股东大会 审议。</w:t>
      </w:r>
    </w:p>
    <w:p>
      <w:pPr>
        <w:spacing w:line="240" w:lineRule="auto" w:before="7"/>
        <w:rPr>
          <w:rFonts w:ascii="宋体" w:hAnsi="宋体" w:cs="宋体" w:eastAsia="宋体" w:hint="default"/>
          <w:sz w:val="34"/>
          <w:szCs w:val="34"/>
        </w:rPr>
      </w:pPr>
    </w:p>
    <w:p>
      <w:pPr>
        <w:spacing w:line="422" w:lineRule="auto" w:before="0"/>
        <w:ind w:left="700" w:right="3295" w:firstLine="2"/>
        <w:jc w:val="left"/>
        <w:rPr>
          <w:rFonts w:ascii="宋体" w:hAnsi="宋体" w:cs="宋体" w:eastAsia="宋体" w:hint="default"/>
          <w:sz w:val="24"/>
          <w:szCs w:val="24"/>
        </w:rPr>
      </w:pPr>
      <w:r>
        <w:rPr>
          <w:rFonts w:ascii="宋体" w:hAnsi="宋体" w:cs="宋体" w:eastAsia="宋体" w:hint="default"/>
          <w:b/>
          <w:bCs/>
          <w:sz w:val="24"/>
          <w:szCs w:val="24"/>
        </w:rPr>
        <w:t>（二）最近3年利润分配情况或资本公积转增股本情况</w:t>
      </w:r>
      <w:r>
        <w:rPr>
          <w:rFonts w:ascii="宋体" w:hAnsi="宋体" w:cs="宋体" w:eastAsia="宋体" w:hint="default"/>
          <w:b/>
          <w:bCs/>
          <w:spacing w:val="1"/>
          <w:w w:val="99"/>
          <w:sz w:val="24"/>
          <w:szCs w:val="24"/>
        </w:rPr>
        <w:t> </w:t>
      </w:r>
      <w:r>
        <w:rPr>
          <w:rFonts w:ascii="宋体" w:hAnsi="宋体" w:cs="宋体" w:eastAsia="宋体" w:hint="default"/>
          <w:sz w:val="24"/>
          <w:szCs w:val="24"/>
        </w:rPr>
        <w:t>1、公司近三年没有进行资本公积转增股本情况</w:t>
      </w:r>
    </w:p>
    <w:p>
      <w:pPr>
        <w:pStyle w:val="BodyText"/>
        <w:spacing w:line="240" w:lineRule="auto" w:before="90"/>
        <w:ind w:left="700" w:right="681"/>
        <w:jc w:val="left"/>
      </w:pPr>
      <w:r>
        <w:rPr>
          <w:rFonts w:ascii="Times New Roman" w:hAnsi="Times New Roman" w:cs="Times New Roman" w:eastAsia="Times New Roman" w:hint="default"/>
          <w:sz w:val="21"/>
          <w:szCs w:val="21"/>
        </w:rPr>
        <w:t>2</w:t>
      </w:r>
      <w:r>
        <w:rPr>
          <w:sz w:val="21"/>
          <w:szCs w:val="21"/>
        </w:rPr>
        <w:t>、</w:t>
      </w:r>
      <w:r>
        <w:rPr/>
        <w:t>公司前三年股利分配（现金分红）情况</w:t>
      </w:r>
    </w:p>
    <w:p>
      <w:pPr>
        <w:spacing w:line="240" w:lineRule="auto" w:before="13"/>
        <w:rPr>
          <w:rFonts w:ascii="宋体" w:hAnsi="宋体" w:cs="宋体" w:eastAsia="宋体" w:hint="default"/>
          <w:sz w:val="22"/>
          <w:szCs w:val="22"/>
        </w:rPr>
      </w:pPr>
    </w:p>
    <w:tbl>
      <w:tblPr>
        <w:tblW w:w="0" w:type="auto"/>
        <w:jc w:val="left"/>
        <w:tblInd w:w="104" w:type="dxa"/>
        <w:tblLayout w:type="fixed"/>
        <w:tblCellMar>
          <w:top w:w="0" w:type="dxa"/>
          <w:left w:w="0" w:type="dxa"/>
          <w:bottom w:w="0" w:type="dxa"/>
          <w:right w:w="0" w:type="dxa"/>
        </w:tblCellMar>
        <w:tblLook w:val="01E0"/>
      </w:tblPr>
      <w:tblGrid>
        <w:gridCol w:w="1294"/>
        <w:gridCol w:w="2918"/>
        <w:gridCol w:w="1969"/>
        <w:gridCol w:w="1752"/>
        <w:gridCol w:w="1514"/>
      </w:tblGrid>
      <w:tr>
        <w:trPr>
          <w:trHeight w:val="1105" w:hRule="exact"/>
        </w:trPr>
        <w:tc>
          <w:tcPr>
            <w:tcW w:w="129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217"/>
              <w:jc w:val="right"/>
              <w:rPr>
                <w:rFonts w:ascii="宋体" w:hAnsi="宋体" w:cs="宋体" w:eastAsia="宋体" w:hint="default"/>
                <w:sz w:val="21"/>
                <w:szCs w:val="21"/>
              </w:rPr>
            </w:pPr>
            <w:r>
              <w:rPr>
                <w:rFonts w:ascii="宋体" w:hAnsi="宋体" w:cs="宋体" w:eastAsia="宋体" w:hint="default"/>
                <w:sz w:val="21"/>
                <w:szCs w:val="21"/>
              </w:rPr>
              <w:t>分红年度</w:t>
            </w:r>
          </w:p>
        </w:tc>
        <w:tc>
          <w:tcPr>
            <w:tcW w:w="29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92" w:right="0"/>
              <w:jc w:val="left"/>
              <w:rPr>
                <w:rFonts w:ascii="宋体" w:hAnsi="宋体" w:cs="宋体" w:eastAsia="宋体" w:hint="default"/>
                <w:sz w:val="21"/>
                <w:szCs w:val="21"/>
              </w:rPr>
            </w:pPr>
            <w:r>
              <w:rPr>
                <w:rFonts w:ascii="宋体" w:hAnsi="宋体" w:cs="宋体" w:eastAsia="宋体" w:hint="default"/>
                <w:sz w:val="21"/>
                <w:szCs w:val="21"/>
              </w:rPr>
              <w:t>现金分红金额（含税、元）</w:t>
            </w:r>
          </w:p>
        </w:tc>
        <w:tc>
          <w:tcPr>
            <w:tcW w:w="196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100" w:right="-4" w:firstLine="36"/>
              <w:jc w:val="left"/>
              <w:rPr>
                <w:rFonts w:ascii="宋体" w:hAnsi="宋体" w:cs="宋体" w:eastAsia="宋体" w:hint="default"/>
                <w:sz w:val="21"/>
                <w:szCs w:val="21"/>
              </w:rPr>
            </w:pPr>
            <w:r>
              <w:rPr>
                <w:rFonts w:ascii="宋体" w:hAnsi="宋体" w:cs="宋体" w:eastAsia="宋体" w:hint="default"/>
                <w:sz w:val="21"/>
                <w:szCs w:val="21"/>
              </w:rPr>
              <w:t>分红年度合并报表 中归属于上市公司 </w:t>
            </w:r>
            <w:r>
              <w:rPr>
                <w:rFonts w:ascii="宋体" w:hAnsi="宋体" w:cs="宋体" w:eastAsia="宋体" w:hint="default"/>
                <w:spacing w:val="-4"/>
                <w:sz w:val="21"/>
                <w:szCs w:val="21"/>
              </w:rPr>
              <w:t>股东的净利润（元）</w:t>
            </w:r>
          </w:p>
        </w:tc>
        <w:tc>
          <w:tcPr>
            <w:tcW w:w="175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占合并报表中归</w:t>
            </w:r>
          </w:p>
          <w:p>
            <w:pPr>
              <w:pStyle w:val="TableParagraph"/>
              <w:spacing w:line="272" w:lineRule="exact" w:before="26"/>
              <w:ind w:left="133" w:right="132"/>
              <w:jc w:val="center"/>
              <w:rPr>
                <w:rFonts w:ascii="宋体" w:hAnsi="宋体" w:cs="宋体" w:eastAsia="宋体" w:hint="default"/>
                <w:sz w:val="21"/>
                <w:szCs w:val="21"/>
              </w:rPr>
            </w:pPr>
            <w:r>
              <w:rPr>
                <w:rFonts w:ascii="宋体" w:hAnsi="宋体" w:cs="宋体" w:eastAsia="宋体" w:hint="default"/>
                <w:sz w:val="21"/>
                <w:szCs w:val="21"/>
              </w:rPr>
              <w:t>属于上市公司股 东的净利润的比 率</w:t>
            </w:r>
          </w:p>
        </w:tc>
        <w:tc>
          <w:tcPr>
            <w:tcW w:w="15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19"/>
                <w:szCs w:val="19"/>
              </w:rPr>
            </w:pPr>
          </w:p>
          <w:p>
            <w:pPr>
              <w:pStyle w:val="TableParagraph"/>
              <w:spacing w:line="272" w:lineRule="exact"/>
              <w:ind w:left="399" w:right="119" w:hanging="280"/>
              <w:jc w:val="left"/>
              <w:rPr>
                <w:rFonts w:ascii="宋体" w:hAnsi="宋体" w:cs="宋体" w:eastAsia="宋体" w:hint="default"/>
                <w:sz w:val="21"/>
                <w:szCs w:val="21"/>
              </w:rPr>
            </w:pPr>
            <w:r>
              <w:rPr>
                <w:rFonts w:ascii="宋体" w:hAnsi="宋体" w:cs="宋体" w:eastAsia="宋体" w:hint="default"/>
                <w:sz w:val="21"/>
                <w:szCs w:val="21"/>
              </w:rPr>
              <w:t>年度可分配利 润</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p>
        </w:tc>
      </w:tr>
      <w:tr>
        <w:trPr>
          <w:trHeight w:val="498" w:hRule="exact"/>
        </w:trPr>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right="282"/>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918" w:type="dxa"/>
            <w:tcBorders>
              <w:top w:val="single" w:sz="6" w:space="0" w:color="000000"/>
              <w:left w:val="single" w:sz="6" w:space="0" w:color="000000"/>
              <w:bottom w:val="single" w:sz="6" w:space="0" w:color="000000"/>
              <w:right w:val="single" w:sz="6" w:space="0" w:color="000000"/>
            </w:tcBorders>
          </w:tcPr>
          <w:p>
            <w:pPr/>
          </w:p>
        </w:tc>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41,045,570.47</w:t>
            </w:r>
          </w:p>
        </w:tc>
        <w:tc>
          <w:tcPr>
            <w:tcW w:w="175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36,904,964.42</w:t>
            </w:r>
          </w:p>
        </w:tc>
      </w:tr>
      <w:tr>
        <w:trPr>
          <w:trHeight w:val="498" w:hRule="exact"/>
        </w:trPr>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right="282"/>
              <w:jc w:val="righ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520" w:right="0"/>
              <w:jc w:val="left"/>
              <w:rPr>
                <w:rFonts w:ascii="Times New Roman" w:hAnsi="Times New Roman" w:cs="Times New Roman" w:eastAsia="Times New Roman" w:hint="default"/>
                <w:sz w:val="21"/>
                <w:szCs w:val="21"/>
              </w:rPr>
            </w:pPr>
            <w:r>
              <w:rPr>
                <w:rFonts w:ascii="Times New Roman"/>
                <w:sz w:val="21"/>
              </w:rPr>
              <w:t>6,000,000.00</w:t>
            </w:r>
          </w:p>
        </w:tc>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28,651,713.51</w:t>
            </w:r>
          </w:p>
        </w:tc>
        <w:tc>
          <w:tcPr>
            <w:tcW w:w="17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20.94%</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26,462,957.15</w:t>
            </w:r>
          </w:p>
        </w:tc>
      </w:tr>
      <w:tr>
        <w:trPr>
          <w:trHeight w:val="498" w:hRule="exact"/>
        </w:trPr>
        <w:tc>
          <w:tcPr>
            <w:tcW w:w="12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6"/>
              <w:ind w:right="282"/>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29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520" w:right="0"/>
              <w:jc w:val="left"/>
              <w:rPr>
                <w:rFonts w:ascii="Times New Roman" w:hAnsi="Times New Roman" w:cs="Times New Roman" w:eastAsia="Times New Roman" w:hint="default"/>
                <w:sz w:val="21"/>
                <w:szCs w:val="21"/>
              </w:rPr>
            </w:pPr>
            <w:r>
              <w:rPr>
                <w:rFonts w:ascii="Times New Roman"/>
                <w:sz w:val="21"/>
              </w:rPr>
              <w:t>8,000,000.00</w:t>
            </w:r>
          </w:p>
        </w:tc>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20,645,769.39</w:t>
            </w:r>
          </w:p>
        </w:tc>
        <w:tc>
          <w:tcPr>
            <w:tcW w:w="17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38.75%</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21"/>
                <w:szCs w:val="21"/>
              </w:rPr>
            </w:pPr>
            <w:r>
              <w:rPr>
                <w:rFonts w:ascii="Times New Roman"/>
                <w:sz w:val="21"/>
              </w:rPr>
              <w:t>18,490,389.98</w:t>
            </w:r>
          </w:p>
        </w:tc>
      </w:tr>
      <w:tr>
        <w:trPr>
          <w:trHeight w:val="412" w:hRule="exact"/>
        </w:trPr>
        <w:tc>
          <w:tcPr>
            <w:tcW w:w="7933"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89"/>
              <w:ind w:left="922" w:right="0"/>
              <w:jc w:val="left"/>
              <w:rPr>
                <w:rFonts w:ascii="宋体" w:hAnsi="宋体" w:cs="宋体" w:eastAsia="宋体" w:hint="default"/>
                <w:sz w:val="21"/>
                <w:szCs w:val="21"/>
              </w:rPr>
            </w:pPr>
            <w:r>
              <w:rPr>
                <w:rFonts w:ascii="宋体" w:hAnsi="宋体" w:cs="宋体" w:eastAsia="宋体" w:hint="default"/>
                <w:sz w:val="21"/>
                <w:szCs w:val="21"/>
              </w:rPr>
              <w:t>最近三年累计现金分红金额占最近三年实现的年均可分配利润的比例（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4"/>
              <w:ind w:right="97"/>
              <w:jc w:val="right"/>
              <w:rPr>
                <w:rFonts w:ascii="Times New Roman" w:hAnsi="Times New Roman" w:cs="Times New Roman" w:eastAsia="Times New Roman" w:hint="default"/>
                <w:sz w:val="21"/>
                <w:szCs w:val="21"/>
              </w:rPr>
            </w:pPr>
            <w:r>
              <w:rPr>
                <w:rFonts w:ascii="Times New Roman"/>
                <w:spacing w:val="-1"/>
                <w:sz w:val="21"/>
              </w:rPr>
              <w:t>51.31%</w:t>
            </w:r>
          </w:p>
        </w:tc>
      </w:tr>
    </w:tbl>
    <w:p>
      <w:pPr>
        <w:spacing w:line="240" w:lineRule="auto" w:before="2"/>
        <w:rPr>
          <w:rFonts w:ascii="宋体" w:hAnsi="宋体" w:cs="宋体" w:eastAsia="宋体" w:hint="default"/>
          <w:sz w:val="26"/>
          <w:szCs w:val="26"/>
        </w:rPr>
      </w:pPr>
    </w:p>
    <w:p>
      <w:pPr>
        <w:spacing w:line="422" w:lineRule="auto" w:before="26"/>
        <w:ind w:left="700" w:right="800" w:firstLine="2"/>
        <w:jc w:val="left"/>
        <w:rPr>
          <w:rFonts w:ascii="宋体" w:hAnsi="宋体" w:cs="宋体" w:eastAsia="宋体" w:hint="default"/>
          <w:sz w:val="24"/>
          <w:szCs w:val="24"/>
        </w:rPr>
      </w:pPr>
      <w:r>
        <w:rPr>
          <w:rFonts w:ascii="宋体" w:hAnsi="宋体" w:cs="宋体" w:eastAsia="宋体" w:hint="default"/>
          <w:b/>
          <w:bCs/>
          <w:sz w:val="24"/>
          <w:szCs w:val="24"/>
        </w:rPr>
        <w:t>（三）公司的现金分红政策和执行情况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公司现金分红政策在《公司章程》中有明确规定，分红标准和比例明确清晰，</w:t>
      </w:r>
    </w:p>
    <w:p>
      <w:pPr>
        <w:pStyle w:val="BodyText"/>
        <w:spacing w:line="284" w:lineRule="exact"/>
        <w:ind w:left="220" w:right="681"/>
        <w:jc w:val="left"/>
      </w:pPr>
      <w:r>
        <w:rPr/>
        <w:t>相关的决策程序和机制完备，公司独立董事尽职履责并发挥了应有的作用，给予中</w:t>
      </w:r>
    </w:p>
    <w:p>
      <w:pPr>
        <w:pStyle w:val="BodyText"/>
        <w:spacing w:line="240" w:lineRule="auto" w:before="152"/>
        <w:ind w:left="220" w:right="681"/>
        <w:jc w:val="left"/>
      </w:pPr>
      <w:r>
        <w:rPr/>
        <w:t>小股东有充分表达意见和诉求的机会，并切实维护了中小股东的合法权益。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pStyle w:val="Heading2"/>
        <w:spacing w:line="363" w:lineRule="exact" w:before="13"/>
        <w:ind w:left="781" w:right="681"/>
        <w:jc w:val="left"/>
        <w:rPr>
          <w:b w:val="0"/>
          <w:bCs w:val="0"/>
        </w:rPr>
      </w:pPr>
      <w:r>
        <w:rPr/>
        <w:t>五、报告期内财务会计报告审计情况及会计政策、会计估计变更情</w:t>
      </w:r>
      <w:r>
        <w:rPr>
          <w:b w:val="0"/>
          <w:bCs w:val="0"/>
        </w:rPr>
      </w:r>
    </w:p>
    <w:p>
      <w:pPr>
        <w:spacing w:line="363" w:lineRule="exact" w:before="0"/>
        <w:ind w:left="219" w:right="681" w:firstLine="0"/>
        <w:jc w:val="left"/>
        <w:rPr>
          <w:rFonts w:ascii="宋体" w:hAnsi="宋体" w:cs="宋体" w:eastAsia="宋体" w:hint="default"/>
          <w:sz w:val="28"/>
          <w:szCs w:val="28"/>
        </w:rPr>
      </w:pPr>
      <w:r>
        <w:rPr>
          <w:rFonts w:ascii="宋体" w:hAnsi="宋体" w:cs="宋体" w:eastAsia="宋体" w:hint="default"/>
          <w:b/>
          <w:bCs/>
          <w:w w:val="99"/>
          <w:sz w:val="28"/>
          <w:szCs w:val="28"/>
        </w:rPr>
        <w:t>况</w:t>
      </w:r>
      <w:r>
        <w:rPr>
          <w:rFonts w:ascii="宋体" w:hAnsi="宋体" w:cs="宋体" w:eastAsia="宋体" w:hint="default"/>
          <w:sz w:val="28"/>
          <w:szCs w:val="28"/>
        </w:rPr>
      </w:r>
    </w:p>
    <w:p>
      <w:pPr>
        <w:spacing w:line="240" w:lineRule="auto" w:before="8"/>
        <w:rPr>
          <w:rFonts w:ascii="宋体" w:hAnsi="宋体" w:cs="宋体" w:eastAsia="宋体" w:hint="default"/>
          <w:b/>
          <w:bCs/>
          <w:sz w:val="28"/>
          <w:szCs w:val="28"/>
        </w:rPr>
      </w:pPr>
    </w:p>
    <w:p>
      <w:pPr>
        <w:spacing w:line="422" w:lineRule="auto" w:before="26"/>
        <w:ind w:left="700" w:right="800" w:firstLine="2"/>
        <w:jc w:val="left"/>
        <w:rPr>
          <w:rFonts w:ascii="宋体" w:hAnsi="宋体" w:cs="宋体" w:eastAsia="宋体" w:hint="default"/>
          <w:sz w:val="24"/>
          <w:szCs w:val="24"/>
        </w:rPr>
      </w:pPr>
      <w:r>
        <w:rPr>
          <w:rFonts w:ascii="宋体" w:hAnsi="宋体" w:cs="宋体" w:eastAsia="宋体" w:hint="default"/>
          <w:b/>
          <w:bCs/>
          <w:sz w:val="24"/>
          <w:szCs w:val="24"/>
        </w:rPr>
        <w:t>（一）报告期财务会计报告审计情况</w:t>
      </w:r>
      <w:r>
        <w:rPr>
          <w:rFonts w:ascii="宋体" w:hAnsi="宋体" w:cs="宋体" w:eastAsia="宋体" w:hint="default"/>
          <w:b/>
          <w:bCs/>
          <w:spacing w:val="1"/>
          <w:w w:val="99"/>
          <w:sz w:val="24"/>
          <w:szCs w:val="24"/>
        </w:rPr>
        <w:t> </w:t>
      </w:r>
      <w:r>
        <w:rPr>
          <w:rFonts w:ascii="宋体" w:hAnsi="宋体" w:cs="宋体" w:eastAsia="宋体" w:hint="default"/>
          <w:sz w:val="24"/>
          <w:szCs w:val="24"/>
        </w:rPr>
        <w:t>经天健正信会计师事务所有限公司审计，对本公司</w:t>
      </w:r>
      <w:r>
        <w:rPr>
          <w:rFonts w:ascii="Times New Roman" w:hAnsi="Times New Roman" w:cs="Times New Roman" w:eastAsia="Times New Roman" w:hint="default"/>
          <w:sz w:val="24"/>
          <w:szCs w:val="24"/>
        </w:rPr>
        <w:t>2011</w:t>
      </w:r>
      <w:r>
        <w:rPr>
          <w:rFonts w:ascii="宋体" w:hAnsi="宋体" w:cs="宋体" w:eastAsia="宋体" w:hint="default"/>
          <w:sz w:val="24"/>
          <w:szCs w:val="24"/>
        </w:rPr>
        <w:t>年度财务报告出具了标</w:t>
      </w:r>
    </w:p>
    <w:p>
      <w:pPr>
        <w:pStyle w:val="BodyText"/>
        <w:spacing w:line="247" w:lineRule="exact"/>
        <w:ind w:left="220" w:right="681"/>
        <w:jc w:val="left"/>
      </w:pPr>
      <w:r>
        <w:rPr/>
        <w:t>准无保留意见的审计报告。</w:t>
      </w:r>
    </w:p>
    <w:p>
      <w:pPr>
        <w:spacing w:after="0" w:line="247" w:lineRule="exact"/>
        <w:jc w:val="left"/>
        <w:sectPr>
          <w:pgSz w:w="12240" w:h="15840"/>
          <w:pgMar w:header="0" w:footer="688" w:top="1400" w:bottom="880" w:left="1580" w:right="980"/>
        </w:sectPr>
      </w:pPr>
    </w:p>
    <w:p>
      <w:pPr>
        <w:spacing w:line="422" w:lineRule="auto" w:before="7"/>
        <w:ind w:left="580" w:right="100" w:firstLine="2"/>
        <w:jc w:val="left"/>
        <w:rPr>
          <w:rFonts w:ascii="宋体" w:hAnsi="宋体" w:cs="宋体" w:eastAsia="宋体" w:hint="default"/>
          <w:sz w:val="24"/>
          <w:szCs w:val="24"/>
        </w:rPr>
      </w:pPr>
      <w:r>
        <w:rPr>
          <w:rFonts w:ascii="宋体" w:hAnsi="宋体" w:cs="宋体" w:eastAsia="宋体" w:hint="default"/>
          <w:b/>
          <w:bCs/>
          <w:sz w:val="24"/>
          <w:szCs w:val="24"/>
        </w:rPr>
        <w:t>（二）公司会计政策、会计估计变更情况及对公司的影响说明和分析</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报告期内，公司未发生重大会计政策变更、会计估计变更情况，未发生重大前</w:t>
      </w:r>
    </w:p>
    <w:p>
      <w:pPr>
        <w:pStyle w:val="BodyText"/>
        <w:spacing w:line="284" w:lineRule="exact"/>
        <w:ind w:right="100"/>
        <w:jc w:val="left"/>
      </w:pPr>
      <w:r>
        <w:rPr/>
        <w:t>期会计差错更正。</w:t>
      </w:r>
    </w:p>
    <w:p>
      <w:pPr>
        <w:spacing w:line="240" w:lineRule="auto" w:before="0"/>
        <w:rPr>
          <w:rFonts w:ascii="宋体" w:hAnsi="宋体" w:cs="宋体" w:eastAsia="宋体" w:hint="default"/>
          <w:sz w:val="24"/>
          <w:szCs w:val="24"/>
        </w:rPr>
      </w:pPr>
    </w:p>
    <w:p>
      <w:pPr>
        <w:spacing w:line="240" w:lineRule="auto" w:before="2"/>
        <w:rPr>
          <w:rFonts w:ascii="宋体" w:hAnsi="宋体" w:cs="宋体" w:eastAsia="宋体" w:hint="default"/>
          <w:sz w:val="18"/>
          <w:szCs w:val="18"/>
        </w:rPr>
      </w:pPr>
    </w:p>
    <w:p>
      <w:pPr>
        <w:pStyle w:val="Heading2"/>
        <w:spacing w:line="360" w:lineRule="exact"/>
        <w:ind w:left="100" w:right="100" w:firstLine="561"/>
        <w:jc w:val="left"/>
        <w:rPr>
          <w:b w:val="0"/>
          <w:bCs w:val="0"/>
        </w:rPr>
      </w:pPr>
      <w:r>
        <w:rPr>
          <w:spacing w:val="-2"/>
          <w:w w:val="95"/>
        </w:rPr>
        <w:t>六、报告期内利润构成、主营业务及其结构、主营业务盈利能力较</w:t>
      </w:r>
      <w:r>
        <w:rPr>
          <w:spacing w:val="1"/>
          <w:w w:val="99"/>
        </w:rPr>
        <w:t> </w:t>
      </w:r>
      <w:r>
        <w:rPr/>
        <w:t>前一报告期发生重大变化的原因说明</w:t>
      </w:r>
      <w:r>
        <w:rPr>
          <w:b w:val="0"/>
          <w:bCs w:val="0"/>
        </w:rPr>
      </w:r>
    </w:p>
    <w:p>
      <w:pPr>
        <w:pStyle w:val="BodyText"/>
        <w:spacing w:line="357" w:lineRule="auto" w:before="200"/>
        <w:ind w:right="100" w:firstLine="480"/>
        <w:jc w:val="left"/>
      </w:pPr>
      <w:r>
        <w:rPr/>
        <w:t>报告期内，公司利润构成、主营业务及其结构、主营业务盈利能力较前一报告 期未发生重大变化。</w:t>
      </w:r>
    </w:p>
    <w:p>
      <w:pPr>
        <w:spacing w:after="0" w:line="357" w:lineRule="auto"/>
        <w:jc w:val="left"/>
        <w:sectPr>
          <w:pgSz w:w="12240" w:h="15840"/>
          <w:pgMar w:header="0" w:footer="688" w:top="1440" w:bottom="880" w:left="1700" w:right="1680"/>
        </w:sectPr>
      </w:pPr>
    </w:p>
    <w:p>
      <w:pPr>
        <w:tabs>
          <w:tab w:pos="4439" w:val="left" w:leader="none"/>
        </w:tabs>
        <w:spacing w:line="415" w:lineRule="auto" w:before="94"/>
        <w:ind w:left="600" w:right="3152" w:firstLine="2554"/>
        <w:jc w:val="left"/>
        <w:rPr>
          <w:rFonts w:ascii="宋体" w:hAnsi="宋体" w:cs="宋体" w:eastAsia="宋体" w:hint="default"/>
          <w:sz w:val="24"/>
          <w:szCs w:val="24"/>
        </w:rPr>
      </w:pPr>
      <w:bookmarkStart w:name="_bookmark3" w:id="4"/>
      <w:bookmarkEnd w:id="4"/>
      <w:r>
        <w:rPr/>
      </w:r>
      <w:r>
        <w:rPr>
          <w:rFonts w:ascii="黑体" w:hAnsi="黑体" w:cs="黑体" w:eastAsia="黑体" w:hint="default"/>
          <w:b/>
          <w:bCs/>
          <w:w w:val="95"/>
          <w:sz w:val="32"/>
          <w:szCs w:val="32"/>
        </w:rPr>
        <w:t>第四节</w:t>
        <w:tab/>
      </w:r>
      <w:r>
        <w:rPr>
          <w:rFonts w:ascii="黑体" w:hAnsi="黑体" w:cs="黑体" w:eastAsia="黑体" w:hint="default"/>
          <w:b/>
          <w:bCs/>
          <w:sz w:val="32"/>
          <w:szCs w:val="32"/>
        </w:rPr>
        <w:t>重要事项</w:t>
      </w:r>
      <w:r>
        <w:rPr>
          <w:rFonts w:ascii="黑体" w:hAnsi="黑体" w:cs="黑体" w:eastAsia="黑体" w:hint="default"/>
          <w:b/>
          <w:bCs/>
          <w:spacing w:val="1"/>
          <w:w w:val="99"/>
          <w:sz w:val="32"/>
          <w:szCs w:val="32"/>
        </w:rPr>
        <w:t> </w:t>
      </w:r>
      <w:r>
        <w:rPr>
          <w:rFonts w:ascii="宋体" w:hAnsi="宋体" w:cs="宋体" w:eastAsia="宋体" w:hint="default"/>
          <w:b/>
          <w:bCs/>
          <w:sz w:val="28"/>
          <w:szCs w:val="28"/>
        </w:rPr>
        <w:t>一、重大诉讼、仲裁事项</w:t>
      </w:r>
      <w:r>
        <w:rPr>
          <w:rFonts w:ascii="宋体" w:hAnsi="宋体" w:cs="宋体" w:eastAsia="宋体" w:hint="default"/>
          <w:b/>
          <w:bCs/>
          <w:spacing w:val="1"/>
          <w:w w:val="99"/>
          <w:sz w:val="28"/>
          <w:szCs w:val="28"/>
        </w:rPr>
        <w:t> </w:t>
      </w:r>
      <w:r>
        <w:rPr>
          <w:rFonts w:ascii="宋体" w:hAnsi="宋体" w:cs="宋体" w:eastAsia="宋体" w:hint="default"/>
          <w:sz w:val="24"/>
          <w:szCs w:val="24"/>
        </w:rPr>
        <w:t>报告期内，公司无重大诉讼、仲裁事项。</w:t>
      </w:r>
    </w:p>
    <w:p>
      <w:pPr>
        <w:spacing w:line="240" w:lineRule="auto" w:before="10"/>
        <w:rPr>
          <w:rFonts w:ascii="宋体" w:hAnsi="宋体" w:cs="宋体" w:eastAsia="宋体" w:hint="default"/>
          <w:sz w:val="25"/>
          <w:szCs w:val="25"/>
        </w:rPr>
      </w:pPr>
    </w:p>
    <w:p>
      <w:pPr>
        <w:pStyle w:val="Heading2"/>
        <w:spacing w:line="240" w:lineRule="auto"/>
        <w:ind w:right="101"/>
        <w:jc w:val="left"/>
        <w:rPr>
          <w:b w:val="0"/>
          <w:bCs w:val="0"/>
        </w:rPr>
      </w:pPr>
      <w:r>
        <w:rPr/>
        <w:t>二、破产相关事项</w:t>
      </w:r>
      <w:r>
        <w:rPr>
          <w:b w:val="0"/>
          <w:bCs w:val="0"/>
        </w:rPr>
      </w:r>
    </w:p>
    <w:p>
      <w:pPr>
        <w:pStyle w:val="BodyText"/>
        <w:spacing w:line="240" w:lineRule="auto" w:before="233"/>
        <w:ind w:left="681" w:right="101" w:hanging="82"/>
        <w:jc w:val="left"/>
      </w:pPr>
      <w:r>
        <w:rPr/>
        <w:t>报告期内，公司未发生破产重组等相关事项。</w:t>
      </w:r>
    </w:p>
    <w:p>
      <w:pPr>
        <w:spacing w:line="240" w:lineRule="auto" w:before="0"/>
        <w:rPr>
          <w:rFonts w:ascii="宋体" w:hAnsi="宋体" w:cs="宋体" w:eastAsia="宋体" w:hint="default"/>
          <w:sz w:val="24"/>
          <w:szCs w:val="24"/>
        </w:rPr>
      </w:pPr>
    </w:p>
    <w:p>
      <w:pPr>
        <w:pStyle w:val="Heading2"/>
        <w:spacing w:line="240" w:lineRule="auto" w:before="198"/>
        <w:ind w:right="101"/>
        <w:jc w:val="left"/>
        <w:rPr>
          <w:b w:val="0"/>
          <w:bCs w:val="0"/>
        </w:rPr>
      </w:pPr>
      <w:r>
        <w:rPr/>
        <w:t>三、收购及出售资产、企业合并事项</w:t>
      </w:r>
      <w:r>
        <w:rPr>
          <w:b w:val="0"/>
          <w:bCs w:val="0"/>
        </w:rPr>
      </w:r>
    </w:p>
    <w:p>
      <w:pPr>
        <w:pStyle w:val="BodyText"/>
        <w:spacing w:line="240" w:lineRule="auto" w:before="233"/>
        <w:ind w:left="540" w:right="101"/>
        <w:jc w:val="left"/>
      </w:pPr>
      <w:r>
        <w:rPr/>
        <w:t>报告期内，公司未发生收购及出售资产、吸收合并事项。</w:t>
      </w:r>
    </w:p>
    <w:p>
      <w:pPr>
        <w:spacing w:line="240" w:lineRule="auto" w:before="0"/>
        <w:rPr>
          <w:rFonts w:ascii="宋体" w:hAnsi="宋体" w:cs="宋体" w:eastAsia="宋体" w:hint="default"/>
          <w:sz w:val="24"/>
          <w:szCs w:val="24"/>
        </w:rPr>
      </w:pPr>
    </w:p>
    <w:p>
      <w:pPr>
        <w:pStyle w:val="Heading2"/>
        <w:spacing w:line="240" w:lineRule="auto" w:before="198"/>
        <w:ind w:right="101"/>
        <w:jc w:val="left"/>
        <w:rPr>
          <w:b w:val="0"/>
          <w:bCs w:val="0"/>
        </w:rPr>
      </w:pPr>
      <w:r>
        <w:rPr/>
        <w:t>四、股权激励计划实施情况</w:t>
      </w:r>
      <w:r>
        <w:rPr>
          <w:b w:val="0"/>
          <w:bCs w:val="0"/>
        </w:rPr>
      </w:r>
    </w:p>
    <w:p>
      <w:pPr>
        <w:pStyle w:val="BodyText"/>
        <w:spacing w:line="338" w:lineRule="auto" w:before="233"/>
        <w:ind w:left="119" w:right="101" w:firstLine="480"/>
        <w:jc w:val="left"/>
      </w:pPr>
      <w:r>
        <w:rPr>
          <w:rFonts w:ascii="Times New Roman" w:hAnsi="Times New Roman" w:cs="Times New Roman" w:eastAsia="Times New Roman" w:hint="default"/>
          <w:spacing w:val="-1"/>
        </w:rPr>
        <w:t>2012</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18</w:t>
      </w:r>
      <w:r>
        <w:rPr>
          <w:spacing w:val="-1"/>
        </w:rPr>
        <w:t>日，公司第一届董事会第十六次会议审议通过了《关于</w:t>
      </w:r>
      <w:r>
        <w:rPr>
          <w:rFonts w:ascii="Times New Roman" w:hAnsi="Times New Roman" w:cs="Times New Roman" w:eastAsia="Times New Roman" w:hint="default"/>
          <w:spacing w:val="-1"/>
        </w:rPr>
        <w:t>&lt;</w:t>
      </w:r>
      <w:r>
        <w:rPr>
          <w:spacing w:val="-1"/>
        </w:rPr>
        <w:t>厦门市美</w:t>
      </w:r>
      <w:r>
        <w:rPr/>
        <w:t> </w:t>
      </w:r>
      <w:r>
        <w:rPr>
          <w:spacing w:val="2"/>
        </w:rPr>
        <w:t>亚柏科信息股份有限公司限制性股票激励计划（草案）</w:t>
      </w:r>
      <w:r>
        <w:rPr>
          <w:rFonts w:ascii="Times New Roman" w:hAnsi="Times New Roman" w:cs="Times New Roman" w:eastAsia="Times New Roman" w:hint="default"/>
          <w:spacing w:val="2"/>
        </w:rPr>
        <w:t>&gt;</w:t>
      </w:r>
      <w:r>
        <w:rPr>
          <w:spacing w:val="2"/>
        </w:rPr>
        <w:t>及其摘要的议案》，公司</w:t>
      </w:r>
    </w:p>
    <w:p>
      <w:pPr>
        <w:pStyle w:val="BodyText"/>
        <w:spacing w:line="357" w:lineRule="auto" w:before="25"/>
        <w:ind w:left="119" w:right="101"/>
        <w:jc w:val="left"/>
      </w:pPr>
      <w:r>
        <w:rPr/>
        <w:t>《限制性股票激励计划（草案）》已在证监会指定创业板信息披露网站上公告。报 告期内，公司股权激励计划尚未开始实施。</w:t>
      </w:r>
    </w:p>
    <w:p>
      <w:pPr>
        <w:spacing w:line="240" w:lineRule="auto" w:before="3"/>
        <w:rPr>
          <w:rFonts w:ascii="宋体" w:hAnsi="宋体" w:cs="宋体" w:eastAsia="宋体" w:hint="default"/>
          <w:sz w:val="30"/>
          <w:szCs w:val="30"/>
        </w:rPr>
      </w:pPr>
    </w:p>
    <w:p>
      <w:pPr>
        <w:pStyle w:val="Heading2"/>
        <w:spacing w:line="240" w:lineRule="auto"/>
        <w:ind w:right="101"/>
        <w:jc w:val="left"/>
        <w:rPr>
          <w:b w:val="0"/>
          <w:bCs w:val="0"/>
        </w:rPr>
      </w:pPr>
      <w:r>
        <w:rPr/>
        <w:t>五、重大关联交易事项</w:t>
      </w:r>
      <w:r>
        <w:rPr>
          <w:b w:val="0"/>
          <w:bCs w:val="0"/>
        </w:rPr>
      </w:r>
    </w:p>
    <w:p>
      <w:pPr>
        <w:pStyle w:val="BodyText"/>
        <w:spacing w:line="240" w:lineRule="auto" w:before="233"/>
        <w:ind w:left="600" w:right="101"/>
        <w:jc w:val="left"/>
      </w:pPr>
      <w:r>
        <w:rPr/>
        <w:t>报告期内，公司未发生重大关联交易事项。</w:t>
      </w:r>
    </w:p>
    <w:p>
      <w:pPr>
        <w:spacing w:line="240" w:lineRule="auto" w:before="0"/>
        <w:rPr>
          <w:rFonts w:ascii="宋体" w:hAnsi="宋体" w:cs="宋体" w:eastAsia="宋体" w:hint="default"/>
          <w:sz w:val="24"/>
          <w:szCs w:val="24"/>
        </w:rPr>
      </w:pPr>
    </w:p>
    <w:p>
      <w:pPr>
        <w:pStyle w:val="Heading2"/>
        <w:spacing w:line="240" w:lineRule="auto" w:before="200"/>
        <w:ind w:right="101"/>
        <w:jc w:val="left"/>
        <w:rPr>
          <w:b w:val="0"/>
          <w:bCs w:val="0"/>
        </w:rPr>
      </w:pPr>
      <w:r>
        <w:rPr/>
        <w:t>六、投资理财与委托贷款</w:t>
      </w:r>
      <w:r>
        <w:rPr>
          <w:b w:val="0"/>
          <w:bCs w:val="0"/>
        </w:rPr>
      </w:r>
    </w:p>
    <w:p>
      <w:pPr>
        <w:pStyle w:val="BodyText"/>
        <w:spacing w:line="240" w:lineRule="auto" w:before="233"/>
        <w:ind w:left="600" w:right="101"/>
        <w:jc w:val="left"/>
      </w:pPr>
      <w:r>
        <w:rPr/>
        <w:t>报告期内，公司无投资理财与委托贷款事项。</w:t>
      </w:r>
    </w:p>
    <w:p>
      <w:pPr>
        <w:spacing w:line="240" w:lineRule="auto" w:before="0"/>
        <w:rPr>
          <w:rFonts w:ascii="宋体" w:hAnsi="宋体" w:cs="宋体" w:eastAsia="宋体" w:hint="default"/>
          <w:sz w:val="24"/>
          <w:szCs w:val="24"/>
        </w:rPr>
      </w:pPr>
    </w:p>
    <w:p>
      <w:pPr>
        <w:pStyle w:val="Heading2"/>
        <w:spacing w:line="240" w:lineRule="auto" w:before="198"/>
        <w:ind w:right="101"/>
        <w:jc w:val="left"/>
        <w:rPr>
          <w:b w:val="0"/>
          <w:bCs w:val="0"/>
        </w:rPr>
      </w:pPr>
      <w:r>
        <w:rPr/>
        <w:t>七、证券投资情况</w:t>
      </w:r>
      <w:r>
        <w:rPr>
          <w:b w:val="0"/>
          <w:bCs w:val="0"/>
        </w:rPr>
      </w:r>
    </w:p>
    <w:p>
      <w:pPr>
        <w:pStyle w:val="BodyText"/>
        <w:spacing w:line="240" w:lineRule="auto" w:before="233"/>
        <w:ind w:left="600" w:right="101"/>
        <w:jc w:val="left"/>
      </w:pPr>
      <w:r>
        <w:rPr/>
        <w:t>报告期内，公司无证券投资情况。</w:t>
      </w:r>
    </w:p>
    <w:p>
      <w:pPr>
        <w:spacing w:after="0" w:line="240" w:lineRule="auto"/>
        <w:jc w:val="left"/>
        <w:sectPr>
          <w:pgSz w:w="12240" w:h="15840"/>
          <w:pgMar w:header="0" w:footer="688" w:top="1500" w:bottom="880" w:left="1680" w:right="1680"/>
        </w:sectPr>
      </w:pPr>
    </w:p>
    <w:p>
      <w:pPr>
        <w:pStyle w:val="Heading2"/>
        <w:spacing w:line="240" w:lineRule="auto" w:before="1"/>
        <w:ind w:right="221"/>
        <w:jc w:val="left"/>
        <w:rPr>
          <w:b w:val="0"/>
          <w:bCs w:val="0"/>
        </w:rPr>
      </w:pPr>
      <w:r>
        <w:rPr/>
        <w:t>八、重大担保</w:t>
      </w:r>
      <w:r>
        <w:rPr>
          <w:b w:val="0"/>
          <w:bCs w:val="0"/>
        </w:rPr>
      </w:r>
    </w:p>
    <w:p>
      <w:pPr>
        <w:pStyle w:val="BodyText"/>
        <w:spacing w:line="240" w:lineRule="auto" w:before="233"/>
        <w:ind w:left="600" w:right="221"/>
        <w:jc w:val="left"/>
      </w:pPr>
      <w:r>
        <w:rPr/>
        <w:t>报告期内，公司无对外担保事项。</w:t>
      </w:r>
    </w:p>
    <w:p>
      <w:pPr>
        <w:spacing w:line="240" w:lineRule="auto" w:before="0"/>
        <w:rPr>
          <w:rFonts w:ascii="宋体" w:hAnsi="宋体" w:cs="宋体" w:eastAsia="宋体" w:hint="default"/>
          <w:sz w:val="24"/>
          <w:szCs w:val="24"/>
        </w:rPr>
      </w:pPr>
    </w:p>
    <w:p>
      <w:pPr>
        <w:pStyle w:val="Heading2"/>
        <w:spacing w:line="240" w:lineRule="auto" w:before="198"/>
        <w:ind w:right="221"/>
        <w:jc w:val="left"/>
        <w:rPr>
          <w:b w:val="0"/>
          <w:bCs w:val="0"/>
        </w:rPr>
      </w:pPr>
      <w:r>
        <w:rPr/>
        <w:t>九、违规对外担保情况</w:t>
      </w:r>
      <w:r>
        <w:rPr>
          <w:b w:val="0"/>
          <w:bCs w:val="0"/>
        </w:rPr>
      </w:r>
    </w:p>
    <w:p>
      <w:pPr>
        <w:pStyle w:val="BodyText"/>
        <w:spacing w:line="240" w:lineRule="auto" w:before="233"/>
        <w:ind w:left="600" w:right="221"/>
        <w:jc w:val="left"/>
      </w:pPr>
      <w:r>
        <w:rPr/>
        <w:t>报告期内，公司无违规对外担保情况。</w:t>
      </w:r>
    </w:p>
    <w:p>
      <w:pPr>
        <w:spacing w:line="240" w:lineRule="auto" w:before="0"/>
        <w:rPr>
          <w:rFonts w:ascii="宋体" w:hAnsi="宋体" w:cs="宋体" w:eastAsia="宋体" w:hint="default"/>
          <w:sz w:val="24"/>
          <w:szCs w:val="24"/>
        </w:rPr>
      </w:pPr>
    </w:p>
    <w:p>
      <w:pPr>
        <w:pStyle w:val="Heading2"/>
        <w:spacing w:line="240" w:lineRule="auto" w:before="198"/>
        <w:ind w:right="221"/>
        <w:jc w:val="left"/>
        <w:rPr>
          <w:b w:val="0"/>
          <w:bCs w:val="0"/>
        </w:rPr>
      </w:pPr>
      <w:r>
        <w:rPr/>
        <w:t>十、大股东及其附属企业非经营性资金占用及清偿情况</w:t>
      </w:r>
      <w:r>
        <w:rPr>
          <w:b w:val="0"/>
          <w:bCs w:val="0"/>
        </w:rPr>
      </w:r>
    </w:p>
    <w:p>
      <w:pPr>
        <w:pStyle w:val="BodyText"/>
        <w:spacing w:line="240" w:lineRule="auto" w:before="233"/>
        <w:ind w:left="600" w:right="221"/>
        <w:jc w:val="left"/>
      </w:pPr>
      <w:r>
        <w:rPr/>
        <w:t>报告期内，公司未发生大股东及其附属企业非经营性资金占用及清偿情况。</w:t>
      </w:r>
    </w:p>
    <w:p>
      <w:pPr>
        <w:spacing w:line="240" w:lineRule="auto" w:before="0"/>
        <w:rPr>
          <w:rFonts w:ascii="宋体" w:hAnsi="宋体" w:cs="宋体" w:eastAsia="宋体" w:hint="default"/>
          <w:sz w:val="24"/>
          <w:szCs w:val="24"/>
        </w:rPr>
      </w:pPr>
    </w:p>
    <w:p>
      <w:pPr>
        <w:pStyle w:val="Heading2"/>
        <w:spacing w:line="240" w:lineRule="auto" w:before="198"/>
        <w:ind w:right="221"/>
        <w:jc w:val="left"/>
        <w:rPr>
          <w:b w:val="0"/>
          <w:bCs w:val="0"/>
        </w:rPr>
      </w:pPr>
      <w:r>
        <w:rPr/>
        <w:t>十一、托管、承包、租赁其他公司资产事项</w:t>
      </w:r>
      <w:r>
        <w:rPr>
          <w:b w:val="0"/>
          <w:bCs w:val="0"/>
        </w:rPr>
      </w:r>
    </w:p>
    <w:p>
      <w:pPr>
        <w:pStyle w:val="BodyText"/>
        <w:spacing w:line="240" w:lineRule="auto" w:before="233"/>
        <w:ind w:left="540" w:right="221"/>
        <w:jc w:val="left"/>
      </w:pPr>
      <w:r>
        <w:rPr/>
        <w:t>报告期内，公司无托管、承包、租赁其他公司资产事项。</w:t>
      </w:r>
    </w:p>
    <w:p>
      <w:pPr>
        <w:spacing w:line="240" w:lineRule="auto" w:before="0"/>
        <w:rPr>
          <w:rFonts w:ascii="宋体" w:hAnsi="宋体" w:cs="宋体" w:eastAsia="宋体" w:hint="default"/>
          <w:sz w:val="24"/>
          <w:szCs w:val="24"/>
        </w:rPr>
      </w:pPr>
    </w:p>
    <w:p>
      <w:pPr>
        <w:pStyle w:val="Heading2"/>
        <w:spacing w:line="240" w:lineRule="auto" w:before="198"/>
        <w:ind w:right="221"/>
        <w:jc w:val="left"/>
        <w:rPr>
          <w:b w:val="0"/>
          <w:bCs w:val="0"/>
        </w:rPr>
      </w:pPr>
      <w:r>
        <w:rPr/>
        <w:t>十二、公司或持股5%以上股东的承诺事项及履行情况</w:t>
      </w:r>
      <w:r>
        <w:rPr>
          <w:b w:val="0"/>
          <w:bCs w:val="0"/>
        </w:rPr>
      </w:r>
    </w:p>
    <w:p>
      <w:pPr>
        <w:spacing w:line="240" w:lineRule="auto" w:before="8"/>
        <w:rPr>
          <w:rFonts w:ascii="宋体" w:hAnsi="宋体" w:cs="宋体" w:eastAsia="宋体" w:hint="default"/>
          <w:b/>
          <w:bCs/>
          <w:sz w:val="30"/>
          <w:szCs w:val="30"/>
        </w:rPr>
      </w:pPr>
    </w:p>
    <w:p>
      <w:pPr>
        <w:spacing w:line="422" w:lineRule="auto" w:before="0"/>
        <w:ind w:left="600" w:right="220" w:firstLine="2"/>
        <w:jc w:val="left"/>
        <w:rPr>
          <w:rFonts w:ascii="宋体" w:hAnsi="宋体" w:cs="宋体" w:eastAsia="宋体" w:hint="default"/>
          <w:sz w:val="24"/>
          <w:szCs w:val="24"/>
        </w:rPr>
      </w:pPr>
      <w:r>
        <w:rPr>
          <w:rFonts w:ascii="宋体" w:hAnsi="宋体" w:cs="宋体" w:eastAsia="宋体" w:hint="default"/>
          <w:b/>
          <w:bCs/>
          <w:sz w:val="24"/>
          <w:szCs w:val="24"/>
        </w:rPr>
        <w:t>（一）本次发行前股东所持股份的流通限制和自愿锁定股份的承诺</w:t>
      </w:r>
      <w:r>
        <w:rPr>
          <w:rFonts w:ascii="宋体" w:hAnsi="宋体" w:cs="宋体" w:eastAsia="宋体" w:hint="default"/>
          <w:b/>
          <w:bCs/>
          <w:spacing w:val="1"/>
          <w:w w:val="99"/>
          <w:sz w:val="24"/>
          <w:szCs w:val="24"/>
        </w:rPr>
        <w:t> </w:t>
      </w:r>
      <w:r>
        <w:rPr>
          <w:rFonts w:ascii="宋体" w:hAnsi="宋体" w:cs="宋体" w:eastAsia="宋体" w:hint="default"/>
          <w:sz w:val="24"/>
          <w:szCs w:val="24"/>
        </w:rPr>
        <w:t>公司全体股东承诺：自公司股票上市之日起三十六个月内，不转让或者委托他</w:t>
      </w:r>
    </w:p>
    <w:p>
      <w:pPr>
        <w:pStyle w:val="BodyText"/>
        <w:spacing w:line="284" w:lineRule="exact"/>
        <w:ind w:left="120" w:right="221"/>
        <w:jc w:val="left"/>
      </w:pPr>
      <w:r>
        <w:rPr/>
        <w:t>人管理本次发行前已持有的发行人股份，也不由发行人收购该部分股份。</w:t>
      </w:r>
    </w:p>
    <w:p>
      <w:pPr>
        <w:spacing w:line="240" w:lineRule="auto" w:before="11"/>
        <w:rPr>
          <w:rFonts w:ascii="宋体" w:hAnsi="宋体" w:cs="宋体" w:eastAsia="宋体" w:hint="default"/>
          <w:sz w:val="20"/>
          <w:szCs w:val="20"/>
        </w:rPr>
      </w:pPr>
    </w:p>
    <w:p>
      <w:pPr>
        <w:pStyle w:val="BodyText"/>
        <w:spacing w:line="352" w:lineRule="auto"/>
        <w:ind w:left="119" w:right="105" w:firstLine="480"/>
        <w:jc w:val="left"/>
      </w:pPr>
      <w:r>
        <w:rPr>
          <w:spacing w:val="-4"/>
        </w:rPr>
        <w:t>在上述基础上，持有公司股份的董事、高级管理人员郭永芳、李国林、刘祥南、</w:t>
      </w:r>
      <w:r>
        <w:rPr/>
        <w:t> 申强、丛艳芬、张雪峰、吴鸿伟、赵庸、高峰、黄基鹏、张乃军、杨爱国、郭泓还 承诺：除前述锁定期外，在其任职期间每年转让直接或间接持有的发行人股份不超 过其所持有发行人股份总数的</w:t>
      </w:r>
      <w:r>
        <w:rPr>
          <w:spacing w:val="-67"/>
        </w:rPr>
        <w:t> </w:t>
      </w:r>
      <w:r>
        <w:rPr>
          <w:rFonts w:ascii="Times New Roman" w:hAnsi="Times New Roman" w:cs="Times New Roman" w:eastAsia="Times New Roman" w:hint="default"/>
        </w:rPr>
        <w:t>25%</w:t>
      </w:r>
      <w:r>
        <w:rPr/>
        <w:t>；离职后半年内，不转让其直接或间接持有的发 行人股份。</w:t>
      </w:r>
    </w:p>
    <w:p>
      <w:pPr>
        <w:spacing w:line="240" w:lineRule="auto" w:before="2"/>
        <w:rPr>
          <w:rFonts w:ascii="宋体" w:hAnsi="宋体" w:cs="宋体" w:eastAsia="宋体" w:hint="default"/>
          <w:sz w:val="34"/>
          <w:szCs w:val="34"/>
        </w:rPr>
      </w:pPr>
    </w:p>
    <w:p>
      <w:pPr>
        <w:pStyle w:val="Heading3"/>
        <w:spacing w:line="240" w:lineRule="auto"/>
        <w:ind w:right="221"/>
        <w:jc w:val="left"/>
        <w:rPr>
          <w:b w:val="0"/>
          <w:bCs w:val="0"/>
        </w:rPr>
      </w:pPr>
      <w:r>
        <w:rPr/>
        <w:t>（二）避免同业竞争的承诺</w:t>
      </w:r>
      <w:r>
        <w:rPr>
          <w:b w:val="0"/>
          <w:bCs w:val="0"/>
        </w:rPr>
      </w:r>
    </w:p>
    <w:p>
      <w:pPr>
        <w:spacing w:line="240" w:lineRule="auto" w:before="4"/>
        <w:rPr>
          <w:rFonts w:ascii="宋体" w:hAnsi="宋体" w:cs="宋体" w:eastAsia="宋体" w:hint="default"/>
          <w:b/>
          <w:bCs/>
          <w:sz w:val="18"/>
          <w:szCs w:val="18"/>
        </w:rPr>
      </w:pPr>
    </w:p>
    <w:p>
      <w:pPr>
        <w:pStyle w:val="BodyText"/>
        <w:spacing w:line="348" w:lineRule="auto"/>
        <w:ind w:left="119" w:right="116" w:firstLine="480"/>
        <w:jc w:val="both"/>
      </w:pPr>
      <w:r>
        <w:rPr/>
        <w:t>公司实际控制人郭永芳、滕达和刘祥南、持有</w:t>
      </w:r>
      <w:r>
        <w:rPr>
          <w:spacing w:val="16"/>
        </w:rPr>
        <w:t> </w:t>
      </w:r>
      <w:r>
        <w:rPr>
          <w:rFonts w:ascii="Times New Roman" w:hAnsi="Times New Roman" w:cs="Times New Roman" w:eastAsia="Times New Roman" w:hint="default"/>
        </w:rPr>
        <w:t>5%</w:t>
      </w:r>
      <w:r>
        <w:rPr/>
        <w:t>以上股份的股东李国林、广</w:t>
      </w:r>
      <w:r>
        <w:rPr>
          <w:spacing w:val="1"/>
        </w:rPr>
        <w:t> </w:t>
      </w:r>
      <w:r>
        <w:rPr/>
        <w:t>州通连及作为股东的董事、监事、高级管理人员申强、吴鸿伟、丛艳芬、黄基鹏、</w:t>
      </w:r>
      <w:r>
        <w:rPr/>
        <w:t> </w:t>
      </w:r>
      <w:r>
        <w:rPr>
          <w:spacing w:val="-10"/>
        </w:rPr>
        <w:t>张雪峰、赵庸、高峰、杨爱国、张乃军向公司出具了《避免同业竞争承诺函》。承诺：</w:t>
      </w:r>
    </w:p>
    <w:p>
      <w:pPr>
        <w:spacing w:after="0" w:line="348" w:lineRule="auto"/>
        <w:jc w:val="both"/>
        <w:sectPr>
          <w:pgSz w:w="12240" w:h="15840"/>
          <w:pgMar w:header="0" w:footer="688" w:top="1400" w:bottom="880" w:left="1680" w:right="1560"/>
        </w:sectPr>
      </w:pPr>
    </w:p>
    <w:p>
      <w:pPr>
        <w:pStyle w:val="BodyText"/>
        <w:spacing w:line="357" w:lineRule="auto" w:before="1"/>
        <w:ind w:right="239"/>
        <w:jc w:val="both"/>
      </w:pPr>
      <w:r>
        <w:rPr/>
        <w:t>“确认及保证在承诺函签署之日前与美亚柏科不存在直接或间接的同业竞争情形； 承诺不直接或间接从事或发展与美亚柏科经营范围相同或相类似的业务或项目，也 不为自身或代表任何第三方与美亚柏科进行直接或间接的竞争；承诺不利用从美亚 柏科获取的信息从事、直接或间接参与与美亚柏科相竞争的活动，并承诺不进行任 何损害或可能损害美亚柏科利益的其他竞争行为；从任何第三方获得的任何商业机 会与美亚柏科所从事的业务有实质性竞争或可能有实质性竞争，将立即通知美亚柏 科，并将该商业机会让与美亚柏科；如出现违反上述承诺与保证而导致美亚柏科或 </w:t>
      </w:r>
      <w:r>
        <w:rPr>
          <w:spacing w:val="-4"/>
        </w:rPr>
        <w:t>其他股东权益受到损害的情况，承诺人将依法承担相应的赔偿责任。”</w:t>
      </w:r>
    </w:p>
    <w:p>
      <w:pPr>
        <w:spacing w:line="240" w:lineRule="auto" w:before="11"/>
        <w:rPr>
          <w:rFonts w:ascii="宋体" w:hAnsi="宋体" w:cs="宋体" w:eastAsia="宋体" w:hint="default"/>
          <w:sz w:val="33"/>
          <w:szCs w:val="33"/>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（三）相关追加承诺</w:t>
      </w:r>
      <w:r>
        <w:rPr>
          <w:rFonts w:ascii="宋体" w:hAnsi="宋体" w:cs="宋体" w:eastAsia="宋体" w:hint="default"/>
          <w:b/>
          <w:bCs/>
          <w:spacing w:val="1"/>
          <w:w w:val="99"/>
          <w:sz w:val="24"/>
          <w:szCs w:val="24"/>
        </w:rPr>
        <w:t> </w:t>
      </w:r>
      <w:r>
        <w:rPr>
          <w:rFonts w:ascii="宋体" w:hAnsi="宋体" w:cs="宋体" w:eastAsia="宋体" w:hint="default"/>
          <w:sz w:val="24"/>
          <w:szCs w:val="24"/>
        </w:rPr>
        <w:t>根据深圳证券交易所《关于进一步规范创业板上市公司董事、监事和高级管理</w:t>
      </w:r>
    </w:p>
    <w:p>
      <w:pPr>
        <w:pStyle w:val="BodyText"/>
        <w:spacing w:line="284" w:lineRule="exact"/>
        <w:ind w:right="0"/>
        <w:jc w:val="both"/>
      </w:pPr>
      <w:r>
        <w:rPr>
          <w:spacing w:val="-4"/>
        </w:rPr>
        <w:t>人员买卖本公司股票行为的通知》的要求，公司董事、监事和高级管理人员郭永芳、</w:t>
      </w:r>
    </w:p>
    <w:p>
      <w:pPr>
        <w:pStyle w:val="BodyText"/>
        <w:spacing w:line="357" w:lineRule="auto" w:before="152"/>
        <w:ind w:right="239"/>
        <w:jc w:val="both"/>
      </w:pPr>
      <w:r>
        <w:rPr/>
        <w:t>李国林、刘祥南、滕达、郭东辉、陈少华、陈汉文、兰邦胜、仲丽华、高龙腾、吴 顺祥、申强、丛艳芬、张雪峰、吴鸿伟、赵庸、高峰、黄基鹏、张乃军、杨爱国、 吴世雄、栾江霞、王斌承诺：本人若在首次公开发行股票上市之日起六个月内（含 第六个月）申报离职，将自申报离职之日起十八个月（含第十八个月）内不转让本 人直接持有的本公司股份；本人若在首次公开发行股票上市之日起第七个月至第十 二个月（含第七个月、第十二个月）之间申报离职，将自申报离职之日起十二个月 内（含第十二个月）不转让本人直接持有的本公司股份。</w:t>
      </w:r>
    </w:p>
    <w:p>
      <w:pPr>
        <w:pStyle w:val="BodyText"/>
        <w:spacing w:line="357" w:lineRule="auto" w:before="155"/>
        <w:ind w:right="220" w:firstLine="480"/>
        <w:jc w:val="left"/>
      </w:pPr>
      <w:r>
        <w:rPr/>
        <w:t>因上市公司进行权益分派等导致本人直接持有本公司股份发生变化的，本人仍 遵守前款承诺。</w:t>
      </w:r>
    </w:p>
    <w:p>
      <w:pPr>
        <w:spacing w:line="240" w:lineRule="auto" w:before="10"/>
        <w:rPr>
          <w:rFonts w:ascii="宋体" w:hAnsi="宋体" w:cs="宋体" w:eastAsia="宋体" w:hint="default"/>
          <w:sz w:val="33"/>
          <w:szCs w:val="33"/>
        </w:rPr>
      </w:pPr>
    </w:p>
    <w:p>
      <w:pPr>
        <w:spacing w:line="422" w:lineRule="auto" w:before="0"/>
        <w:ind w:left="580" w:right="3580" w:firstLine="2"/>
        <w:jc w:val="left"/>
        <w:rPr>
          <w:rFonts w:ascii="宋体" w:hAnsi="宋体" w:cs="宋体" w:eastAsia="宋体" w:hint="default"/>
          <w:sz w:val="24"/>
          <w:szCs w:val="24"/>
        </w:rPr>
      </w:pPr>
      <w:r>
        <w:rPr>
          <w:rFonts w:ascii="宋体" w:hAnsi="宋体" w:cs="宋体" w:eastAsia="宋体" w:hint="default"/>
          <w:b/>
          <w:bCs/>
          <w:sz w:val="24"/>
          <w:szCs w:val="24"/>
        </w:rPr>
        <w:t>（四）承诺事项履行情况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报告期内，各承诺方均严格执行其承诺事项。</w:t>
      </w:r>
    </w:p>
    <w:p>
      <w:pPr>
        <w:spacing w:after="0" w:line="422" w:lineRule="auto"/>
        <w:jc w:val="left"/>
        <w:rPr>
          <w:rFonts w:ascii="宋体" w:hAnsi="宋体" w:cs="宋体" w:eastAsia="宋体" w:hint="default"/>
          <w:sz w:val="24"/>
          <w:szCs w:val="24"/>
        </w:rPr>
        <w:sectPr>
          <w:pgSz w:w="12240" w:h="15840"/>
          <w:pgMar w:header="0" w:footer="688" w:top="1400" w:bottom="880" w:left="1700" w:right="1560"/>
        </w:sectPr>
      </w:pPr>
    </w:p>
    <w:p>
      <w:pPr>
        <w:pStyle w:val="Heading2"/>
        <w:spacing w:line="360" w:lineRule="exact" w:before="40"/>
        <w:ind w:left="239" w:right="133" w:firstLine="561"/>
        <w:jc w:val="left"/>
        <w:rPr>
          <w:b w:val="0"/>
          <w:bCs w:val="0"/>
        </w:rPr>
      </w:pPr>
      <w:r>
        <w:rPr>
          <w:spacing w:val="-2"/>
          <w:w w:val="95"/>
        </w:rPr>
        <w:t>十三、公司及其董事、监事、高级管理人员、控股股东、实际控制</w:t>
      </w:r>
      <w:r>
        <w:rPr>
          <w:spacing w:val="1"/>
          <w:w w:val="99"/>
        </w:rPr>
        <w:t> </w:t>
      </w:r>
      <w:r>
        <w:rPr/>
        <w:t>人处罚及整改情况</w:t>
      </w:r>
      <w:r>
        <w:rPr>
          <w:b w:val="0"/>
          <w:bCs w:val="0"/>
        </w:rPr>
      </w:r>
    </w:p>
    <w:p>
      <w:pPr>
        <w:pStyle w:val="BodyText"/>
        <w:spacing w:line="357" w:lineRule="auto" w:before="200"/>
        <w:ind w:left="240" w:right="220" w:firstLine="480"/>
        <w:jc w:val="left"/>
      </w:pPr>
      <w:r>
        <w:rPr/>
        <w:t>报告期内，公司及其董事、监事、高级管理人员、公司控股股东、实际控制人 均未发生受到监管部门处罚的事项。</w:t>
      </w:r>
    </w:p>
    <w:p>
      <w:pPr>
        <w:spacing w:line="240" w:lineRule="auto" w:before="2"/>
        <w:rPr>
          <w:rFonts w:ascii="宋体" w:hAnsi="宋体" w:cs="宋体" w:eastAsia="宋体" w:hint="default"/>
          <w:sz w:val="29"/>
          <w:szCs w:val="29"/>
        </w:rPr>
      </w:pPr>
    </w:p>
    <w:p>
      <w:pPr>
        <w:pStyle w:val="Heading2"/>
        <w:spacing w:line="363" w:lineRule="exact" w:before="13"/>
        <w:ind w:left="801" w:right="0"/>
        <w:jc w:val="left"/>
        <w:rPr>
          <w:b w:val="0"/>
          <w:bCs w:val="0"/>
        </w:rPr>
      </w:pPr>
      <w:r>
        <w:rPr/>
        <w:t>十四、按深交所相关指引规定应披露的报告期日常经营重大合同的</w:t>
      </w:r>
      <w:r>
        <w:rPr>
          <w:b w:val="0"/>
          <w:bCs w:val="0"/>
        </w:rPr>
      </w:r>
    </w:p>
    <w:p>
      <w:pPr>
        <w:spacing w:line="363" w:lineRule="exact" w:before="0"/>
        <w:ind w:left="239" w:right="133" w:firstLine="0"/>
        <w:jc w:val="left"/>
        <w:rPr>
          <w:rFonts w:ascii="宋体" w:hAnsi="宋体" w:cs="宋体" w:eastAsia="宋体" w:hint="default"/>
          <w:sz w:val="28"/>
          <w:szCs w:val="28"/>
        </w:rPr>
      </w:pPr>
      <w:r>
        <w:rPr>
          <w:rFonts w:ascii="宋体" w:hAnsi="宋体" w:cs="宋体" w:eastAsia="宋体" w:hint="default"/>
          <w:b/>
          <w:bCs/>
          <w:sz w:val="28"/>
          <w:szCs w:val="28"/>
        </w:rPr>
        <w:t>情况</w:t>
      </w:r>
      <w:r>
        <w:rPr>
          <w:rFonts w:ascii="宋体" w:hAnsi="宋体" w:cs="宋体" w:eastAsia="宋体" w:hint="default"/>
          <w:sz w:val="28"/>
          <w:szCs w:val="28"/>
        </w:rPr>
      </w:r>
    </w:p>
    <w:p>
      <w:pPr>
        <w:spacing w:line="240" w:lineRule="auto" w:before="11"/>
        <w:rPr>
          <w:rFonts w:ascii="宋体" w:hAnsi="宋体" w:cs="宋体" w:eastAsia="宋体" w:hint="default"/>
          <w:b/>
          <w:bCs/>
          <w:sz w:val="15"/>
          <w:szCs w:val="15"/>
        </w:rPr>
      </w:pPr>
    </w:p>
    <w:p>
      <w:pPr>
        <w:pStyle w:val="BodyText"/>
        <w:spacing w:line="240" w:lineRule="auto" w:before="26"/>
        <w:ind w:left="660" w:right="133"/>
        <w:jc w:val="left"/>
      </w:pPr>
      <w:r>
        <w:rPr/>
        <w:t>报告期内，公司未发生或以前期间发生但延续到报告期的重大合同事项。</w:t>
      </w:r>
    </w:p>
    <w:p>
      <w:pPr>
        <w:spacing w:line="240" w:lineRule="auto" w:before="0"/>
        <w:rPr>
          <w:rFonts w:ascii="宋体" w:hAnsi="宋体" w:cs="宋体" w:eastAsia="宋体" w:hint="default"/>
          <w:sz w:val="24"/>
          <w:szCs w:val="24"/>
        </w:rPr>
      </w:pPr>
    </w:p>
    <w:p>
      <w:pPr>
        <w:pStyle w:val="Heading2"/>
        <w:spacing w:line="240" w:lineRule="auto" w:before="198"/>
        <w:ind w:left="801" w:right="133"/>
        <w:jc w:val="left"/>
        <w:rPr>
          <w:b w:val="0"/>
          <w:bCs w:val="0"/>
        </w:rPr>
      </w:pPr>
      <w:r>
        <w:rPr/>
        <w:t>十五、聘任、解聘会计师事务所情况</w:t>
      </w:r>
      <w:r>
        <w:rPr>
          <w:b w:val="0"/>
          <w:bCs w:val="0"/>
        </w:rPr>
      </w:r>
    </w:p>
    <w:p>
      <w:pPr>
        <w:pStyle w:val="BodyText"/>
        <w:spacing w:line="348" w:lineRule="auto" w:before="233"/>
        <w:ind w:left="240" w:right="239"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t>年</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t>月</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9"/>
        </w:rPr>
        <w:t> </w:t>
      </w:r>
      <w:r>
        <w:rPr/>
        <w:t>日，公司</w:t>
      </w:r>
      <w:r>
        <w:rPr>
          <w:spacing w:val="-5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9"/>
        </w:rPr>
        <w:t> </w:t>
      </w:r>
      <w:r>
        <w:rPr/>
        <w:t>年度股东大会审议通过了《关于继续聘请天健正 </w:t>
      </w:r>
      <w:r>
        <w:rPr>
          <w:spacing w:val="-7"/>
        </w:rPr>
        <w:t>信会计师事务所为公司审计机构的议案》，公司继续聘请天健正信会计师事务所为公</w:t>
      </w:r>
      <w:r>
        <w:rPr>
          <w:spacing w:val="-101"/>
        </w:rPr>
        <w:t> </w:t>
      </w:r>
      <w:r>
        <w:rPr>
          <w:spacing w:val="-101"/>
        </w:rPr>
      </w:r>
      <w:r>
        <w:rPr/>
        <w:t>司</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年度的审计机构。</w:t>
      </w:r>
    </w:p>
    <w:p>
      <w:pPr>
        <w:spacing w:line="240" w:lineRule="auto" w:before="9"/>
        <w:rPr>
          <w:rFonts w:ascii="宋体" w:hAnsi="宋体" w:cs="宋体" w:eastAsia="宋体" w:hint="default"/>
          <w:sz w:val="28"/>
          <w:szCs w:val="28"/>
        </w:rPr>
      </w:pPr>
    </w:p>
    <w:p>
      <w:pPr>
        <w:pStyle w:val="Heading2"/>
        <w:spacing w:line="240" w:lineRule="auto"/>
        <w:ind w:left="801" w:right="133"/>
        <w:jc w:val="left"/>
        <w:rPr>
          <w:b w:val="0"/>
          <w:bCs w:val="0"/>
        </w:rPr>
      </w:pPr>
      <w:r>
        <w:rPr/>
        <w:t>十六、报告期内已披露的重要信息索引</w:t>
      </w:r>
      <w:r>
        <w:rPr>
          <w:b w:val="0"/>
          <w:bCs w:val="0"/>
        </w:rPr>
      </w:r>
    </w:p>
    <w:p>
      <w:pPr>
        <w:pStyle w:val="BodyText"/>
        <w:spacing w:line="240" w:lineRule="auto" w:before="233"/>
        <w:ind w:left="720" w:right="133"/>
        <w:jc w:val="left"/>
      </w:pPr>
      <w:r>
        <w:rPr/>
        <w:t>公司于</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日在深交所创业板上市，上市后严格按照信息披露相关</w:t>
      </w:r>
    </w:p>
    <w:p>
      <w:pPr>
        <w:pStyle w:val="BodyText"/>
        <w:spacing w:line="240" w:lineRule="auto" w:before="134"/>
        <w:ind w:left="240" w:right="133"/>
        <w:jc w:val="left"/>
      </w:pPr>
      <w:r>
        <w:rPr/>
        <w:t>规定履行信息披露义务，截至</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日已披露的重要信息索引如下：</w:t>
      </w:r>
    </w:p>
    <w:p>
      <w:pPr>
        <w:spacing w:line="240" w:lineRule="auto" w:before="7"/>
        <w:rPr>
          <w:rFonts w:ascii="宋体" w:hAnsi="宋体" w:cs="宋体" w:eastAsia="宋体" w:hint="default"/>
          <w:sz w:val="22"/>
          <w:szCs w:val="22"/>
        </w:rPr>
      </w:pPr>
    </w:p>
    <w:tbl>
      <w:tblPr>
        <w:tblW w:w="0" w:type="auto"/>
        <w:jc w:val="left"/>
        <w:tblInd w:w="116" w:type="dxa"/>
        <w:tblLayout w:type="fixed"/>
        <w:tblCellMar>
          <w:top w:w="0" w:type="dxa"/>
          <w:left w:w="0" w:type="dxa"/>
          <w:bottom w:w="0" w:type="dxa"/>
          <w:right w:w="0" w:type="dxa"/>
        </w:tblCellMar>
        <w:tblLook w:val="01E0"/>
      </w:tblPr>
      <w:tblGrid>
        <w:gridCol w:w="712"/>
        <w:gridCol w:w="1270"/>
        <w:gridCol w:w="3743"/>
        <w:gridCol w:w="1498"/>
        <w:gridCol w:w="1634"/>
      </w:tblGrid>
      <w:tr>
        <w:trPr>
          <w:trHeight w:val="418" w:hRule="exact"/>
        </w:trPr>
        <w:tc>
          <w:tcPr>
            <w:tcW w:w="712"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47"/>
              <w:ind w:left="130" w:right="0"/>
              <w:jc w:val="left"/>
              <w:rPr>
                <w:rFonts w:ascii="宋体" w:hAnsi="宋体" w:cs="宋体" w:eastAsia="宋体" w:hint="default"/>
                <w:sz w:val="21"/>
                <w:szCs w:val="21"/>
              </w:rPr>
            </w:pPr>
            <w:r>
              <w:rPr>
                <w:rFonts w:ascii="宋体" w:hAnsi="宋体" w:cs="宋体" w:eastAsia="宋体" w:hint="default"/>
                <w:sz w:val="21"/>
                <w:szCs w:val="21"/>
              </w:rPr>
              <w:t>序号</w:t>
            </w:r>
          </w:p>
        </w:tc>
        <w:tc>
          <w:tcPr>
            <w:tcW w:w="1270"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left="207" w:right="0"/>
              <w:jc w:val="left"/>
              <w:rPr>
                <w:rFonts w:ascii="宋体" w:hAnsi="宋体" w:cs="宋体" w:eastAsia="宋体" w:hint="default"/>
                <w:sz w:val="21"/>
                <w:szCs w:val="21"/>
              </w:rPr>
            </w:pPr>
            <w:r>
              <w:rPr>
                <w:rFonts w:ascii="宋体" w:hAnsi="宋体" w:cs="宋体" w:eastAsia="宋体" w:hint="default"/>
                <w:sz w:val="21"/>
                <w:szCs w:val="21"/>
              </w:rPr>
              <w:t>公告编号</w:t>
            </w:r>
          </w:p>
        </w:tc>
        <w:tc>
          <w:tcPr>
            <w:tcW w:w="3743"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right="1"/>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498"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5"/>
              <w:ind w:left="321"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634"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47"/>
              <w:ind w:left="390" w:right="0"/>
              <w:jc w:val="left"/>
              <w:rPr>
                <w:rFonts w:ascii="宋体" w:hAnsi="宋体" w:cs="宋体" w:eastAsia="宋体" w:hint="default"/>
                <w:sz w:val="21"/>
                <w:szCs w:val="21"/>
              </w:rPr>
            </w:pPr>
            <w:r>
              <w:rPr>
                <w:rFonts w:ascii="宋体" w:hAnsi="宋体" w:cs="宋体" w:eastAsia="宋体" w:hint="default"/>
                <w:sz w:val="21"/>
                <w:szCs w:val="21"/>
              </w:rPr>
              <w:t>披露媒体</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年年度报告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2011-002</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年年度报告摘要</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2011-003</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第一届董事会第十次会议决议的公告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4</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2011-004</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第一届监事会第五次会议决议的公告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5</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2011-005</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关于召开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年度股东大会通知的公</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6</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2011-006</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对两个全资子公司进行增资的公告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2011-04-14</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7</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2011-007</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年第一季度季度报告正文</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8</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2011-008</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年第一季度季度报告全文</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9</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2011-009</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第一届董事会第十一次会议决议的公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21" w:hRule="exact"/>
        </w:trPr>
        <w:tc>
          <w:tcPr>
            <w:tcW w:w="712"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10</w:t>
            </w:r>
          </w:p>
        </w:tc>
        <w:tc>
          <w:tcPr>
            <w:tcW w:w="127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2011-010</w:t>
            </w:r>
          </w:p>
        </w:tc>
        <w:tc>
          <w:tcPr>
            <w:tcW w:w="374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第一届监事会第六次会议决议的公告</w:t>
            </w:r>
          </w:p>
        </w:tc>
        <w:tc>
          <w:tcPr>
            <w:tcW w:w="149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2011-04-23</w:t>
            </w:r>
          </w:p>
        </w:tc>
        <w:tc>
          <w:tcPr>
            <w:tcW w:w="1634"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bl>
    <w:p>
      <w:pPr>
        <w:spacing w:after="0" w:line="241" w:lineRule="exact"/>
        <w:jc w:val="left"/>
        <w:rPr>
          <w:rFonts w:ascii="宋体" w:hAnsi="宋体" w:cs="宋体" w:eastAsia="宋体" w:hint="default"/>
          <w:sz w:val="21"/>
          <w:szCs w:val="21"/>
        </w:rPr>
        <w:sectPr>
          <w:pgSz w:w="12240" w:h="15840"/>
          <w:pgMar w:header="0" w:footer="688" w:top="140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712"/>
        <w:gridCol w:w="1270"/>
        <w:gridCol w:w="3743"/>
        <w:gridCol w:w="1498"/>
        <w:gridCol w:w="1634"/>
      </w:tblGrid>
      <w:tr>
        <w:trPr>
          <w:trHeight w:val="419" w:hRule="exact"/>
        </w:trPr>
        <w:tc>
          <w:tcPr>
            <w:tcW w:w="712"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47"/>
              <w:ind w:left="130" w:right="0"/>
              <w:jc w:val="left"/>
              <w:rPr>
                <w:rFonts w:ascii="宋体" w:hAnsi="宋体" w:cs="宋体" w:eastAsia="宋体" w:hint="default"/>
                <w:sz w:val="21"/>
                <w:szCs w:val="21"/>
              </w:rPr>
            </w:pPr>
            <w:r>
              <w:rPr>
                <w:rFonts w:ascii="宋体" w:hAnsi="宋体" w:cs="宋体" w:eastAsia="宋体" w:hint="default"/>
                <w:sz w:val="21"/>
                <w:szCs w:val="21"/>
              </w:rPr>
              <w:t>序号</w:t>
            </w:r>
          </w:p>
        </w:tc>
        <w:tc>
          <w:tcPr>
            <w:tcW w:w="1270"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left="207" w:right="0"/>
              <w:jc w:val="left"/>
              <w:rPr>
                <w:rFonts w:ascii="宋体" w:hAnsi="宋体" w:cs="宋体" w:eastAsia="宋体" w:hint="default"/>
                <w:sz w:val="21"/>
                <w:szCs w:val="21"/>
              </w:rPr>
            </w:pPr>
            <w:r>
              <w:rPr>
                <w:rFonts w:ascii="宋体" w:hAnsi="宋体" w:cs="宋体" w:eastAsia="宋体" w:hint="default"/>
                <w:sz w:val="21"/>
                <w:szCs w:val="21"/>
              </w:rPr>
              <w:t>公告编号</w:t>
            </w:r>
          </w:p>
        </w:tc>
        <w:tc>
          <w:tcPr>
            <w:tcW w:w="3743"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right="1"/>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498"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5"/>
              <w:ind w:left="321"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634"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47"/>
              <w:ind w:left="389" w:right="0"/>
              <w:jc w:val="left"/>
              <w:rPr>
                <w:rFonts w:ascii="宋体" w:hAnsi="宋体" w:cs="宋体" w:eastAsia="宋体" w:hint="default"/>
                <w:sz w:val="21"/>
                <w:szCs w:val="21"/>
              </w:rPr>
            </w:pPr>
            <w:r>
              <w:rPr>
                <w:rFonts w:ascii="宋体" w:hAnsi="宋体" w:cs="宋体" w:eastAsia="宋体" w:hint="default"/>
                <w:sz w:val="21"/>
                <w:szCs w:val="21"/>
              </w:rPr>
              <w:t>披露媒体</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pacing w:val="-3"/>
                <w:sz w:val="21"/>
              </w:rPr>
              <w:t>2011-011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关于更换职工代表监事的公告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2011-04-27</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12</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2011-012</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关于举行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年度网上业绩说明会的</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2011-04-29</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13</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2011-013</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年度股东大会的法律意见书</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2011-05-06</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14</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2011-014</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年年度股东大会决议公告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2011-05-06</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15</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2011-015</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关于网下配售股份上市流通的提示性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2011-06-13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16</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2011-016</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关于使用募集资金置换先期投入募集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资金投资项目自筹资金的公告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color w:val="323232"/>
                <w:sz w:val="21"/>
              </w:rPr>
              <w:t>2011-06-24</w:t>
            </w:r>
            <w:r>
              <w:rPr>
                <w:rFonts w:ascii="Times New Roman"/>
                <w:sz w:val="21"/>
              </w:rPr>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17</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2011-017</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第一届董事会第十二次会议决议的公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2011-06-24</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18</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2011-018</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第一届监事会第七次会议决议的公告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2011-06-24</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19</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2011-019</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半年度业绩快报</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2011-07-21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2011-020</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年半年度报告摘要</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2011-08-12</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21</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2011-021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hyperlink r:id="rId32">
              <w:r>
                <w:rPr>
                  <w:rFonts w:ascii="宋体" w:hAnsi="宋体" w:cs="宋体" w:eastAsia="宋体" w:hint="default"/>
                  <w:sz w:val="21"/>
                  <w:szCs w:val="21"/>
                </w:rPr>
                <w:t>第一届董事会第十三次会议决议的公</w:t>
              </w:r>
            </w:hyperlink>
          </w:p>
          <w:p>
            <w:pPr>
              <w:pStyle w:val="TableParagraph"/>
              <w:spacing w:line="274" w:lineRule="exact"/>
              <w:ind w:left="100" w:right="0"/>
              <w:jc w:val="left"/>
              <w:rPr>
                <w:rFonts w:ascii="宋体" w:hAnsi="宋体" w:cs="宋体" w:eastAsia="宋体" w:hint="default"/>
                <w:sz w:val="21"/>
                <w:szCs w:val="21"/>
              </w:rPr>
            </w:pPr>
            <w:hyperlink r:id="rId32">
              <w:r>
                <w:rPr>
                  <w:rFonts w:ascii="宋体" w:hAnsi="宋体" w:cs="宋体" w:eastAsia="宋体" w:hint="default"/>
                  <w:sz w:val="21"/>
                  <w:szCs w:val="21"/>
                </w:rPr>
                <w:t>告</w:t>
              </w:r>
            </w:hyperlink>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2011-08-12</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22</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2011-022</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年半年度报告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2011-08-12</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23</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2011-023</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hyperlink r:id="rId33">
              <w:r>
                <w:rPr>
                  <w:rFonts w:ascii="宋体" w:hAnsi="宋体" w:cs="宋体" w:eastAsia="宋体" w:hint="default"/>
                  <w:sz w:val="21"/>
                  <w:szCs w:val="21"/>
                </w:rPr>
                <w:t>关于加强上市公司治理专项活动的自</w:t>
              </w:r>
            </w:hyperlink>
          </w:p>
          <w:p>
            <w:pPr>
              <w:pStyle w:val="TableParagraph"/>
              <w:spacing w:line="274" w:lineRule="exact"/>
              <w:ind w:left="100" w:right="0"/>
              <w:jc w:val="left"/>
              <w:rPr>
                <w:rFonts w:ascii="宋体" w:hAnsi="宋体" w:cs="宋体" w:eastAsia="宋体" w:hint="default"/>
                <w:sz w:val="21"/>
                <w:szCs w:val="21"/>
              </w:rPr>
            </w:pPr>
            <w:hyperlink r:id="rId33">
              <w:r>
                <w:rPr>
                  <w:rFonts w:ascii="宋体" w:hAnsi="宋体" w:cs="宋体" w:eastAsia="宋体" w:hint="default"/>
                  <w:sz w:val="21"/>
                  <w:szCs w:val="21"/>
                </w:rPr>
                <w:t>查报告和整改计划</w:t>
              </w:r>
            </w:hyperlink>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2011-08-12</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24</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2011-24</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第一届董事会第十四次会议决议的公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2011-10-21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34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25</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2011-25</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年第三季度报告正文</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2011-10-21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26</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2011-26</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年第三季度报告全文</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2011-10-21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27</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2011-27</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第一届监事会第九次会议决议的公告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2011-10-21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28</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2011-28</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第一届董事会第十五次会议决议的公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2011-12-13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29</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2011-29</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第一届监事会第十次会议决议的公告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2011-12-13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2011-30</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关于加强上市公司治理专项活动的整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改报告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2011-12-13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31</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2011-31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关于聘任公司董事会秘书、副总经理的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2011-12-13</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32</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关于签订募集资金三方监管协议的公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2011-03-31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33</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2011-002</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2011-04-09</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60"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34</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2011-003</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4" w:right="0"/>
              <w:jc w:val="left"/>
              <w:rPr>
                <w:rFonts w:ascii="Times New Roman" w:hAnsi="Times New Roman" w:cs="Times New Roman" w:eastAsia="Times New Roman" w:hint="default"/>
                <w:sz w:val="21"/>
                <w:szCs w:val="21"/>
              </w:rPr>
            </w:pPr>
            <w:hyperlink r:id="rId34">
              <w:r>
                <w:rPr>
                  <w:rFonts w:ascii="宋体" w:hAnsi="宋体" w:cs="宋体" w:eastAsia="宋体" w:hint="default"/>
                  <w:spacing w:val="3"/>
                  <w:sz w:val="21"/>
                  <w:szCs w:val="21"/>
                </w:rPr>
                <w:t>国信证券股份有限公司关于公司</w:t>
              </w:r>
              <w:r>
                <w:rPr>
                  <w:rFonts w:ascii="宋体" w:hAnsi="宋体" w:cs="宋体" w:eastAsia="宋体" w:hint="default"/>
                  <w:spacing w:val="4"/>
                  <w:sz w:val="21"/>
                  <w:szCs w:val="21"/>
                </w:rPr>
                <w:t> </w:t>
              </w:r>
              <w:r>
                <w:rPr>
                  <w:rFonts w:ascii="Times New Roman" w:hAnsi="Times New Roman" w:cs="Times New Roman" w:eastAsia="Times New Roman" w:hint="default"/>
                  <w:sz w:val="21"/>
                  <w:szCs w:val="21"/>
                </w:rPr>
                <w:t>2010</w:t>
              </w:r>
            </w:hyperlink>
          </w:p>
          <w:p>
            <w:pPr>
              <w:pStyle w:val="TableParagraph"/>
              <w:spacing w:line="266" w:lineRule="exact"/>
              <w:ind w:left="100" w:right="0"/>
              <w:jc w:val="left"/>
              <w:rPr>
                <w:rFonts w:ascii="宋体" w:hAnsi="宋体" w:cs="宋体" w:eastAsia="宋体" w:hint="default"/>
                <w:sz w:val="21"/>
                <w:szCs w:val="21"/>
              </w:rPr>
            </w:pPr>
            <w:hyperlink r:id="rId34">
              <w:r>
                <w:rPr>
                  <w:rFonts w:ascii="宋体" w:hAnsi="宋体" w:cs="宋体" w:eastAsia="宋体" w:hint="default"/>
                  <w:sz w:val="21"/>
                  <w:szCs w:val="21"/>
                </w:rPr>
                <w:t>年度持续督导跟踪报告</w:t>
              </w:r>
            </w:hyperlink>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color w:val="323232"/>
                <w:sz w:val="21"/>
              </w:rPr>
              <w:t>2011-04-29</w:t>
            </w:r>
            <w:r>
              <w:rPr>
                <w:rFonts w:ascii="Times New Roman"/>
                <w:sz w:val="21"/>
              </w:rPr>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35</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2011-004</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关于子公司完成工商变更登记的公告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color w:val="323232"/>
                <w:sz w:val="21"/>
              </w:rPr>
              <w:t>2011-06-14</w:t>
            </w:r>
            <w:r>
              <w:rPr>
                <w:rFonts w:ascii="Times New Roman"/>
                <w:sz w:val="21"/>
              </w:rPr>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9" w:hRule="exact"/>
        </w:trPr>
        <w:tc>
          <w:tcPr>
            <w:tcW w:w="712"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36</w:t>
            </w:r>
          </w:p>
        </w:tc>
        <w:tc>
          <w:tcPr>
            <w:tcW w:w="1270" w:type="dxa"/>
            <w:tcBorders>
              <w:top w:val="single" w:sz="6" w:space="0" w:color="000000"/>
              <w:left w:val="single" w:sz="6" w:space="0" w:color="000000"/>
              <w:bottom w:val="single" w:sz="12"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2011-005</w:t>
            </w:r>
          </w:p>
        </w:tc>
        <w:tc>
          <w:tcPr>
            <w:tcW w:w="374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关于开通投资者关系互动平台及举行</w:t>
            </w:r>
          </w:p>
        </w:tc>
        <w:tc>
          <w:tcPr>
            <w:tcW w:w="149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color w:val="323232"/>
                <w:sz w:val="21"/>
              </w:rPr>
              <w:t>2011-06-18</w:t>
            </w:r>
            <w:r>
              <w:rPr>
                <w:rFonts w:ascii="Times New Roman"/>
                <w:sz w:val="21"/>
              </w:rPr>
            </w:r>
          </w:p>
        </w:tc>
        <w:tc>
          <w:tcPr>
            <w:tcW w:w="1634"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bl>
    <w:p>
      <w:pPr>
        <w:spacing w:after="0" w:line="241" w:lineRule="exact"/>
        <w:jc w:val="left"/>
        <w:rPr>
          <w:rFonts w:ascii="宋体" w:hAnsi="宋体" w:cs="宋体" w:eastAsia="宋体" w:hint="default"/>
          <w:sz w:val="21"/>
          <w:szCs w:val="21"/>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712"/>
        <w:gridCol w:w="1270"/>
        <w:gridCol w:w="3743"/>
        <w:gridCol w:w="1498"/>
        <w:gridCol w:w="1634"/>
      </w:tblGrid>
      <w:tr>
        <w:trPr>
          <w:trHeight w:val="419" w:hRule="exact"/>
        </w:trPr>
        <w:tc>
          <w:tcPr>
            <w:tcW w:w="712"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47"/>
              <w:ind w:left="130" w:right="0"/>
              <w:jc w:val="left"/>
              <w:rPr>
                <w:rFonts w:ascii="宋体" w:hAnsi="宋体" w:cs="宋体" w:eastAsia="宋体" w:hint="default"/>
                <w:sz w:val="21"/>
                <w:szCs w:val="21"/>
              </w:rPr>
            </w:pPr>
            <w:r>
              <w:rPr>
                <w:rFonts w:ascii="宋体" w:hAnsi="宋体" w:cs="宋体" w:eastAsia="宋体" w:hint="default"/>
                <w:sz w:val="21"/>
                <w:szCs w:val="21"/>
              </w:rPr>
              <w:t>序号</w:t>
            </w:r>
          </w:p>
        </w:tc>
        <w:tc>
          <w:tcPr>
            <w:tcW w:w="1270"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3743"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47"/>
              <w:ind w:right="1"/>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1498"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5"/>
              <w:ind w:left="321"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634"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47"/>
              <w:ind w:left="390" w:right="0"/>
              <w:jc w:val="left"/>
              <w:rPr>
                <w:rFonts w:ascii="宋体" w:hAnsi="宋体" w:cs="宋体" w:eastAsia="宋体" w:hint="default"/>
                <w:sz w:val="21"/>
                <w:szCs w:val="21"/>
              </w:rPr>
            </w:pPr>
            <w:r>
              <w:rPr>
                <w:rFonts w:ascii="宋体" w:hAnsi="宋体" w:cs="宋体" w:eastAsia="宋体" w:hint="default"/>
                <w:sz w:val="21"/>
                <w:szCs w:val="21"/>
              </w:rPr>
              <w:t>披露媒体</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投资者接待日活动的公告</w:t>
            </w:r>
          </w:p>
        </w:tc>
        <w:tc>
          <w:tcPr>
            <w:tcW w:w="1498" w:type="dxa"/>
            <w:tcBorders>
              <w:top w:val="single" w:sz="6" w:space="0" w:color="000000"/>
              <w:left w:val="single" w:sz="6" w:space="0" w:color="000000"/>
              <w:bottom w:val="single" w:sz="6" w:space="0" w:color="000000"/>
              <w:right w:val="single" w:sz="6" w:space="0" w:color="000000"/>
            </w:tcBorders>
          </w:tcPr>
          <w:p>
            <w:pPr/>
          </w:p>
        </w:tc>
        <w:tc>
          <w:tcPr>
            <w:tcW w:w="1634"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37</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2011-006</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关于子公司完成工商变更登记的公告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color w:val="323232"/>
                <w:sz w:val="21"/>
              </w:rPr>
              <w:t>2011-06-18</w:t>
            </w:r>
            <w:r>
              <w:rPr>
                <w:rFonts w:ascii="Times New Roman"/>
                <w:sz w:val="21"/>
              </w:rPr>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38</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2011-007</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关于子公司取得技术贸易机构资格证</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2011-07-20</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39</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2011-008</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关于获得政府补助的公告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2011-08-02</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3"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40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43"/>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Times New Roman" w:hAnsi="Times New Roman" w:cs="Times New Roman" w:eastAsia="Times New Roman" w:hint="default"/>
                <w:sz w:val="21"/>
                <w:szCs w:val="21"/>
              </w:rPr>
              <w:t>2011-008</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关于获得厦门市著名商标的公告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2011-08-04</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12"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41</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43"/>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Times New Roman" w:hAnsi="Times New Roman" w:cs="Times New Roman" w:eastAsia="Times New Roman" w:hint="default"/>
                <w:sz w:val="21"/>
                <w:szCs w:val="21"/>
              </w:rPr>
              <w:t>2011-010</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关于董事会秘书辞职的公告</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2011-09-17</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559" w:hRule="exact"/>
        </w:trPr>
        <w:tc>
          <w:tcPr>
            <w:tcW w:w="712" w:type="dxa"/>
            <w:tcBorders>
              <w:top w:val="single" w:sz="6" w:space="0" w:color="000000"/>
              <w:left w:val="single" w:sz="12" w:space="0" w:color="000000"/>
              <w:bottom w:val="single" w:sz="6"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42</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2011-011</w:t>
            </w:r>
          </w:p>
        </w:tc>
        <w:tc>
          <w:tcPr>
            <w:tcW w:w="374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hyperlink r:id="rId34">
              <w:r>
                <w:rPr>
                  <w:rFonts w:ascii="宋体" w:hAnsi="宋体" w:cs="宋体" w:eastAsia="宋体" w:hint="default"/>
                  <w:sz w:val="21"/>
                  <w:szCs w:val="21"/>
                </w:rPr>
                <w:t>国信证券股份有限公司关于公司</w:t>
              </w:r>
              <w:r>
                <w:rPr>
                  <w:rFonts w:ascii="Times New Roman" w:hAnsi="Times New Roman" w:cs="Times New Roman" w:eastAsia="Times New Roman" w:hint="default"/>
                  <w:sz w:val="21"/>
                  <w:szCs w:val="21"/>
                </w:rPr>
                <w:t>2011</w:t>
              </w:r>
            </w:hyperlink>
          </w:p>
          <w:p>
            <w:pPr>
              <w:pStyle w:val="TableParagraph"/>
              <w:spacing w:line="266" w:lineRule="exact"/>
              <w:ind w:left="100" w:right="0"/>
              <w:jc w:val="left"/>
              <w:rPr>
                <w:rFonts w:ascii="宋体" w:hAnsi="宋体" w:cs="宋体" w:eastAsia="宋体" w:hint="default"/>
                <w:sz w:val="21"/>
                <w:szCs w:val="21"/>
              </w:rPr>
            </w:pPr>
            <w:hyperlink r:id="rId34">
              <w:r>
                <w:rPr>
                  <w:rFonts w:ascii="宋体" w:hAnsi="宋体" w:cs="宋体" w:eastAsia="宋体" w:hint="default"/>
                  <w:sz w:val="21"/>
                  <w:szCs w:val="21"/>
                </w:rPr>
                <w:t>年半年度持续督导跟踪报告</w:t>
              </w:r>
            </w:hyperlink>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2011-11-01</w:t>
            </w:r>
          </w:p>
        </w:tc>
        <w:tc>
          <w:tcPr>
            <w:tcW w:w="1634" w:type="dxa"/>
            <w:tcBorders>
              <w:top w:val="single" w:sz="6" w:space="0" w:color="000000"/>
              <w:left w:val="single" w:sz="6" w:space="0" w:color="000000"/>
              <w:bottom w:val="single" w:sz="6"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r>
        <w:trPr>
          <w:trHeight w:val="421" w:hRule="exact"/>
        </w:trPr>
        <w:tc>
          <w:tcPr>
            <w:tcW w:w="712" w:type="dxa"/>
            <w:tcBorders>
              <w:top w:val="single" w:sz="6" w:space="0" w:color="000000"/>
              <w:left w:val="single" w:sz="12" w:space="0" w:color="000000"/>
              <w:bottom w:val="single" w:sz="12" w:space="0" w:color="000000"/>
              <w:right w:val="single" w:sz="6" w:space="0" w:color="000000"/>
            </w:tcBorders>
          </w:tcPr>
          <w:p>
            <w:pPr>
              <w:pStyle w:val="TableParagraph"/>
              <w:spacing w:line="241" w:lineRule="exact"/>
              <w:ind w:left="93" w:right="0"/>
              <w:jc w:val="left"/>
              <w:rPr>
                <w:rFonts w:ascii="Times New Roman" w:hAnsi="Times New Roman" w:cs="Times New Roman" w:eastAsia="Times New Roman" w:hint="default"/>
                <w:sz w:val="21"/>
                <w:szCs w:val="21"/>
              </w:rPr>
            </w:pPr>
            <w:r>
              <w:rPr>
                <w:rFonts w:ascii="Times New Roman"/>
                <w:sz w:val="21"/>
              </w:rPr>
              <w:t>43</w:t>
            </w:r>
          </w:p>
        </w:tc>
        <w:tc>
          <w:tcPr>
            <w:tcW w:w="1270" w:type="dxa"/>
            <w:tcBorders>
              <w:top w:val="single" w:sz="6" w:space="0" w:color="000000"/>
              <w:left w:val="single" w:sz="6" w:space="0" w:color="000000"/>
              <w:bottom w:val="single" w:sz="12" w:space="0" w:color="000000"/>
              <w:right w:val="single" w:sz="6" w:space="0" w:color="000000"/>
            </w:tcBorders>
          </w:tcPr>
          <w:p>
            <w:pPr>
              <w:pStyle w:val="TableParagraph"/>
              <w:spacing w:line="257"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临</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2011-011</w:t>
            </w:r>
          </w:p>
        </w:tc>
        <w:tc>
          <w:tcPr>
            <w:tcW w:w="3743"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关于签订合作意向书的公告</w:t>
            </w:r>
          </w:p>
        </w:tc>
        <w:tc>
          <w:tcPr>
            <w:tcW w:w="1498"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100" w:right="0"/>
              <w:jc w:val="left"/>
              <w:rPr>
                <w:rFonts w:ascii="Times New Roman" w:hAnsi="Times New Roman" w:cs="Times New Roman" w:eastAsia="Times New Roman" w:hint="default"/>
                <w:sz w:val="21"/>
                <w:szCs w:val="21"/>
              </w:rPr>
            </w:pPr>
            <w:r>
              <w:rPr>
                <w:rFonts w:ascii="Times New Roman"/>
                <w:sz w:val="21"/>
              </w:rPr>
              <w:t>2011-12-28</w:t>
            </w:r>
          </w:p>
        </w:tc>
        <w:tc>
          <w:tcPr>
            <w:tcW w:w="1634" w:type="dxa"/>
            <w:tcBorders>
              <w:top w:val="single" w:sz="6" w:space="0" w:color="000000"/>
              <w:left w:val="single" w:sz="6" w:space="0" w:color="000000"/>
              <w:bottom w:val="single" w:sz="12" w:space="0" w:color="000000"/>
              <w:right w:val="single" w:sz="12"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巨潮资讯网</w:t>
            </w:r>
          </w:p>
        </w:tc>
      </w:tr>
    </w:tbl>
    <w:p>
      <w:pPr>
        <w:spacing w:after="0" w:line="241" w:lineRule="exact"/>
        <w:jc w:val="left"/>
        <w:rPr>
          <w:rFonts w:ascii="宋体" w:hAnsi="宋体" w:cs="宋体" w:eastAsia="宋体" w:hint="default"/>
          <w:sz w:val="21"/>
          <w:szCs w:val="21"/>
        </w:rPr>
        <w:sectPr>
          <w:pgSz w:w="12240" w:h="15840"/>
          <w:pgMar w:header="0" w:footer="688" w:top="1360" w:bottom="880" w:left="1560" w:right="1560"/>
        </w:sectPr>
      </w:pPr>
    </w:p>
    <w:p>
      <w:pPr>
        <w:tabs>
          <w:tab w:pos="3635" w:val="left" w:leader="none"/>
        </w:tabs>
        <w:spacing w:line="415" w:lineRule="auto" w:before="94"/>
        <w:ind w:left="600" w:right="1017" w:firstLine="1750"/>
        <w:jc w:val="left"/>
        <w:rPr>
          <w:rFonts w:ascii="宋体" w:hAnsi="宋体" w:cs="宋体" w:eastAsia="宋体" w:hint="default"/>
          <w:sz w:val="24"/>
          <w:szCs w:val="24"/>
        </w:rPr>
      </w:pPr>
      <w:bookmarkStart w:name="_bookmark4" w:id="5"/>
      <w:bookmarkEnd w:id="5"/>
      <w:r>
        <w:rPr/>
      </w:r>
      <w:r>
        <w:rPr>
          <w:rFonts w:ascii="黑体" w:hAnsi="黑体" w:cs="黑体" w:eastAsia="黑体" w:hint="default"/>
          <w:b/>
          <w:bCs/>
          <w:w w:val="95"/>
          <w:sz w:val="32"/>
          <w:szCs w:val="32"/>
        </w:rPr>
        <w:t>第五节</w:t>
        <w:tab/>
      </w:r>
      <w:r>
        <w:rPr>
          <w:rFonts w:ascii="黑体" w:hAnsi="黑体" w:cs="黑体" w:eastAsia="黑体" w:hint="default"/>
          <w:b/>
          <w:bCs/>
          <w:sz w:val="32"/>
          <w:szCs w:val="32"/>
        </w:rPr>
        <w:t>股本变动及股东情况</w:t>
      </w:r>
      <w:r>
        <w:rPr>
          <w:rFonts w:ascii="黑体" w:hAnsi="黑体" w:cs="黑体" w:eastAsia="黑体" w:hint="default"/>
          <w:b/>
          <w:bCs/>
          <w:spacing w:val="1"/>
          <w:w w:val="99"/>
          <w:sz w:val="32"/>
          <w:szCs w:val="32"/>
        </w:rPr>
        <w:t> </w:t>
      </w:r>
      <w:r>
        <w:rPr>
          <w:rFonts w:ascii="宋体" w:hAnsi="宋体" w:cs="宋体" w:eastAsia="宋体" w:hint="default"/>
          <w:b/>
          <w:bCs/>
          <w:sz w:val="28"/>
          <w:szCs w:val="28"/>
        </w:rPr>
        <w:t>一、证券发行和上市情况</w:t>
      </w:r>
      <w:r>
        <w:rPr>
          <w:rFonts w:ascii="宋体" w:hAnsi="宋体" w:cs="宋体" w:eastAsia="宋体" w:hint="default"/>
          <w:b/>
          <w:bCs/>
          <w:spacing w:val="1"/>
          <w:w w:val="99"/>
          <w:sz w:val="28"/>
          <w:szCs w:val="28"/>
        </w:rPr>
        <w:t> </w:t>
      </w:r>
      <w:r>
        <w:rPr>
          <w:rFonts w:ascii="宋体" w:hAnsi="宋体" w:cs="宋体" w:eastAsia="宋体" w:hint="default"/>
          <w:spacing w:val="-2"/>
          <w:sz w:val="24"/>
          <w:szCs w:val="24"/>
        </w:rPr>
        <w:t>经中国证券监督管理委员会证监许可</w:t>
      </w:r>
      <w:r>
        <w:rPr>
          <w:rFonts w:ascii="Times New Roman" w:hAnsi="Times New Roman" w:cs="Times New Roman" w:eastAsia="Times New Roman" w:hint="default"/>
          <w:spacing w:val="-2"/>
          <w:sz w:val="24"/>
          <w:szCs w:val="24"/>
        </w:rPr>
        <w:t>[2011]263</w:t>
      </w:r>
      <w:r>
        <w:rPr>
          <w:rFonts w:ascii="宋体" w:hAnsi="宋体" w:cs="宋体" w:eastAsia="宋体" w:hint="default"/>
          <w:spacing w:val="-2"/>
          <w:sz w:val="24"/>
          <w:szCs w:val="24"/>
        </w:rPr>
        <w:t>号文核准，公司首次公开发行人</w:t>
      </w:r>
    </w:p>
    <w:p>
      <w:pPr>
        <w:pStyle w:val="BodyText"/>
        <w:spacing w:line="273" w:lineRule="exact"/>
        <w:ind w:left="120" w:right="0"/>
        <w:jc w:val="both"/>
      </w:pPr>
      <w:r>
        <w:rPr/>
        <w:t>民币普通股</w:t>
      </w:r>
      <w:r>
        <w:rPr>
          <w:rFonts w:ascii="Times New Roman" w:hAnsi="Times New Roman" w:cs="Times New Roman" w:eastAsia="Times New Roman" w:hint="default"/>
        </w:rPr>
        <w:t>1,350.00</w:t>
      </w:r>
      <w:r>
        <w:rPr/>
        <w:t>万股，发行价格为人民币</w:t>
      </w:r>
      <w:r>
        <w:rPr>
          <w:rFonts w:ascii="Times New Roman" w:hAnsi="Times New Roman" w:cs="Times New Roman" w:eastAsia="Times New Roman" w:hint="default"/>
        </w:rPr>
        <w:t>40.00</w:t>
      </w:r>
      <w:r>
        <w:rPr/>
        <w:t>元</w:t>
      </w:r>
      <w:r>
        <w:rPr>
          <w:rFonts w:ascii="Times New Roman" w:hAnsi="Times New Roman" w:cs="Times New Roman" w:eastAsia="Times New Roman" w:hint="default"/>
        </w:rPr>
        <w:t>/</w:t>
      </w:r>
      <w:r>
        <w:rPr/>
        <w:t>股，本次公开发行股票募集资</w:t>
      </w:r>
    </w:p>
    <w:p>
      <w:pPr>
        <w:pStyle w:val="BodyText"/>
        <w:spacing w:line="338" w:lineRule="auto" w:before="134"/>
        <w:ind w:left="120" w:right="1016"/>
        <w:jc w:val="both"/>
      </w:pPr>
      <w:r>
        <w:rPr/>
        <w:t>金总额为</w:t>
      </w:r>
      <w:r>
        <w:rPr>
          <w:rFonts w:ascii="Times New Roman" w:hAnsi="Times New Roman" w:cs="Times New Roman" w:eastAsia="Times New Roman" w:hint="default"/>
        </w:rPr>
        <w:t>540,000,000.00</w:t>
      </w:r>
      <w:r>
        <w:rPr/>
        <w:t>元，扣除各项发行费用人民币</w:t>
      </w:r>
      <w:r>
        <w:rPr>
          <w:rFonts w:ascii="Times New Roman" w:hAnsi="Times New Roman" w:cs="Times New Roman" w:eastAsia="Times New Roman" w:hint="default"/>
        </w:rPr>
        <w:t>38,593,965.00</w:t>
      </w:r>
      <w:r>
        <w:rPr/>
        <w:t>元，募集资金净 额为人民币</w:t>
      </w:r>
      <w:r>
        <w:rPr>
          <w:rFonts w:ascii="Times New Roman" w:hAnsi="Times New Roman" w:cs="Times New Roman" w:eastAsia="Times New Roman" w:hint="default"/>
        </w:rPr>
        <w:t>501,406,035.00</w:t>
      </w:r>
      <w:r>
        <w:rPr/>
        <w:t>元。天健正信会计师事务所有限公司已于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10</w:t>
      </w:r>
      <w:r>
        <w:rPr/>
        <w:t>日</w:t>
      </w:r>
      <w:r>
        <w:rPr>
          <w:spacing w:val="-69"/>
        </w:rPr>
        <w:t> </w:t>
      </w:r>
      <w:r>
        <w:rPr>
          <w:spacing w:val="-6"/>
        </w:rPr>
        <w:t>对上述募集资金到位情况进行了审验，并出具了“天健正信验（</w:t>
      </w:r>
      <w:r>
        <w:rPr>
          <w:rFonts w:ascii="Times New Roman" w:hAnsi="Times New Roman" w:cs="Times New Roman" w:eastAsia="Times New Roman" w:hint="default"/>
          <w:spacing w:val="-6"/>
        </w:rPr>
        <w:t>2011</w:t>
      </w:r>
      <w:r>
        <w:rPr>
          <w:spacing w:val="-6"/>
        </w:rPr>
        <w:t>）综字第</w:t>
      </w:r>
      <w:r>
        <w:rPr>
          <w:rFonts w:ascii="Times New Roman" w:hAnsi="Times New Roman" w:cs="Times New Roman" w:eastAsia="Times New Roman" w:hint="default"/>
          <w:spacing w:val="-6"/>
        </w:rPr>
        <w:t>020022</w:t>
      </w:r>
      <w:r>
        <w:rPr>
          <w:rFonts w:ascii="Times New Roman" w:hAnsi="Times New Roman" w:cs="Times New Roman" w:eastAsia="Times New Roman" w:hint="default"/>
          <w:spacing w:val="-48"/>
        </w:rPr>
        <w:t> </w:t>
      </w:r>
      <w:r>
        <w:rPr/>
        <w:t>号”《验资报告》。</w:t>
      </w:r>
    </w:p>
    <w:p>
      <w:pPr>
        <w:pStyle w:val="BodyText"/>
        <w:spacing w:line="340" w:lineRule="auto" w:before="174"/>
        <w:ind w:left="120" w:right="899" w:firstLine="480"/>
        <w:jc w:val="both"/>
      </w:pPr>
      <w:r>
        <w:rPr>
          <w:spacing w:val="-4"/>
        </w:rPr>
        <w:t>根据公司发展战略和规划，自</w:t>
      </w:r>
      <w:r>
        <w:rPr>
          <w:rFonts w:ascii="Times New Roman" w:hAnsi="Times New Roman" w:cs="Times New Roman" w:eastAsia="Times New Roman" w:hint="default"/>
          <w:spacing w:val="-4"/>
        </w:rPr>
        <w:t>2010</w:t>
      </w:r>
      <w:r>
        <w:rPr>
          <w:spacing w:val="-4"/>
        </w:rPr>
        <w:t>年</w:t>
      </w:r>
      <w:r>
        <w:rPr>
          <w:rFonts w:ascii="Times New Roman" w:hAnsi="Times New Roman" w:cs="Times New Roman" w:eastAsia="Times New Roman" w:hint="default"/>
          <w:spacing w:val="-4"/>
        </w:rPr>
        <w:t>1</w:t>
      </w:r>
      <w:r>
        <w:rPr>
          <w:spacing w:val="-4"/>
        </w:rPr>
        <w:t>月公司已陆续启动三个募集资金投资项目</w:t>
      </w:r>
      <w:r>
        <w:rPr/>
        <w:t> </w:t>
      </w:r>
      <w:r>
        <w:rPr>
          <w:spacing w:val="-3"/>
        </w:rPr>
        <w:t>的建设。</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22</w:t>
      </w:r>
      <w:r>
        <w:rPr>
          <w:spacing w:val="-3"/>
        </w:rPr>
        <w:t>日公司第一届董事会第十二次会议审议通过了《关于使用募集</w:t>
      </w:r>
      <w:r>
        <w:rPr/>
        <w:t> 资金置换先期投入募集资金投资项目的自筹资金的议案》，拟以募集资金置换截至 </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日止公司以自筹资金预先投入募投项目的资金人民币</w:t>
      </w:r>
      <w:r>
        <w:rPr>
          <w:rFonts w:ascii="Times New Roman" w:hAnsi="Times New Roman" w:cs="Times New Roman" w:eastAsia="Times New Roman" w:hint="default"/>
        </w:rPr>
        <w:t>64,759,485.59</w:t>
      </w:r>
      <w:r>
        <w:rPr/>
        <w:t>元， </w:t>
      </w:r>
      <w:r>
        <w:rPr>
          <w:spacing w:val="-3"/>
        </w:rPr>
        <w:t>以上事项公司已于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24</w:t>
      </w:r>
      <w:r>
        <w:rPr>
          <w:spacing w:val="-3"/>
        </w:rPr>
        <w:t>日在深圳证券交易所进行公告。截止</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30</w:t>
      </w:r>
      <w:r>
        <w:rPr>
          <w:spacing w:val="-3"/>
        </w:rPr>
        <w:t>日，</w:t>
      </w:r>
      <w:r>
        <w:rPr>
          <w:spacing w:val="-108"/>
        </w:rPr>
        <w:t> </w:t>
      </w:r>
      <w:r>
        <w:rPr/>
        <w:t>公司已办理完募集资金置换手续。</w:t>
      </w:r>
    </w:p>
    <w:p>
      <w:pPr>
        <w:spacing w:line="240" w:lineRule="auto" w:before="6"/>
        <w:rPr>
          <w:rFonts w:ascii="宋体" w:hAnsi="宋体" w:cs="宋体" w:eastAsia="宋体" w:hint="default"/>
          <w:sz w:val="31"/>
          <w:szCs w:val="31"/>
        </w:rPr>
      </w:pPr>
    </w:p>
    <w:p>
      <w:pPr>
        <w:pStyle w:val="Heading2"/>
        <w:spacing w:line="240" w:lineRule="auto"/>
        <w:ind w:right="1017"/>
        <w:jc w:val="left"/>
        <w:rPr>
          <w:b w:val="0"/>
          <w:bCs w:val="0"/>
        </w:rPr>
      </w:pPr>
      <w:r>
        <w:rPr/>
        <w:t>二、股份变动情况表</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1017"/>
        <w:jc w:val="left"/>
        <w:rPr>
          <w:b w:val="0"/>
          <w:bCs w:val="0"/>
        </w:rPr>
      </w:pPr>
      <w:r>
        <w:rPr/>
        <w:t>（一）股份变动情况表</w:t>
      </w:r>
      <w:r>
        <w:rPr>
          <w:b w:val="0"/>
          <w:bCs w:val="0"/>
        </w:rPr>
      </w:r>
    </w:p>
    <w:p>
      <w:pPr>
        <w:spacing w:line="240" w:lineRule="auto" w:before="12"/>
        <w:rPr>
          <w:rFonts w:ascii="宋体" w:hAnsi="宋体" w:cs="宋体" w:eastAsia="宋体" w:hint="default"/>
          <w:b/>
          <w:bCs/>
          <w:sz w:val="18"/>
          <w:szCs w:val="18"/>
        </w:rPr>
      </w:pPr>
    </w:p>
    <w:p>
      <w:pPr>
        <w:spacing w:before="0"/>
        <w:ind w:left="0" w:right="1019"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3"/>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626"/>
        <w:gridCol w:w="1074"/>
        <w:gridCol w:w="910"/>
        <w:gridCol w:w="1070"/>
        <w:gridCol w:w="540"/>
        <w:gridCol w:w="540"/>
        <w:gridCol w:w="1080"/>
        <w:gridCol w:w="720"/>
        <w:gridCol w:w="1130"/>
        <w:gridCol w:w="850"/>
      </w:tblGrid>
      <w:tr>
        <w:trPr>
          <w:trHeight w:val="282" w:hRule="exact"/>
        </w:trPr>
        <w:tc>
          <w:tcPr>
            <w:tcW w:w="1626" w:type="dxa"/>
            <w:vMerge w:val="restart"/>
            <w:tcBorders>
              <w:top w:val="single" w:sz="4" w:space="0" w:color="000000"/>
              <w:left w:val="single" w:sz="4" w:space="0" w:color="000000"/>
              <w:right w:val="single" w:sz="4" w:space="0" w:color="000000"/>
            </w:tcBorders>
            <w:shd w:val="clear" w:color="auto" w:fill="DCDCDC"/>
          </w:tcPr>
          <w:p>
            <w:pPr/>
          </w:p>
        </w:tc>
        <w:tc>
          <w:tcPr>
            <w:tcW w:w="198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6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950"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925" w:right="0"/>
              <w:jc w:val="left"/>
              <w:rPr>
                <w:rFonts w:ascii="宋体" w:hAnsi="宋体" w:cs="宋体" w:eastAsia="宋体" w:hint="default"/>
                <w:sz w:val="21"/>
                <w:szCs w:val="21"/>
              </w:rPr>
            </w:pPr>
            <w:r>
              <w:rPr>
                <w:rFonts w:ascii="宋体" w:hAnsi="宋体" w:cs="宋体" w:eastAsia="宋体" w:hint="default"/>
                <w:sz w:val="21"/>
                <w:szCs w:val="21"/>
              </w:rPr>
              <w:t>本次变动增减（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8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59"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47" w:hRule="exact"/>
        </w:trPr>
        <w:tc>
          <w:tcPr>
            <w:tcW w:w="1626" w:type="dxa"/>
            <w:vMerge/>
            <w:tcBorders>
              <w:left w:val="single" w:sz="4" w:space="0" w:color="000000"/>
              <w:bottom w:val="nil" w:sz="6" w:space="0" w:color="auto"/>
              <w:right w:val="single" w:sz="4" w:space="0" w:color="000000"/>
            </w:tcBorders>
            <w:shd w:val="clear" w:color="auto" w:fill="DCDCDC"/>
          </w:tcPr>
          <w:p>
            <w:pPr/>
          </w:p>
        </w:tc>
        <w:tc>
          <w:tcPr>
            <w:tcW w:w="1074" w:type="dxa"/>
            <w:vMerge w:val="restart"/>
            <w:tcBorders>
              <w:top w:val="single" w:sz="4" w:space="0" w:color="000000"/>
              <w:left w:val="single" w:sz="4" w:space="0" w:color="000000"/>
              <w:right w:val="single" w:sz="4" w:space="0" w:color="000000"/>
            </w:tcBorders>
            <w:shd w:val="clear" w:color="auto" w:fill="DCDCDC"/>
          </w:tcPr>
          <w:p>
            <w:pPr/>
          </w:p>
        </w:tc>
        <w:tc>
          <w:tcPr>
            <w:tcW w:w="910" w:type="dxa"/>
            <w:vMerge w:val="restart"/>
            <w:tcBorders>
              <w:top w:val="single" w:sz="4" w:space="0" w:color="000000"/>
              <w:left w:val="single" w:sz="4" w:space="0" w:color="000000"/>
              <w:right w:val="single" w:sz="4" w:space="0" w:color="000000"/>
            </w:tcBorders>
            <w:shd w:val="clear" w:color="auto" w:fill="DCDCDC"/>
          </w:tcPr>
          <w:p>
            <w:pPr/>
          </w:p>
        </w:tc>
        <w:tc>
          <w:tcPr>
            <w:tcW w:w="1070" w:type="dxa"/>
            <w:vMerge w:val="restart"/>
            <w:tcBorders>
              <w:top w:val="single" w:sz="4" w:space="0" w:color="000000"/>
              <w:left w:val="single" w:sz="4" w:space="0" w:color="000000"/>
              <w:right w:val="single" w:sz="4" w:space="0" w:color="000000"/>
            </w:tcBorders>
            <w:shd w:val="clear" w:color="auto" w:fill="DCDCDC"/>
          </w:tcPr>
          <w:p>
            <w:pPr/>
          </w:p>
        </w:tc>
        <w:tc>
          <w:tcPr>
            <w:tcW w:w="540" w:type="dxa"/>
            <w:vMerge w:val="restart"/>
            <w:tcBorders>
              <w:top w:val="single" w:sz="4" w:space="0" w:color="000000"/>
              <w:left w:val="single" w:sz="4" w:space="0" w:color="000000"/>
              <w:right w:val="single" w:sz="4" w:space="0" w:color="000000"/>
            </w:tcBorders>
            <w:shd w:val="clear" w:color="auto" w:fill="DCDCDC"/>
          </w:tcPr>
          <w:p>
            <w:pPr/>
          </w:p>
        </w:tc>
        <w:tc>
          <w:tcPr>
            <w:tcW w:w="540"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53" w:right="0"/>
              <w:jc w:val="left"/>
              <w:rPr>
                <w:rFonts w:ascii="宋体" w:hAnsi="宋体" w:cs="宋体" w:eastAsia="宋体" w:hint="default"/>
                <w:sz w:val="21"/>
                <w:szCs w:val="21"/>
              </w:rPr>
            </w:pPr>
            <w:r>
              <w:rPr>
                <w:rFonts w:ascii="宋体" w:hAnsi="宋体" w:cs="宋体" w:eastAsia="宋体" w:hint="default"/>
                <w:sz w:val="21"/>
                <w:szCs w:val="21"/>
              </w:rPr>
              <w:t>公积</w:t>
            </w:r>
          </w:p>
          <w:p>
            <w:pPr>
              <w:pStyle w:val="TableParagraph"/>
              <w:spacing w:line="272" w:lineRule="exact" w:before="26"/>
              <w:ind w:left="159" w:right="54" w:hanging="106"/>
              <w:jc w:val="left"/>
              <w:rPr>
                <w:rFonts w:ascii="宋体" w:hAnsi="宋体" w:cs="宋体" w:eastAsia="宋体" w:hint="default"/>
                <w:sz w:val="21"/>
                <w:szCs w:val="21"/>
              </w:rPr>
            </w:pPr>
            <w:r>
              <w:rPr>
                <w:rFonts w:ascii="宋体" w:hAnsi="宋体" w:cs="宋体" w:eastAsia="宋体" w:hint="default"/>
                <w:sz w:val="21"/>
                <w:szCs w:val="21"/>
              </w:rPr>
              <w:t>金转 股</w:t>
            </w:r>
          </w:p>
        </w:tc>
        <w:tc>
          <w:tcPr>
            <w:tcW w:w="1080" w:type="dxa"/>
            <w:vMerge w:val="restart"/>
            <w:tcBorders>
              <w:top w:val="single" w:sz="4" w:space="0" w:color="000000"/>
              <w:left w:val="single" w:sz="4" w:space="0" w:color="000000"/>
              <w:right w:val="single" w:sz="4" w:space="0" w:color="000000"/>
            </w:tcBorders>
            <w:shd w:val="clear" w:color="auto" w:fill="DCDCDC"/>
          </w:tcPr>
          <w:p>
            <w:pPr/>
          </w:p>
        </w:tc>
        <w:tc>
          <w:tcPr>
            <w:tcW w:w="720" w:type="dxa"/>
            <w:vMerge w:val="restart"/>
            <w:tcBorders>
              <w:top w:val="single" w:sz="4" w:space="0" w:color="000000"/>
              <w:left w:val="single" w:sz="4" w:space="0" w:color="000000"/>
              <w:right w:val="single" w:sz="4" w:space="0" w:color="000000"/>
            </w:tcBorders>
            <w:shd w:val="clear" w:color="auto" w:fill="DCDCDC"/>
          </w:tcPr>
          <w:p>
            <w:pPr/>
          </w:p>
        </w:tc>
        <w:tc>
          <w:tcPr>
            <w:tcW w:w="1130" w:type="dxa"/>
            <w:vMerge w:val="restart"/>
            <w:tcBorders>
              <w:top w:val="single" w:sz="4" w:space="0" w:color="000000"/>
              <w:left w:val="single" w:sz="4" w:space="0" w:color="000000"/>
              <w:right w:val="single" w:sz="4" w:space="0" w:color="000000"/>
            </w:tcBorders>
            <w:shd w:val="clear" w:color="auto" w:fill="DCDCDC"/>
          </w:tcPr>
          <w:p>
            <w:pPr/>
          </w:p>
        </w:tc>
        <w:tc>
          <w:tcPr>
            <w:tcW w:w="850" w:type="dxa"/>
            <w:vMerge w:val="restart"/>
            <w:tcBorders>
              <w:top w:val="single" w:sz="4" w:space="0" w:color="000000"/>
              <w:left w:val="single" w:sz="4" w:space="0" w:color="000000"/>
              <w:right w:val="single" w:sz="4" w:space="0" w:color="000000"/>
            </w:tcBorders>
            <w:shd w:val="clear" w:color="auto" w:fill="DCDCDC"/>
          </w:tcPr>
          <w:p>
            <w:pPr/>
          </w:p>
        </w:tc>
      </w:tr>
      <w:tr>
        <w:trPr>
          <w:trHeight w:val="130" w:hRule="exact"/>
        </w:trPr>
        <w:tc>
          <w:tcPr>
            <w:tcW w:w="1626" w:type="dxa"/>
            <w:vMerge w:val="restart"/>
            <w:tcBorders>
              <w:top w:val="nil" w:sz="6" w:space="0" w:color="auto"/>
              <w:left w:val="single" w:sz="4" w:space="0" w:color="000000"/>
              <w:right w:val="single" w:sz="4" w:space="0" w:color="000000"/>
            </w:tcBorders>
            <w:shd w:val="clear" w:color="auto" w:fill="DCDCDC"/>
          </w:tcPr>
          <w:p>
            <w:pPr/>
          </w:p>
        </w:tc>
        <w:tc>
          <w:tcPr>
            <w:tcW w:w="1074"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070" w:type="dxa"/>
            <w:vMerge/>
            <w:tcBorders>
              <w:left w:val="single" w:sz="4" w:space="0" w:color="000000"/>
              <w:bottom w:val="nil" w:sz="6" w:space="0" w:color="auto"/>
              <w:right w:val="single" w:sz="4" w:space="0" w:color="000000"/>
            </w:tcBorders>
            <w:shd w:val="clear" w:color="auto" w:fill="DCDCDC"/>
          </w:tcPr>
          <w:p>
            <w:pPr/>
          </w:p>
        </w:tc>
        <w:tc>
          <w:tcPr>
            <w:tcW w:w="540" w:type="dxa"/>
            <w:vMerge/>
            <w:tcBorders>
              <w:left w:val="single" w:sz="4" w:space="0" w:color="000000"/>
              <w:bottom w:val="nil" w:sz="6" w:space="0" w:color="auto"/>
              <w:right w:val="single" w:sz="4" w:space="0" w:color="000000"/>
            </w:tcBorders>
            <w:shd w:val="clear" w:color="auto" w:fill="DCDCDC"/>
          </w:tcPr>
          <w:p>
            <w:pPr/>
          </w:p>
        </w:tc>
        <w:tc>
          <w:tcPr>
            <w:tcW w:w="540" w:type="dxa"/>
            <w:vMerge/>
            <w:tcBorders>
              <w:left w:val="single" w:sz="4" w:space="0" w:color="000000"/>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720" w:type="dxa"/>
            <w:vMerge/>
            <w:tcBorders>
              <w:left w:val="single" w:sz="4" w:space="0" w:color="000000"/>
              <w:bottom w:val="nil" w:sz="6" w:space="0" w:color="auto"/>
              <w:right w:val="single" w:sz="4" w:space="0" w:color="000000"/>
            </w:tcBorders>
            <w:shd w:val="clear" w:color="auto" w:fill="DCDCDC"/>
          </w:tcPr>
          <w:p>
            <w:pPr/>
          </w:p>
        </w:tc>
        <w:tc>
          <w:tcPr>
            <w:tcW w:w="1130" w:type="dxa"/>
            <w:vMerge/>
            <w:tcBorders>
              <w:left w:val="single" w:sz="4" w:space="0" w:color="000000"/>
              <w:bottom w:val="nil" w:sz="6" w:space="0" w:color="auto"/>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r>
      <w:tr>
        <w:trPr>
          <w:trHeight w:val="110" w:hRule="exact"/>
        </w:trPr>
        <w:tc>
          <w:tcPr>
            <w:tcW w:w="1626" w:type="dxa"/>
            <w:vMerge/>
            <w:tcBorders>
              <w:left w:val="single" w:sz="4" w:space="0" w:color="000000"/>
              <w:bottom w:val="nil" w:sz="6" w:space="0" w:color="auto"/>
              <w:right w:val="single" w:sz="4" w:space="0" w:color="000000"/>
            </w:tcBorders>
            <w:shd w:val="clear" w:color="auto" w:fill="DCDCDC"/>
          </w:tcPr>
          <w:p>
            <w:pPr/>
          </w:p>
        </w:tc>
        <w:tc>
          <w:tcPr>
            <w:tcW w:w="107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27"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4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07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10"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4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53"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540" w:type="dxa"/>
            <w:vMerge/>
            <w:tcBorders>
              <w:left w:val="single" w:sz="4" w:space="0" w:color="000000"/>
              <w:right w:val="single" w:sz="4" w:space="0" w:color="000000"/>
            </w:tcBorders>
            <w:shd w:val="clear" w:color="auto" w:fill="DCDCDC"/>
          </w:tcPr>
          <w:p>
            <w:pPr/>
          </w:p>
        </w:tc>
        <w:tc>
          <w:tcPr>
            <w:tcW w:w="10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2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7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44"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13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49"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09"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2" w:hRule="exact"/>
        </w:trPr>
        <w:tc>
          <w:tcPr>
            <w:tcW w:w="1626" w:type="dxa"/>
            <w:vMerge w:val="restart"/>
            <w:tcBorders>
              <w:top w:val="nil" w:sz="6" w:space="0" w:color="auto"/>
              <w:left w:val="single" w:sz="4" w:space="0" w:color="000000"/>
              <w:right w:val="single" w:sz="4" w:space="0" w:color="000000"/>
            </w:tcBorders>
            <w:shd w:val="clear" w:color="auto" w:fill="DCDCDC"/>
          </w:tcPr>
          <w:p>
            <w:pPr/>
          </w:p>
        </w:tc>
        <w:tc>
          <w:tcPr>
            <w:tcW w:w="1074"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070" w:type="dxa"/>
            <w:vMerge/>
            <w:tcBorders>
              <w:left w:val="single" w:sz="4" w:space="0" w:color="000000"/>
              <w:bottom w:val="nil" w:sz="6" w:space="0" w:color="auto"/>
              <w:right w:val="single" w:sz="4" w:space="0" w:color="000000"/>
            </w:tcBorders>
            <w:shd w:val="clear" w:color="auto" w:fill="DCDCDC"/>
          </w:tcPr>
          <w:p>
            <w:pPr/>
          </w:p>
        </w:tc>
        <w:tc>
          <w:tcPr>
            <w:tcW w:w="540" w:type="dxa"/>
            <w:vMerge/>
            <w:tcBorders>
              <w:left w:val="single" w:sz="4" w:space="0" w:color="000000"/>
              <w:bottom w:val="nil" w:sz="6" w:space="0" w:color="auto"/>
              <w:right w:val="single" w:sz="4" w:space="0" w:color="000000"/>
            </w:tcBorders>
            <w:shd w:val="clear" w:color="auto" w:fill="DCDCDC"/>
          </w:tcPr>
          <w:p>
            <w:pPr/>
          </w:p>
        </w:tc>
        <w:tc>
          <w:tcPr>
            <w:tcW w:w="540" w:type="dxa"/>
            <w:vMerge/>
            <w:tcBorders>
              <w:left w:val="single" w:sz="4" w:space="0" w:color="000000"/>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720" w:type="dxa"/>
            <w:vMerge/>
            <w:tcBorders>
              <w:left w:val="single" w:sz="4" w:space="0" w:color="000000"/>
              <w:bottom w:val="nil" w:sz="6" w:space="0" w:color="auto"/>
              <w:right w:val="single" w:sz="4" w:space="0" w:color="000000"/>
            </w:tcBorders>
            <w:shd w:val="clear" w:color="auto" w:fill="DCDCDC"/>
          </w:tcPr>
          <w:p>
            <w:pPr/>
          </w:p>
        </w:tc>
        <w:tc>
          <w:tcPr>
            <w:tcW w:w="1130" w:type="dxa"/>
            <w:vMerge/>
            <w:tcBorders>
              <w:left w:val="single" w:sz="4" w:space="0" w:color="000000"/>
              <w:bottom w:val="nil" w:sz="6" w:space="0" w:color="auto"/>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r>
      <w:tr>
        <w:trPr>
          <w:trHeight w:val="278" w:hRule="exact"/>
        </w:trPr>
        <w:tc>
          <w:tcPr>
            <w:tcW w:w="1626" w:type="dxa"/>
            <w:vMerge/>
            <w:tcBorders>
              <w:left w:val="single" w:sz="4" w:space="0" w:color="000000"/>
              <w:bottom w:val="single" w:sz="4" w:space="0" w:color="000000"/>
              <w:right w:val="single" w:sz="4" w:space="0" w:color="000000"/>
            </w:tcBorders>
            <w:shd w:val="clear" w:color="auto" w:fill="DCDCDC"/>
          </w:tcPr>
          <w:p>
            <w:pPr/>
          </w:p>
        </w:tc>
        <w:tc>
          <w:tcPr>
            <w:tcW w:w="1074"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70" w:type="dxa"/>
            <w:tcBorders>
              <w:top w:val="nil" w:sz="6" w:space="0" w:color="auto"/>
              <w:left w:val="single" w:sz="4" w:space="0" w:color="000000"/>
              <w:bottom w:val="single" w:sz="4" w:space="0" w:color="000000"/>
              <w:right w:val="single" w:sz="4" w:space="0" w:color="000000"/>
            </w:tcBorders>
            <w:shd w:val="clear" w:color="auto" w:fill="DCDCDC"/>
          </w:tcPr>
          <w:p>
            <w:pPr/>
          </w:p>
        </w:tc>
        <w:tc>
          <w:tcPr>
            <w:tcW w:w="540" w:type="dxa"/>
            <w:tcBorders>
              <w:top w:val="nil" w:sz="6" w:space="0" w:color="auto"/>
              <w:left w:val="single" w:sz="4" w:space="0" w:color="000000"/>
              <w:bottom w:val="single" w:sz="4" w:space="0" w:color="000000"/>
              <w:right w:val="single" w:sz="4" w:space="0" w:color="000000"/>
            </w:tcBorders>
            <w:shd w:val="clear" w:color="auto" w:fill="DCDCDC"/>
          </w:tcPr>
          <w:p>
            <w:pPr/>
          </w:p>
        </w:tc>
        <w:tc>
          <w:tcPr>
            <w:tcW w:w="54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0" w:type="dxa"/>
            <w:tcBorders>
              <w:top w:val="nil" w:sz="6" w:space="0" w:color="auto"/>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554"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99"/>
                <w:sz w:val="21"/>
                <w:szCs w:val="21"/>
              </w:rPr>
              <w:t>、</w:t>
            </w:r>
            <w:r>
              <w:rPr>
                <w:rFonts w:ascii="宋体" w:hAnsi="宋体" w:cs="宋体" w:eastAsia="宋体" w:hint="default"/>
                <w:sz w:val="21"/>
                <w:szCs w:val="21"/>
              </w:rPr>
              <w:t>有限售条件股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40,000,000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100.00%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2,700,000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-2,700,000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40,000,000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8"/>
              <w:jc w:val="right"/>
              <w:rPr>
                <w:rFonts w:ascii="Times New Roman" w:hAnsi="Times New Roman" w:cs="Times New Roman" w:eastAsia="Times New Roman" w:hint="default"/>
                <w:sz w:val="21"/>
                <w:szCs w:val="21"/>
              </w:rPr>
            </w:pPr>
            <w:r>
              <w:rPr>
                <w:rFonts w:ascii="Times New Roman"/>
                <w:spacing w:val="-1"/>
                <w:sz w:val="21"/>
              </w:rPr>
              <w:t>74.77%</w:t>
            </w:r>
          </w:p>
        </w:tc>
      </w:tr>
      <w:tr>
        <w:trPr>
          <w:trHeight w:val="283"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282"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540,000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-540,000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282"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24,400,000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61.00%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2,160,000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-2,160,000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24,400,000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8"/>
              <w:jc w:val="right"/>
              <w:rPr>
                <w:rFonts w:ascii="Times New Roman" w:hAnsi="Times New Roman" w:cs="Times New Roman" w:eastAsia="Times New Roman" w:hint="default"/>
                <w:sz w:val="21"/>
                <w:szCs w:val="21"/>
              </w:rPr>
            </w:pPr>
            <w:r>
              <w:rPr>
                <w:rFonts w:ascii="Times New Roman"/>
                <w:spacing w:val="-1"/>
                <w:sz w:val="21"/>
              </w:rPr>
              <w:t>45.61%</w:t>
            </w:r>
          </w:p>
        </w:tc>
      </w:tr>
      <w:tr>
        <w:trPr>
          <w:trHeight w:val="554"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28" w:right="0"/>
              <w:jc w:val="left"/>
              <w:rPr>
                <w:rFonts w:ascii="宋体" w:hAnsi="宋体" w:cs="宋体" w:eastAsia="宋体" w:hint="default"/>
                <w:sz w:val="21"/>
                <w:szCs w:val="21"/>
              </w:rPr>
            </w:pPr>
            <w:r>
              <w:rPr>
                <w:rFonts w:ascii="宋体" w:hAnsi="宋体" w:cs="宋体" w:eastAsia="宋体" w:hint="default"/>
                <w:sz w:val="21"/>
                <w:szCs w:val="21"/>
              </w:rPr>
              <w:t>其中：境内非国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有法人持股</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20.00%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2,160,000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-2,160,000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8"/>
              <w:jc w:val="right"/>
              <w:rPr>
                <w:rFonts w:ascii="Times New Roman" w:hAnsi="Times New Roman" w:cs="Times New Roman" w:eastAsia="Times New Roman" w:hint="default"/>
                <w:sz w:val="21"/>
                <w:szCs w:val="21"/>
              </w:rPr>
            </w:pPr>
            <w:r>
              <w:rPr>
                <w:rFonts w:ascii="Times New Roman"/>
                <w:spacing w:val="-1"/>
                <w:sz w:val="21"/>
              </w:rPr>
              <w:t>14.95%</w:t>
            </w:r>
          </w:p>
        </w:tc>
      </w:tr>
      <w:tr>
        <w:trPr>
          <w:trHeight w:val="556" w:hRule="exact"/>
        </w:trPr>
        <w:tc>
          <w:tcPr>
            <w:tcW w:w="16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548" w:right="0"/>
              <w:jc w:val="left"/>
              <w:rPr>
                <w:rFonts w:ascii="宋体" w:hAnsi="宋体" w:cs="宋体" w:eastAsia="宋体" w:hint="default"/>
                <w:sz w:val="21"/>
                <w:szCs w:val="21"/>
              </w:rPr>
            </w:pPr>
            <w:r>
              <w:rPr>
                <w:rFonts w:ascii="宋体" w:hAnsi="宋体" w:cs="宋体" w:eastAsia="宋体" w:hint="default"/>
                <w:sz w:val="21"/>
                <w:szCs w:val="21"/>
              </w:rPr>
              <w:t>境内自然人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7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16,400,000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41.00%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16,400,000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8"/>
              <w:jc w:val="right"/>
              <w:rPr>
                <w:rFonts w:ascii="Times New Roman" w:hAnsi="Times New Roman" w:cs="Times New Roman" w:eastAsia="Times New Roman" w:hint="default"/>
                <w:sz w:val="21"/>
                <w:szCs w:val="21"/>
              </w:rPr>
            </w:pPr>
            <w:r>
              <w:rPr>
                <w:rFonts w:ascii="Times New Roman"/>
                <w:spacing w:val="-1"/>
                <w:sz w:val="21"/>
              </w:rPr>
              <w:t>30.65%</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500" w:bottom="880" w:left="1680" w:right="780"/>
        </w:sectPr>
      </w:pPr>
    </w:p>
    <w:p>
      <w:pPr>
        <w:spacing w:line="240" w:lineRule="auto" w:before="1"/>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1638"/>
        <w:gridCol w:w="1062"/>
        <w:gridCol w:w="910"/>
        <w:gridCol w:w="1070"/>
        <w:gridCol w:w="540"/>
        <w:gridCol w:w="540"/>
        <w:gridCol w:w="1080"/>
        <w:gridCol w:w="720"/>
        <w:gridCol w:w="1130"/>
        <w:gridCol w:w="850"/>
      </w:tblGrid>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39.00%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8"/>
              <w:jc w:val="right"/>
              <w:rPr>
                <w:rFonts w:ascii="Times New Roman" w:hAnsi="Times New Roman" w:cs="Times New Roman" w:eastAsia="Times New Roman" w:hint="default"/>
                <w:sz w:val="21"/>
                <w:szCs w:val="21"/>
              </w:rPr>
            </w:pPr>
            <w:r>
              <w:rPr>
                <w:rFonts w:ascii="Times New Roman"/>
                <w:spacing w:val="-1"/>
                <w:sz w:val="21"/>
              </w:rPr>
              <w:t>29.16%</w:t>
            </w:r>
          </w:p>
        </w:tc>
      </w:tr>
      <w:tr>
        <w:trPr>
          <w:trHeight w:val="556"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28" w:right="0"/>
              <w:jc w:val="left"/>
              <w:rPr>
                <w:rFonts w:ascii="宋体" w:hAnsi="宋体" w:cs="宋体" w:eastAsia="宋体" w:hint="default"/>
                <w:sz w:val="21"/>
                <w:szCs w:val="21"/>
              </w:rPr>
            </w:pPr>
            <w:r>
              <w:rPr>
                <w:rFonts w:ascii="宋体" w:hAnsi="宋体" w:cs="宋体" w:eastAsia="宋体" w:hint="default"/>
                <w:sz w:val="21"/>
                <w:szCs w:val="21"/>
              </w:rPr>
              <w:t>其中：境外法人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548" w:right="0"/>
              <w:jc w:val="left"/>
              <w:rPr>
                <w:rFonts w:ascii="宋体" w:hAnsi="宋体" w:cs="宋体" w:eastAsia="宋体" w:hint="default"/>
                <w:sz w:val="21"/>
                <w:szCs w:val="21"/>
              </w:rPr>
            </w:pPr>
            <w:r>
              <w:rPr>
                <w:rFonts w:ascii="宋体" w:hAnsi="宋体" w:cs="宋体" w:eastAsia="宋体" w:hint="default"/>
                <w:sz w:val="21"/>
                <w:szCs w:val="21"/>
              </w:rPr>
              <w:t>境外自然人</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39.00%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8"/>
              <w:jc w:val="right"/>
              <w:rPr>
                <w:rFonts w:ascii="Times New Roman" w:hAnsi="Times New Roman" w:cs="Times New Roman" w:eastAsia="Times New Roman" w:hint="default"/>
                <w:sz w:val="21"/>
                <w:szCs w:val="21"/>
              </w:rPr>
            </w:pPr>
            <w:r>
              <w:rPr>
                <w:rFonts w:ascii="Times New Roman"/>
                <w:spacing w:val="-1"/>
                <w:sz w:val="21"/>
              </w:rPr>
              <w:t>29.16%</w:t>
            </w: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、高管股份</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99"/>
                <w:sz w:val="21"/>
                <w:szCs w:val="21"/>
              </w:rPr>
              <w:t>、</w:t>
            </w:r>
            <w:r>
              <w:rPr>
                <w:rFonts w:ascii="宋体" w:hAnsi="宋体" w:cs="宋体" w:eastAsia="宋体" w:hint="default"/>
                <w:sz w:val="21"/>
                <w:szCs w:val="21"/>
              </w:rPr>
              <w:t>无限售条件股</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10,800,000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2,700,000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56" w:right="0"/>
              <w:jc w:val="left"/>
              <w:rPr>
                <w:rFonts w:ascii="Times New Roman" w:hAnsi="Times New Roman" w:cs="Times New Roman" w:eastAsia="Times New Roman" w:hint="default"/>
                <w:sz w:val="21"/>
                <w:szCs w:val="21"/>
              </w:rPr>
            </w:pPr>
            <w:r>
              <w:rPr>
                <w:rFonts w:ascii="Times New Roman"/>
                <w:sz w:val="21"/>
              </w:rPr>
              <w:t>13,500,</w:t>
            </w:r>
          </w:p>
          <w:p>
            <w:pPr>
              <w:pStyle w:val="TableParagraph"/>
              <w:spacing w:line="240" w:lineRule="auto"/>
              <w:ind w:left="370" w:right="0"/>
              <w:jc w:val="left"/>
              <w:rPr>
                <w:rFonts w:ascii="Times New Roman" w:hAnsi="Times New Roman" w:cs="Times New Roman" w:eastAsia="Times New Roman" w:hint="default"/>
                <w:sz w:val="21"/>
                <w:szCs w:val="21"/>
              </w:rPr>
            </w:pPr>
            <w:r>
              <w:rPr>
                <w:rFonts w:ascii="Times New Roman"/>
                <w:sz w:val="21"/>
              </w:rPr>
              <w:t>000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22"/>
              <w:jc w:val="right"/>
              <w:rPr>
                <w:rFonts w:ascii="Times New Roman" w:hAnsi="Times New Roman" w:cs="Times New Roman" w:eastAsia="Times New Roman" w:hint="default"/>
                <w:sz w:val="21"/>
                <w:szCs w:val="21"/>
              </w:rPr>
            </w:pPr>
            <w:r>
              <w:rPr>
                <w:rFonts w:ascii="Times New Roman"/>
                <w:spacing w:val="-1"/>
                <w:sz w:val="21"/>
              </w:rPr>
              <w:t>13,500,000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9"/>
              <w:jc w:val="right"/>
              <w:rPr>
                <w:rFonts w:ascii="Times New Roman" w:hAnsi="Times New Roman" w:cs="Times New Roman" w:eastAsia="Times New Roman" w:hint="default"/>
                <w:sz w:val="21"/>
                <w:szCs w:val="21"/>
              </w:rPr>
            </w:pPr>
            <w:r>
              <w:rPr>
                <w:rFonts w:ascii="Times New Roman"/>
                <w:spacing w:val="-1"/>
                <w:sz w:val="21"/>
              </w:rPr>
              <w:t>25.23%</w:t>
            </w:r>
          </w:p>
        </w:tc>
      </w:tr>
      <w:tr>
        <w:trPr>
          <w:trHeight w:val="493"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1"/>
              <w:jc w:val="right"/>
              <w:rPr>
                <w:rFonts w:ascii="Times New Roman" w:hAnsi="Times New Roman" w:cs="Times New Roman" w:eastAsia="Times New Roman" w:hint="default"/>
                <w:sz w:val="21"/>
                <w:szCs w:val="21"/>
              </w:rPr>
            </w:pPr>
            <w:r>
              <w:rPr>
                <w:rFonts w:ascii="Times New Roman"/>
                <w:spacing w:val="-1"/>
                <w:sz w:val="21"/>
              </w:rPr>
              <w:t>10,800,000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pacing w:val="-1"/>
                <w:sz w:val="21"/>
              </w:rPr>
              <w:t>2,700,000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6" w:right="0"/>
              <w:jc w:val="left"/>
              <w:rPr>
                <w:rFonts w:ascii="Times New Roman" w:hAnsi="Times New Roman" w:cs="Times New Roman" w:eastAsia="Times New Roman" w:hint="default"/>
                <w:sz w:val="21"/>
                <w:szCs w:val="21"/>
              </w:rPr>
            </w:pPr>
            <w:r>
              <w:rPr>
                <w:rFonts w:ascii="Times New Roman"/>
                <w:sz w:val="21"/>
              </w:rPr>
              <w:t>13,500,</w:t>
            </w:r>
          </w:p>
          <w:p>
            <w:pPr>
              <w:pStyle w:val="TableParagraph"/>
              <w:spacing w:line="240" w:lineRule="auto" w:before="1"/>
              <w:ind w:left="370" w:right="0"/>
              <w:jc w:val="left"/>
              <w:rPr>
                <w:rFonts w:ascii="Times New Roman" w:hAnsi="Times New Roman" w:cs="Times New Roman" w:eastAsia="Times New Roman" w:hint="default"/>
                <w:sz w:val="21"/>
                <w:szCs w:val="21"/>
              </w:rPr>
            </w:pPr>
            <w:r>
              <w:rPr>
                <w:rFonts w:ascii="Times New Roman"/>
                <w:sz w:val="21"/>
              </w:rPr>
              <w:t>000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pacing w:val="-1"/>
                <w:sz w:val="21"/>
              </w:rPr>
              <w:t>13,500,000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9"/>
              <w:jc w:val="right"/>
              <w:rPr>
                <w:rFonts w:ascii="Times New Roman" w:hAnsi="Times New Roman" w:cs="Times New Roman" w:eastAsia="Times New Roman" w:hint="default"/>
                <w:sz w:val="21"/>
                <w:szCs w:val="21"/>
              </w:rPr>
            </w:pPr>
            <w:r>
              <w:rPr>
                <w:rFonts w:ascii="Times New Roman"/>
                <w:spacing w:val="-1"/>
                <w:sz w:val="21"/>
              </w:rPr>
              <w:t>25.23%</w:t>
            </w:r>
          </w:p>
        </w:tc>
      </w:tr>
      <w:tr>
        <w:trPr>
          <w:trHeight w:val="554"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、境内上市的外</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556"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、境外上市的外</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282"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0.00%</w:t>
            </w:r>
          </w:p>
        </w:tc>
      </w:tr>
      <w:tr>
        <w:trPr>
          <w:trHeight w:val="493" w:hRule="exact"/>
        </w:trPr>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0"/>
              <w:ind w:left="2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pacing w:val="-1"/>
                <w:sz w:val="21"/>
              </w:rPr>
              <w:t>40,000,000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0"/>
              <w:jc w:val="right"/>
              <w:rPr>
                <w:rFonts w:ascii="Times New Roman" w:hAnsi="Times New Roman" w:cs="Times New Roman" w:eastAsia="Times New Roman" w:hint="default"/>
                <w:sz w:val="21"/>
                <w:szCs w:val="21"/>
              </w:rPr>
            </w:pPr>
            <w:r>
              <w:rPr>
                <w:rFonts w:ascii="Times New Roman"/>
                <w:spacing w:val="-1"/>
                <w:sz w:val="21"/>
              </w:rPr>
              <w:t>100.00%</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1"/>
              <w:jc w:val="right"/>
              <w:rPr>
                <w:rFonts w:ascii="Times New Roman" w:hAnsi="Times New Roman" w:cs="Times New Roman" w:eastAsia="Times New Roman" w:hint="default"/>
                <w:sz w:val="21"/>
                <w:szCs w:val="21"/>
              </w:rPr>
            </w:pPr>
            <w:r>
              <w:rPr>
                <w:rFonts w:ascii="Times New Roman"/>
                <w:spacing w:val="-1"/>
                <w:sz w:val="21"/>
              </w:rPr>
              <w:t>13,500,000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z w:val="21"/>
              </w:rPr>
              <w:t>0</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2"/>
              <w:jc w:val="right"/>
              <w:rPr>
                <w:rFonts w:ascii="Times New Roman" w:hAnsi="Times New Roman" w:cs="Times New Roman" w:eastAsia="Times New Roman" w:hint="default"/>
                <w:sz w:val="21"/>
                <w:szCs w:val="21"/>
              </w:rPr>
            </w:pPr>
            <w:r>
              <w:rPr>
                <w:rFonts w:ascii="Times New Roman"/>
                <w:sz w:val="21"/>
              </w:rPr>
              <w:t>0</w:t>
            </w:r>
          </w:p>
        </w:tc>
        <w:tc>
          <w:tcPr>
            <w:tcW w:w="108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6" w:right="0"/>
              <w:jc w:val="left"/>
              <w:rPr>
                <w:rFonts w:ascii="Times New Roman" w:hAnsi="Times New Roman" w:cs="Times New Roman" w:eastAsia="Times New Roman" w:hint="default"/>
                <w:sz w:val="21"/>
                <w:szCs w:val="21"/>
              </w:rPr>
            </w:pPr>
            <w:r>
              <w:rPr>
                <w:rFonts w:ascii="Times New Roman"/>
                <w:sz w:val="21"/>
              </w:rPr>
              <w:t>13,500,</w:t>
            </w:r>
          </w:p>
          <w:p>
            <w:pPr>
              <w:pStyle w:val="TableParagraph"/>
              <w:spacing w:line="240" w:lineRule="auto"/>
              <w:ind w:left="370" w:right="0"/>
              <w:jc w:val="left"/>
              <w:rPr>
                <w:rFonts w:ascii="Times New Roman" w:hAnsi="Times New Roman" w:cs="Times New Roman" w:eastAsia="Times New Roman" w:hint="default"/>
                <w:sz w:val="21"/>
                <w:szCs w:val="21"/>
              </w:rPr>
            </w:pPr>
            <w:r>
              <w:rPr>
                <w:rFonts w:ascii="Times New Roman"/>
                <w:sz w:val="21"/>
              </w:rPr>
              <w:t>000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3"/>
              <w:jc w:val="right"/>
              <w:rPr>
                <w:rFonts w:ascii="Times New Roman" w:hAnsi="Times New Roman" w:cs="Times New Roman" w:eastAsia="Times New Roman" w:hint="default"/>
                <w:sz w:val="21"/>
                <w:szCs w:val="21"/>
              </w:rPr>
            </w:pPr>
            <w:r>
              <w:rPr>
                <w:rFonts w:ascii="Times New Roman"/>
                <w:spacing w:val="-1"/>
                <w:sz w:val="21"/>
              </w:rPr>
              <w:t>53,500,000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20"/>
              <w:jc w:val="right"/>
              <w:rPr>
                <w:rFonts w:ascii="Times New Roman" w:hAnsi="Times New Roman" w:cs="Times New Roman" w:eastAsia="Times New Roman" w:hint="default"/>
                <w:sz w:val="21"/>
                <w:szCs w:val="21"/>
              </w:rPr>
            </w:pPr>
            <w:r>
              <w:rPr>
                <w:rFonts w:ascii="Times New Roman"/>
                <w:spacing w:val="-1"/>
                <w:sz w:val="21"/>
              </w:rPr>
              <w:t>100.00%</w:t>
            </w:r>
          </w:p>
        </w:tc>
      </w:tr>
    </w:tbl>
    <w:p>
      <w:pPr>
        <w:spacing w:line="240" w:lineRule="auto" w:before="3"/>
        <w:rPr>
          <w:rFonts w:ascii="宋体" w:hAnsi="宋体" w:cs="宋体" w:eastAsia="宋体" w:hint="default"/>
          <w:sz w:val="16"/>
          <w:szCs w:val="16"/>
        </w:rPr>
      </w:pPr>
    </w:p>
    <w:p>
      <w:pPr>
        <w:spacing w:before="44"/>
        <w:ind w:left="120" w:right="1280" w:firstLine="0"/>
        <w:jc w:val="left"/>
        <w:rPr>
          <w:rFonts w:ascii="宋体" w:hAnsi="宋体" w:cs="宋体" w:eastAsia="宋体" w:hint="default"/>
          <w:sz w:val="18"/>
          <w:szCs w:val="18"/>
        </w:rPr>
      </w:pPr>
      <w:r>
        <w:rPr>
          <w:rFonts w:ascii="宋体" w:hAnsi="宋体" w:cs="宋体" w:eastAsia="宋体" w:hint="default"/>
          <w:sz w:val="18"/>
          <w:szCs w:val="18"/>
        </w:rPr>
        <w:t>附注：股份情况表中“其他”是指网下配售股份的增减变动，股票配售对象参与公司上市发行时网下配售获配 的股票锁定期为</w:t>
      </w:r>
      <w:r>
        <w:rPr>
          <w:rFonts w:ascii="Times New Roman" w:hAnsi="Times New Roman" w:cs="Times New Roman" w:eastAsia="Times New Roman" w:hint="default"/>
          <w:sz w:val="18"/>
          <w:szCs w:val="18"/>
        </w:rPr>
        <w:t>3</w:t>
      </w:r>
      <w:r>
        <w:rPr>
          <w:rFonts w:ascii="宋体" w:hAnsi="宋体" w:cs="宋体" w:eastAsia="宋体" w:hint="default"/>
          <w:sz w:val="18"/>
          <w:szCs w:val="18"/>
        </w:rPr>
        <w:t>个月，锁定期自</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日起计算，于</w:t>
      </w:r>
      <w:r>
        <w:rPr>
          <w:rFonts w:ascii="Times New Roman" w:hAnsi="Times New Roman" w:cs="Times New Roman" w:eastAsia="Times New Roman" w:hint="default"/>
          <w:sz w:val="18"/>
          <w:szCs w:val="18"/>
        </w:rPr>
        <w:t>2011</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日起上市交易。</w:t>
      </w:r>
    </w:p>
    <w:p>
      <w:pPr>
        <w:spacing w:line="240" w:lineRule="auto" w:before="0"/>
        <w:rPr>
          <w:rFonts w:ascii="宋体" w:hAnsi="宋体" w:cs="宋体" w:eastAsia="宋体" w:hint="default"/>
          <w:sz w:val="18"/>
          <w:szCs w:val="18"/>
        </w:rPr>
      </w:pPr>
    </w:p>
    <w:p>
      <w:pPr>
        <w:pStyle w:val="Heading3"/>
        <w:spacing w:line="240" w:lineRule="auto" w:before="146"/>
        <w:ind w:right="0"/>
        <w:jc w:val="left"/>
        <w:rPr>
          <w:b w:val="0"/>
          <w:bCs w:val="0"/>
        </w:rPr>
      </w:pPr>
      <w:r>
        <w:rPr/>
        <w:t>（二）限售股份变动情况表</w:t>
      </w:r>
      <w:r>
        <w:rPr>
          <w:b w:val="0"/>
          <w:bCs w:val="0"/>
        </w:rPr>
      </w:r>
    </w:p>
    <w:p>
      <w:pPr>
        <w:spacing w:line="240" w:lineRule="auto" w:before="12"/>
        <w:rPr>
          <w:rFonts w:ascii="宋体" w:hAnsi="宋体" w:cs="宋体" w:eastAsia="宋体" w:hint="default"/>
          <w:b/>
          <w:bCs/>
          <w:sz w:val="18"/>
          <w:szCs w:val="18"/>
        </w:rPr>
      </w:pPr>
    </w:p>
    <w:p>
      <w:pPr>
        <w:spacing w:before="0"/>
        <w:ind w:left="0" w:right="1299"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3"/>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554"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27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66"/>
              <w:jc w:val="right"/>
              <w:rPr>
                <w:rFonts w:ascii="宋体" w:hAnsi="宋体" w:cs="宋体" w:eastAsia="宋体" w:hint="default"/>
                <w:sz w:val="21"/>
                <w:szCs w:val="21"/>
              </w:rPr>
            </w:pPr>
            <w:r>
              <w:rPr>
                <w:rFonts w:ascii="宋体" w:hAnsi="宋体" w:cs="宋体" w:eastAsia="宋体" w:hint="default"/>
                <w:sz w:val="21"/>
                <w:szCs w:val="21"/>
              </w:rPr>
              <w:t>年初限售股数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本年解除限售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本年增加限售</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66"/>
              <w:jc w:val="right"/>
              <w:rPr>
                <w:rFonts w:ascii="宋体" w:hAnsi="宋体" w:cs="宋体" w:eastAsia="宋体" w:hint="default"/>
                <w:sz w:val="21"/>
                <w:szCs w:val="21"/>
              </w:rPr>
            </w:pPr>
            <w:r>
              <w:rPr>
                <w:rFonts w:ascii="宋体" w:hAnsi="宋体" w:cs="宋体" w:eastAsia="宋体" w:hint="default"/>
                <w:sz w:val="21"/>
                <w:szCs w:val="21"/>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276"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65"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全国社保基金</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五零四组合</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网下配售股份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锁定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2011.06.16</w:t>
            </w:r>
          </w:p>
        </w:tc>
      </w:tr>
      <w:tr>
        <w:trPr>
          <w:trHeight w:val="1099"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云南国际信托</w:t>
            </w:r>
          </w:p>
          <w:p>
            <w:pPr>
              <w:pStyle w:val="TableParagraph"/>
              <w:spacing w:line="280"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有限公司</w:t>
            </w:r>
            <w:r>
              <w:rPr>
                <w:rFonts w:ascii="Times New Roman" w:hAnsi="Times New Roman" w:cs="Times New Roman" w:eastAsia="Times New Roman" w:hint="default"/>
                <w:sz w:val="21"/>
                <w:szCs w:val="21"/>
              </w:rPr>
              <w:t>-</w:t>
            </w:r>
            <w:r>
              <w:rPr>
                <w:rFonts w:ascii="宋体" w:hAnsi="宋体" w:cs="宋体" w:eastAsia="宋体" w:hint="default"/>
                <w:sz w:val="21"/>
                <w:szCs w:val="21"/>
              </w:rPr>
              <w:t>瑞申</w:t>
            </w:r>
          </w:p>
          <w:p>
            <w:pPr>
              <w:pStyle w:val="TableParagraph"/>
              <w:spacing w:line="272" w:lineRule="exact" w:before="18"/>
              <w:ind w:left="22" w:right="109"/>
              <w:jc w:val="left"/>
              <w:rPr>
                <w:rFonts w:ascii="宋体" w:hAnsi="宋体" w:cs="宋体" w:eastAsia="宋体" w:hint="default"/>
                <w:sz w:val="21"/>
                <w:szCs w:val="21"/>
              </w:rPr>
            </w:pPr>
            <w:r>
              <w:rPr>
                <w:rFonts w:ascii="宋体" w:hAnsi="宋体" w:cs="宋体" w:eastAsia="宋体" w:hint="default"/>
                <w:sz w:val="21"/>
                <w:szCs w:val="21"/>
              </w:rPr>
              <w:t>（一）集合资 金信托计划</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23"/>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21"/>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22" w:right="109"/>
              <w:jc w:val="left"/>
              <w:rPr>
                <w:rFonts w:ascii="宋体" w:hAnsi="宋体" w:cs="宋体" w:eastAsia="宋体" w:hint="default"/>
                <w:sz w:val="21"/>
                <w:szCs w:val="21"/>
              </w:rPr>
            </w:pPr>
            <w:r>
              <w:rPr>
                <w:rFonts w:ascii="宋体" w:hAnsi="宋体" w:cs="宋体" w:eastAsia="宋体" w:hint="default"/>
                <w:sz w:val="21"/>
                <w:szCs w:val="21"/>
              </w:rPr>
              <w:t>网下配售股份 锁定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22" w:right="0"/>
              <w:jc w:val="left"/>
              <w:rPr>
                <w:rFonts w:ascii="Times New Roman" w:hAnsi="Times New Roman" w:cs="Times New Roman" w:eastAsia="Times New Roman" w:hint="default"/>
                <w:sz w:val="21"/>
                <w:szCs w:val="21"/>
              </w:rPr>
            </w:pPr>
            <w:r>
              <w:rPr>
                <w:rFonts w:ascii="Times New Roman"/>
                <w:sz w:val="21"/>
              </w:rPr>
              <w:t>2011.06.16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华林证券有限</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网下配售股份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锁定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2011.06.16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新华信托股份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网下配售股份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锁定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2011.06.16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百瑞信托有限</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540,000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网下配售股份</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锁定</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2011.06.16</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郭永芳</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15,600,000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广州通连投资</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咨询有限公司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李国林</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刘祥南</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6,400,000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6,400,000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bl>
    <w:p>
      <w:pPr>
        <w:spacing w:after="0" w:line="240" w:lineRule="auto"/>
        <w:jc w:val="left"/>
        <w:rPr>
          <w:rFonts w:ascii="Times New Roman" w:hAnsi="Times New Roman" w:cs="Times New Roman" w:eastAsia="Times New Roman" w:hint="default"/>
          <w:sz w:val="21"/>
          <w:szCs w:val="21"/>
        </w:rPr>
        <w:sectPr>
          <w:pgSz w:w="12240" w:h="15840"/>
          <w:pgMar w:header="0" w:footer="688" w:top="1360" w:bottom="880" w:left="1680" w:right="500"/>
        </w:sectPr>
      </w:pPr>
    </w:p>
    <w:p>
      <w:pPr>
        <w:spacing w:line="240" w:lineRule="auto" w:before="1"/>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1404"/>
        <w:gridCol w:w="1404"/>
        <w:gridCol w:w="1404"/>
        <w:gridCol w:w="1404"/>
        <w:gridCol w:w="1404"/>
        <w:gridCol w:w="1404"/>
        <w:gridCol w:w="1404"/>
      </w:tblGrid>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郭泓</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申强</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丛艳芬</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张雪峰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吴鸿伟</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赵庸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高峰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黄基鹏</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120,000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杨爱国</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90,000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90,000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张乃军</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90,000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90,000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栾江霞</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554"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赵阳</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发行前限</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2" w:right="0"/>
              <w:jc w:val="left"/>
              <w:rPr>
                <w:rFonts w:ascii="Times New Roman" w:hAnsi="Times New Roman" w:cs="Times New Roman" w:eastAsia="Times New Roman" w:hint="default"/>
                <w:sz w:val="21"/>
                <w:szCs w:val="21"/>
              </w:rPr>
            </w:pPr>
            <w:r>
              <w:rPr>
                <w:rFonts w:ascii="Times New Roman"/>
                <w:sz w:val="21"/>
              </w:rPr>
              <w:t>2014.03.16</w:t>
            </w:r>
          </w:p>
        </w:tc>
      </w:tr>
      <w:tr>
        <w:trPr>
          <w:trHeight w:val="282" w:hRule="exact"/>
        </w:trPr>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2,700,000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42,700,000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40,000,000</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pStyle w:val="Heading2"/>
        <w:spacing w:line="240" w:lineRule="auto" w:before="13"/>
        <w:ind w:right="0"/>
        <w:jc w:val="left"/>
        <w:rPr>
          <w:b w:val="0"/>
          <w:bCs w:val="0"/>
        </w:rPr>
      </w:pPr>
      <w:r>
        <w:rPr/>
        <w:t>三、前10名股东、前10名无限售流通股股东持股情况表</w:t>
      </w:r>
      <w:r>
        <w:rPr>
          <w:b w:val="0"/>
          <w:bCs w:val="0"/>
        </w:rPr>
      </w:r>
    </w:p>
    <w:p>
      <w:pPr>
        <w:spacing w:line="240" w:lineRule="auto" w:before="2"/>
        <w:rPr>
          <w:rFonts w:ascii="宋体" w:hAnsi="宋体" w:cs="宋体" w:eastAsia="宋体" w:hint="default"/>
          <w:b/>
          <w:bCs/>
          <w:sz w:val="15"/>
          <w:szCs w:val="15"/>
        </w:rPr>
      </w:pPr>
    </w:p>
    <w:p>
      <w:pPr>
        <w:spacing w:before="44"/>
        <w:ind w:left="0" w:right="1299"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3"/>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2340"/>
        <w:gridCol w:w="1300"/>
        <w:gridCol w:w="1052"/>
        <w:gridCol w:w="249"/>
        <w:gridCol w:w="153"/>
        <w:gridCol w:w="1147"/>
        <w:gridCol w:w="1405"/>
        <w:gridCol w:w="415"/>
        <w:gridCol w:w="1768"/>
      </w:tblGrid>
      <w:tr>
        <w:trPr>
          <w:trHeight w:val="140" w:hRule="exact"/>
        </w:trPr>
        <w:tc>
          <w:tcPr>
            <w:tcW w:w="2340" w:type="dxa"/>
            <w:tcBorders>
              <w:top w:val="single" w:sz="4" w:space="0" w:color="000000"/>
              <w:left w:val="single" w:sz="4" w:space="0" w:color="000000"/>
              <w:bottom w:val="nil" w:sz="6" w:space="0" w:color="auto"/>
              <w:right w:val="single" w:sz="4" w:space="0" w:color="000000"/>
            </w:tcBorders>
            <w:shd w:val="clear" w:color="auto" w:fill="DCDCDC"/>
          </w:tcPr>
          <w:p>
            <w:pPr/>
          </w:p>
        </w:tc>
        <w:tc>
          <w:tcPr>
            <w:tcW w:w="2351" w:type="dxa"/>
            <w:gridSpan w:val="2"/>
            <w:vMerge w:val="restart"/>
            <w:tcBorders>
              <w:top w:val="single" w:sz="4" w:space="0" w:color="000000"/>
              <w:left w:val="single" w:sz="13" w:space="0" w:color="DCDCDC"/>
              <w:right w:val="single" w:sz="13" w:space="0" w:color="DCDCDC"/>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3,137</w:t>
            </w:r>
          </w:p>
        </w:tc>
        <w:tc>
          <w:tcPr>
            <w:tcW w:w="2954" w:type="dxa"/>
            <w:gridSpan w:val="4"/>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本年度报告公布日前一个月末</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股东总数</w:t>
            </w:r>
          </w:p>
        </w:tc>
        <w:tc>
          <w:tcPr>
            <w:tcW w:w="2183" w:type="dxa"/>
            <w:gridSpan w:val="2"/>
            <w:vMerge w:val="restart"/>
            <w:tcBorders>
              <w:top w:val="single" w:sz="4" w:space="0" w:color="000000"/>
              <w:left w:val="single" w:sz="13" w:space="0" w:color="DCDCDC"/>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3,387</w:t>
            </w:r>
          </w:p>
        </w:tc>
      </w:tr>
      <w:tr>
        <w:trPr>
          <w:trHeight w:val="272"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5" w:lineRule="exact"/>
              <w:ind w:left="302"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年末股东总数</w:t>
            </w:r>
          </w:p>
        </w:tc>
        <w:tc>
          <w:tcPr>
            <w:tcW w:w="2351" w:type="dxa"/>
            <w:gridSpan w:val="2"/>
            <w:vMerge/>
            <w:tcBorders>
              <w:left w:val="single" w:sz="13" w:space="0" w:color="DCDCDC"/>
              <w:right w:val="single" w:sz="13" w:space="0" w:color="DCDCDC"/>
            </w:tcBorders>
          </w:tcPr>
          <w:p>
            <w:pPr/>
          </w:p>
        </w:tc>
        <w:tc>
          <w:tcPr>
            <w:tcW w:w="2954" w:type="dxa"/>
            <w:gridSpan w:val="4"/>
            <w:vMerge/>
            <w:tcBorders>
              <w:left w:val="single" w:sz="4" w:space="0" w:color="000000"/>
              <w:right w:val="single" w:sz="4" w:space="0" w:color="000000"/>
            </w:tcBorders>
            <w:shd w:val="clear" w:color="auto" w:fill="DCDCDC"/>
          </w:tcPr>
          <w:p>
            <w:pPr/>
          </w:p>
        </w:tc>
        <w:tc>
          <w:tcPr>
            <w:tcW w:w="2183" w:type="dxa"/>
            <w:gridSpan w:val="2"/>
            <w:vMerge/>
            <w:tcBorders>
              <w:left w:val="single" w:sz="13" w:space="0" w:color="DCDCDC"/>
              <w:right w:val="single" w:sz="4" w:space="0" w:color="000000"/>
            </w:tcBorders>
          </w:tcPr>
          <w:p>
            <w:pPr/>
          </w:p>
        </w:tc>
      </w:tr>
      <w:tr>
        <w:trPr>
          <w:trHeight w:val="142" w:hRule="exact"/>
        </w:trPr>
        <w:tc>
          <w:tcPr>
            <w:tcW w:w="2340" w:type="dxa"/>
            <w:tcBorders>
              <w:top w:val="nil" w:sz="6" w:space="0" w:color="auto"/>
              <w:left w:val="single" w:sz="4" w:space="0" w:color="000000"/>
              <w:bottom w:val="single" w:sz="4" w:space="0" w:color="000000"/>
              <w:right w:val="single" w:sz="4" w:space="0" w:color="000000"/>
            </w:tcBorders>
            <w:shd w:val="clear" w:color="auto" w:fill="DCDCDC"/>
          </w:tcPr>
          <w:p>
            <w:pPr/>
          </w:p>
        </w:tc>
        <w:tc>
          <w:tcPr>
            <w:tcW w:w="2351" w:type="dxa"/>
            <w:gridSpan w:val="2"/>
            <w:vMerge/>
            <w:tcBorders>
              <w:left w:val="single" w:sz="13" w:space="0" w:color="DCDCDC"/>
              <w:bottom w:val="single" w:sz="4" w:space="0" w:color="000000"/>
              <w:right w:val="single" w:sz="13" w:space="0" w:color="DCDCDC"/>
            </w:tcBorders>
          </w:tcPr>
          <w:p>
            <w:pPr/>
          </w:p>
        </w:tc>
        <w:tc>
          <w:tcPr>
            <w:tcW w:w="2954" w:type="dxa"/>
            <w:gridSpan w:val="4"/>
            <w:vMerge/>
            <w:tcBorders>
              <w:left w:val="single" w:sz="4" w:space="0" w:color="000000"/>
              <w:bottom w:val="single" w:sz="4" w:space="0" w:color="000000"/>
              <w:right w:val="single" w:sz="4" w:space="0" w:color="000000"/>
            </w:tcBorders>
            <w:shd w:val="clear" w:color="auto" w:fill="DCDCDC"/>
          </w:tcPr>
          <w:p>
            <w:pPr/>
          </w:p>
        </w:tc>
        <w:tc>
          <w:tcPr>
            <w:tcW w:w="2183" w:type="dxa"/>
            <w:gridSpan w:val="2"/>
            <w:vMerge/>
            <w:tcBorders>
              <w:left w:val="single" w:sz="13" w:space="0" w:color="DCDCDC"/>
              <w:bottom w:val="single" w:sz="4" w:space="0" w:color="000000"/>
              <w:right w:val="single" w:sz="4" w:space="0" w:color="000000"/>
            </w:tcBorders>
          </w:tcPr>
          <w:p>
            <w:pPr/>
          </w:p>
        </w:tc>
      </w:tr>
      <w:tr>
        <w:trPr>
          <w:trHeight w:val="283" w:hRule="exact"/>
        </w:trPr>
        <w:tc>
          <w:tcPr>
            <w:tcW w:w="9828" w:type="dxa"/>
            <w:gridSpan w:val="9"/>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名股东持股情况</w:t>
            </w:r>
          </w:p>
        </w:tc>
      </w:tr>
      <w:tr>
        <w:trPr>
          <w:trHeight w:val="141" w:hRule="exact"/>
        </w:trPr>
        <w:tc>
          <w:tcPr>
            <w:tcW w:w="2340"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301"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300" w:type="dxa"/>
            <w:gridSpan w:val="2"/>
            <w:tcBorders>
              <w:top w:val="single" w:sz="4" w:space="0" w:color="000000"/>
              <w:left w:val="single" w:sz="4" w:space="0" w:color="000000"/>
              <w:bottom w:val="nil" w:sz="6" w:space="0" w:color="auto"/>
              <w:right w:val="single" w:sz="4" w:space="0" w:color="000000"/>
            </w:tcBorders>
            <w:shd w:val="clear" w:color="auto" w:fill="DCDCDC"/>
          </w:tcPr>
          <w:p>
            <w:pPr/>
          </w:p>
        </w:tc>
        <w:tc>
          <w:tcPr>
            <w:tcW w:w="182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持有有限售条件股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份数量</w:t>
            </w:r>
          </w:p>
        </w:tc>
        <w:tc>
          <w:tcPr>
            <w:tcW w:w="1768" w:type="dxa"/>
            <w:vMerge w:val="restart"/>
            <w:tcBorders>
              <w:top w:val="single" w:sz="4" w:space="0" w:color="000000"/>
              <w:left w:val="single" w:sz="4" w:space="0" w:color="000000"/>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质押或冻结的股份</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272" w:hRule="exact"/>
        </w:trPr>
        <w:tc>
          <w:tcPr>
            <w:tcW w:w="23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743"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223"/>
              <w:jc w:val="right"/>
              <w:rPr>
                <w:rFonts w:ascii="宋体" w:hAnsi="宋体" w:cs="宋体" w:eastAsia="宋体" w:hint="default"/>
                <w:sz w:val="21"/>
                <w:szCs w:val="21"/>
              </w:rPr>
            </w:pPr>
            <w:r>
              <w:rPr>
                <w:rFonts w:ascii="宋体" w:hAnsi="宋体" w:cs="宋体" w:eastAsia="宋体" w:hint="default"/>
                <w:sz w:val="21"/>
                <w:szCs w:val="21"/>
              </w:rPr>
              <w:t>股东性质</w:t>
            </w:r>
          </w:p>
        </w:tc>
        <w:tc>
          <w:tcPr>
            <w:tcW w:w="1301" w:type="dxa"/>
            <w:gridSpan w:val="2"/>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55"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持股比</w:t>
            </w:r>
            <w:r>
              <w:rPr>
                <w:rFonts w:ascii="宋体" w:hAnsi="宋体" w:cs="宋体" w:eastAsia="宋体" w:hint="default"/>
                <w:spacing w:val="-87"/>
                <w:sz w:val="21"/>
                <w:szCs w:val="21"/>
              </w:rPr>
              <w:t>例</w:t>
            </w:r>
            <w:r>
              <w:rPr>
                <w:rFonts w:ascii="宋体" w:hAnsi="宋体" w:cs="宋体" w:eastAsia="宋体" w:hint="default"/>
                <w:sz w:val="21"/>
                <w:szCs w:val="21"/>
              </w:rPr>
              <w:t>（</w:t>
            </w:r>
            <w:r>
              <w:rPr>
                <w:rFonts w:ascii="Times New Roman" w:hAnsi="Times New Roman" w:cs="Times New Roman" w:eastAsia="Times New Roman" w:hint="default"/>
                <w:sz w:val="21"/>
                <w:szCs w:val="21"/>
              </w:rPr>
              <w:t>%</w:t>
            </w:r>
          </w:p>
        </w:tc>
        <w:tc>
          <w:tcPr>
            <w:tcW w:w="153" w:type="dxa"/>
            <w:tcBorders>
              <w:top w:val="nil" w:sz="6" w:space="0" w:color="auto"/>
              <w:left w:val="single" w:sz="4" w:space="0" w:color="000000"/>
              <w:bottom w:val="nil" w:sz="6" w:space="0" w:color="auto"/>
              <w:right w:val="nil" w:sz="6" w:space="0" w:color="auto"/>
            </w:tcBorders>
            <w:shd w:val="clear" w:color="auto" w:fill="DCDCDC"/>
          </w:tcPr>
          <w:p>
            <w:pPr>
              <w:pStyle w:val="TableParagraph"/>
              <w:spacing w:line="239" w:lineRule="exact"/>
              <w:ind w:left="-138" w:right="0"/>
              <w:jc w:val="left"/>
              <w:rPr>
                <w:rFonts w:ascii="宋体" w:hAnsi="宋体" w:cs="宋体" w:eastAsia="宋体" w:hint="default"/>
                <w:sz w:val="21"/>
                <w:szCs w:val="21"/>
              </w:rPr>
            </w:pPr>
            <w:r>
              <w:rPr>
                <w:rFonts w:ascii="宋体" w:hAnsi="宋体" w:cs="宋体" w:eastAsia="宋体" w:hint="default"/>
                <w:sz w:val="21"/>
                <w:szCs w:val="21"/>
              </w:rPr>
              <w:t>）</w:t>
            </w:r>
          </w:p>
        </w:tc>
        <w:tc>
          <w:tcPr>
            <w:tcW w:w="1147" w:type="dxa"/>
            <w:tcBorders>
              <w:top w:val="nil" w:sz="6" w:space="0" w:color="auto"/>
              <w:left w:val="nil" w:sz="6" w:space="0" w:color="auto"/>
              <w:bottom w:val="nil" w:sz="6" w:space="0" w:color="auto"/>
              <w:right w:val="single" w:sz="4" w:space="0" w:color="000000"/>
            </w:tcBorders>
            <w:shd w:val="clear" w:color="auto" w:fill="DCDCDC"/>
          </w:tcPr>
          <w:p>
            <w:pPr>
              <w:pStyle w:val="TableParagraph"/>
              <w:spacing w:line="239" w:lineRule="exact"/>
              <w:ind w:left="76"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20" w:type="dxa"/>
            <w:gridSpan w:val="2"/>
            <w:vMerge/>
            <w:tcBorders>
              <w:left w:val="single" w:sz="4" w:space="0" w:color="000000"/>
              <w:right w:val="single" w:sz="4" w:space="0" w:color="000000"/>
            </w:tcBorders>
            <w:shd w:val="clear" w:color="auto" w:fill="DCDCDC"/>
          </w:tcPr>
          <w:p>
            <w:pPr/>
          </w:p>
        </w:tc>
        <w:tc>
          <w:tcPr>
            <w:tcW w:w="1768" w:type="dxa"/>
            <w:vMerge/>
            <w:tcBorders>
              <w:left w:val="single" w:sz="4" w:space="0" w:color="000000"/>
              <w:right w:val="single" w:sz="4" w:space="0" w:color="000000"/>
            </w:tcBorders>
            <w:shd w:val="clear" w:color="auto" w:fill="DCDCDC"/>
          </w:tcPr>
          <w:p>
            <w:pPr/>
          </w:p>
        </w:tc>
      </w:tr>
      <w:tr>
        <w:trPr>
          <w:trHeight w:val="141" w:hRule="exact"/>
        </w:trPr>
        <w:tc>
          <w:tcPr>
            <w:tcW w:w="2340"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1"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gridSpan w:val="2"/>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gridSpan w:val="2"/>
            <w:vMerge/>
            <w:tcBorders>
              <w:left w:val="single" w:sz="4" w:space="0" w:color="000000"/>
              <w:bottom w:val="single" w:sz="4" w:space="0" w:color="000000"/>
              <w:right w:val="single" w:sz="4" w:space="0" w:color="000000"/>
            </w:tcBorders>
            <w:shd w:val="clear" w:color="auto" w:fill="DCDCDC"/>
          </w:tcPr>
          <w:p>
            <w:pPr/>
          </w:p>
        </w:tc>
        <w:tc>
          <w:tcPr>
            <w:tcW w:w="1768" w:type="dxa"/>
            <w:vMerge/>
            <w:tcBorders>
              <w:left w:val="single" w:sz="4" w:space="0" w:color="000000"/>
              <w:bottom w:val="single" w:sz="4" w:space="0" w:color="000000"/>
              <w:right w:val="single" w:sz="4" w:space="0" w:color="000000"/>
            </w:tcBorders>
            <w:shd w:val="clear" w:color="auto" w:fill="DCDCDC"/>
          </w:tcPr>
          <w:p>
            <w:pP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郭永芳</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5"/>
              <w:jc w:val="right"/>
              <w:rPr>
                <w:rFonts w:ascii="宋体" w:hAnsi="宋体" w:cs="宋体" w:eastAsia="宋体" w:hint="default"/>
                <w:sz w:val="21"/>
                <w:szCs w:val="21"/>
              </w:rPr>
            </w:pPr>
            <w:r>
              <w:rPr>
                <w:rFonts w:ascii="宋体" w:hAnsi="宋体" w:cs="宋体" w:eastAsia="宋体" w:hint="default"/>
                <w:sz w:val="21"/>
                <w:szCs w:val="21"/>
              </w:rPr>
              <w:t>境外自然人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620" w:right="0"/>
              <w:jc w:val="left"/>
              <w:rPr>
                <w:rFonts w:ascii="Times New Roman" w:hAnsi="Times New Roman" w:cs="Times New Roman" w:eastAsia="Times New Roman" w:hint="default"/>
                <w:sz w:val="21"/>
                <w:szCs w:val="21"/>
              </w:rPr>
            </w:pPr>
            <w:r>
              <w:rPr>
                <w:rFonts w:ascii="Times New Roman"/>
                <w:sz w:val="21"/>
              </w:rPr>
              <w:t>29.16%</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21" w:right="0"/>
              <w:jc w:val="left"/>
              <w:rPr>
                <w:rFonts w:ascii="Times New Roman" w:hAnsi="Times New Roman" w:cs="Times New Roman" w:eastAsia="Times New Roman" w:hint="default"/>
                <w:sz w:val="21"/>
                <w:szCs w:val="21"/>
              </w:rPr>
            </w:pPr>
            <w:r>
              <w:rPr>
                <w:rFonts w:ascii="Times New Roman"/>
                <w:sz w:val="21"/>
              </w:rPr>
              <w:t>15,600,000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841" w:right="0"/>
              <w:jc w:val="left"/>
              <w:rPr>
                <w:rFonts w:ascii="Times New Roman" w:hAnsi="Times New Roman" w:cs="Times New Roman" w:eastAsia="Times New Roman" w:hint="default"/>
                <w:sz w:val="21"/>
                <w:szCs w:val="21"/>
              </w:rPr>
            </w:pPr>
            <w:r>
              <w:rPr>
                <w:rFonts w:ascii="Times New Roman"/>
                <w:sz w:val="21"/>
              </w:rPr>
              <w:t>15,600,000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28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李国林</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5"/>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620" w:right="0"/>
              <w:jc w:val="left"/>
              <w:rPr>
                <w:rFonts w:ascii="Times New Roman" w:hAnsi="Times New Roman" w:cs="Times New Roman" w:eastAsia="Times New Roman" w:hint="default"/>
                <w:sz w:val="21"/>
                <w:szCs w:val="21"/>
              </w:rPr>
            </w:pPr>
            <w:r>
              <w:rPr>
                <w:rFonts w:ascii="Times New Roman"/>
                <w:sz w:val="21"/>
              </w:rPr>
              <w:t>14.95%</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25" w:right="0"/>
              <w:jc w:val="left"/>
              <w:rPr>
                <w:rFonts w:ascii="Times New Roman" w:hAnsi="Times New Roman" w:cs="Times New Roman" w:eastAsia="Times New Roman" w:hint="default"/>
                <w:sz w:val="21"/>
                <w:szCs w:val="21"/>
              </w:rPr>
            </w:pPr>
            <w:r>
              <w:rPr>
                <w:rFonts w:ascii="Times New Roman"/>
                <w:sz w:val="21"/>
              </w:rPr>
              <w:t>8,000,000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945" w:right="0"/>
              <w:jc w:val="left"/>
              <w:rPr>
                <w:rFonts w:ascii="Times New Roman" w:hAnsi="Times New Roman" w:cs="Times New Roman" w:eastAsia="Times New Roman" w:hint="default"/>
                <w:sz w:val="21"/>
                <w:szCs w:val="21"/>
              </w:rPr>
            </w:pPr>
            <w:r>
              <w:rPr>
                <w:rFonts w:ascii="Times New Roman"/>
                <w:sz w:val="21"/>
              </w:rPr>
              <w:t>8,000,000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广州通连投资咨询有限</w:t>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3"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620" w:right="0"/>
              <w:jc w:val="left"/>
              <w:rPr>
                <w:rFonts w:ascii="Times New Roman" w:hAnsi="Times New Roman" w:cs="Times New Roman" w:eastAsia="Times New Roman" w:hint="default"/>
                <w:sz w:val="21"/>
                <w:szCs w:val="21"/>
              </w:rPr>
            </w:pPr>
            <w:r>
              <w:rPr>
                <w:rFonts w:ascii="Times New Roman"/>
                <w:sz w:val="21"/>
              </w:rPr>
              <w:t>14.95%</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425" w:right="0"/>
              <w:jc w:val="left"/>
              <w:rPr>
                <w:rFonts w:ascii="Times New Roman" w:hAnsi="Times New Roman" w:cs="Times New Roman" w:eastAsia="Times New Roman" w:hint="default"/>
                <w:sz w:val="21"/>
                <w:szCs w:val="21"/>
              </w:rPr>
            </w:pPr>
            <w:r>
              <w:rPr>
                <w:rFonts w:ascii="Times New Roman"/>
                <w:sz w:val="21"/>
              </w:rPr>
              <w:t>8,000,000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945" w:right="0"/>
              <w:jc w:val="left"/>
              <w:rPr>
                <w:rFonts w:ascii="Times New Roman" w:hAnsi="Times New Roman" w:cs="Times New Roman" w:eastAsia="Times New Roman" w:hint="default"/>
                <w:sz w:val="21"/>
                <w:szCs w:val="21"/>
              </w:rPr>
            </w:pPr>
            <w:r>
              <w:rPr>
                <w:rFonts w:ascii="Times New Roman"/>
                <w:sz w:val="21"/>
              </w:rPr>
              <w:t>8,000,000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刘祥南</w:t>
            </w:r>
            <w:r>
              <w:rPr>
                <w:rFonts w:ascii="Times New Roman" w:hAnsi="Times New Roman" w:cs="Times New Roman" w:eastAsia="Times New Roman" w:hint="default"/>
                <w:sz w:val="21"/>
                <w:szCs w:val="21"/>
              </w:rPr>
              <w:t>_</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5"/>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627" w:right="0"/>
              <w:jc w:val="left"/>
              <w:rPr>
                <w:rFonts w:ascii="Times New Roman" w:hAnsi="Times New Roman" w:cs="Times New Roman" w:eastAsia="Times New Roman" w:hint="default"/>
                <w:sz w:val="21"/>
                <w:szCs w:val="21"/>
              </w:rPr>
            </w:pPr>
            <w:r>
              <w:rPr>
                <w:rFonts w:ascii="Times New Roman"/>
                <w:sz w:val="21"/>
              </w:rPr>
              <w:t>11.96%</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26" w:right="0"/>
              <w:jc w:val="left"/>
              <w:rPr>
                <w:rFonts w:ascii="Times New Roman" w:hAnsi="Times New Roman" w:cs="Times New Roman" w:eastAsia="Times New Roman" w:hint="default"/>
                <w:sz w:val="21"/>
                <w:szCs w:val="21"/>
              </w:rPr>
            </w:pPr>
            <w:r>
              <w:rPr>
                <w:rFonts w:ascii="Times New Roman"/>
                <w:sz w:val="21"/>
              </w:rPr>
              <w:t>6,400,000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945" w:right="0"/>
              <w:jc w:val="left"/>
              <w:rPr>
                <w:rFonts w:ascii="Times New Roman" w:hAnsi="Times New Roman" w:cs="Times New Roman" w:eastAsia="Times New Roman" w:hint="default"/>
                <w:sz w:val="21"/>
                <w:szCs w:val="21"/>
              </w:rPr>
            </w:pPr>
            <w:r>
              <w:rPr>
                <w:rFonts w:ascii="Times New Roman"/>
                <w:sz w:val="21"/>
              </w:rPr>
              <w:t>6,400,000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北京正华业兴科技有限</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724" w:right="0"/>
              <w:jc w:val="left"/>
              <w:rPr>
                <w:rFonts w:ascii="Times New Roman" w:hAnsi="Times New Roman" w:cs="Times New Roman" w:eastAsia="Times New Roman" w:hint="default"/>
                <w:sz w:val="21"/>
                <w:szCs w:val="21"/>
              </w:rPr>
            </w:pPr>
            <w:r>
              <w:rPr>
                <w:rFonts w:ascii="Times New Roman"/>
                <w:sz w:val="21"/>
              </w:rPr>
              <w:t>1.65%</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583" w:right="0"/>
              <w:jc w:val="left"/>
              <w:rPr>
                <w:rFonts w:ascii="Times New Roman" w:hAnsi="Times New Roman" w:cs="Times New Roman" w:eastAsia="Times New Roman" w:hint="default"/>
                <w:sz w:val="21"/>
                <w:szCs w:val="21"/>
              </w:rPr>
            </w:pPr>
            <w:r>
              <w:rPr>
                <w:rFonts w:ascii="Times New Roman"/>
                <w:sz w:val="21"/>
              </w:rPr>
              <w:t>883,500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r>
      <w:tr>
        <w:trPr>
          <w:trHeight w:val="28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郭泓</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5"/>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724" w:right="0"/>
              <w:jc w:val="left"/>
              <w:rPr>
                <w:rFonts w:ascii="Times New Roman" w:hAnsi="Times New Roman" w:cs="Times New Roman" w:eastAsia="Times New Roman" w:hint="default"/>
                <w:sz w:val="21"/>
                <w:szCs w:val="21"/>
              </w:rPr>
            </w:pPr>
            <w:r>
              <w:rPr>
                <w:rFonts w:ascii="Times New Roman"/>
                <w:sz w:val="21"/>
              </w:rPr>
              <w:t>1.61%</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83" w:right="0"/>
              <w:jc w:val="left"/>
              <w:rPr>
                <w:rFonts w:ascii="Times New Roman" w:hAnsi="Times New Roman" w:cs="Times New Roman" w:eastAsia="Times New Roman" w:hint="default"/>
                <w:sz w:val="21"/>
                <w:szCs w:val="21"/>
              </w:rPr>
            </w:pPr>
            <w:r>
              <w:rPr>
                <w:rFonts w:ascii="Times New Roman"/>
                <w:sz w:val="21"/>
              </w:rPr>
              <w:t>860,000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02" w:right="0"/>
              <w:jc w:val="left"/>
              <w:rPr>
                <w:rFonts w:ascii="Times New Roman" w:hAnsi="Times New Roman" w:cs="Times New Roman" w:eastAsia="Times New Roman" w:hint="default"/>
                <w:sz w:val="21"/>
                <w:szCs w:val="21"/>
              </w:rPr>
            </w:pPr>
            <w:r>
              <w:rPr>
                <w:rFonts w:ascii="Times New Roman"/>
                <w:sz w:val="21"/>
              </w:rPr>
              <w:t>860,000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宋戈</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15"/>
              <w:jc w:val="righ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724" w:right="0"/>
              <w:jc w:val="left"/>
              <w:rPr>
                <w:rFonts w:ascii="Times New Roman" w:hAnsi="Times New Roman" w:cs="Times New Roman" w:eastAsia="Times New Roman" w:hint="default"/>
                <w:sz w:val="21"/>
                <w:szCs w:val="21"/>
              </w:rPr>
            </w:pPr>
            <w:r>
              <w:rPr>
                <w:rFonts w:ascii="Times New Roman"/>
                <w:sz w:val="21"/>
              </w:rPr>
              <w:t>1.18%</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83" w:right="0"/>
              <w:jc w:val="left"/>
              <w:rPr>
                <w:rFonts w:ascii="Times New Roman" w:hAnsi="Times New Roman" w:cs="Times New Roman" w:eastAsia="Times New Roman" w:hint="default"/>
                <w:sz w:val="21"/>
                <w:szCs w:val="21"/>
              </w:rPr>
            </w:pPr>
            <w:r>
              <w:rPr>
                <w:rFonts w:ascii="Times New Roman"/>
                <w:sz w:val="21"/>
              </w:rPr>
              <w:t>628,706</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中国建设银行－纽银策</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略优选股票型证券投资</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724" w:right="0"/>
              <w:jc w:val="left"/>
              <w:rPr>
                <w:rFonts w:ascii="Times New Roman" w:hAnsi="Times New Roman" w:cs="Times New Roman" w:eastAsia="Times New Roman" w:hint="default"/>
                <w:sz w:val="21"/>
                <w:szCs w:val="21"/>
              </w:rPr>
            </w:pPr>
            <w:r>
              <w:rPr>
                <w:rFonts w:ascii="Times New Roman"/>
                <w:sz w:val="21"/>
              </w:rPr>
              <w:t>0.63%</w:t>
            </w:r>
          </w:p>
        </w:tc>
        <w:tc>
          <w:tcPr>
            <w:tcW w:w="13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583" w:right="0"/>
              <w:jc w:val="left"/>
              <w:rPr>
                <w:rFonts w:ascii="Times New Roman" w:hAnsi="Times New Roman" w:cs="Times New Roman" w:eastAsia="Times New Roman" w:hint="default"/>
                <w:sz w:val="21"/>
                <w:szCs w:val="21"/>
              </w:rPr>
            </w:pPr>
            <w:r>
              <w:rPr>
                <w:rFonts w:ascii="Times New Roman"/>
                <w:sz w:val="21"/>
              </w:rPr>
              <w:t>336,237</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r>
    </w:tbl>
    <w:p>
      <w:pPr>
        <w:spacing w:after="0" w:line="240" w:lineRule="auto"/>
        <w:jc w:val="right"/>
        <w:rPr>
          <w:rFonts w:ascii="Times New Roman" w:hAnsi="Times New Roman" w:cs="Times New Roman" w:eastAsia="Times New Roman" w:hint="default"/>
          <w:sz w:val="21"/>
          <w:szCs w:val="21"/>
        </w:rPr>
        <w:sectPr>
          <w:pgSz w:w="12240" w:h="15840"/>
          <w:pgMar w:header="0" w:footer="688" w:top="1360" w:bottom="880" w:left="1680" w:right="500"/>
        </w:sectPr>
      </w:pPr>
    </w:p>
    <w:p>
      <w:pPr>
        <w:spacing w:line="240" w:lineRule="auto" w:before="1"/>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2340"/>
        <w:gridCol w:w="1300"/>
        <w:gridCol w:w="1301"/>
        <w:gridCol w:w="1300"/>
        <w:gridCol w:w="520"/>
        <w:gridCol w:w="1301"/>
        <w:gridCol w:w="1768"/>
      </w:tblGrid>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基金</w:t>
            </w:r>
          </w:p>
        </w:tc>
        <w:tc>
          <w:tcPr>
            <w:tcW w:w="1300"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300" w:type="dxa"/>
            <w:tcBorders>
              <w:top w:val="single" w:sz="4" w:space="0" w:color="000000"/>
              <w:left w:val="single" w:sz="4" w:space="0" w:color="000000"/>
              <w:bottom w:val="single" w:sz="4" w:space="0" w:color="000000"/>
              <w:right w:val="single" w:sz="4" w:space="0" w:color="000000"/>
            </w:tcBorders>
          </w:tcPr>
          <w:p>
            <w:pPr/>
          </w:p>
        </w:tc>
        <w:tc>
          <w:tcPr>
            <w:tcW w:w="1820" w:type="dxa"/>
            <w:gridSpan w:val="2"/>
            <w:tcBorders>
              <w:top w:val="single" w:sz="4" w:space="0" w:color="000000"/>
              <w:left w:val="single" w:sz="4" w:space="0" w:color="000000"/>
              <w:bottom w:val="single" w:sz="4" w:space="0" w:color="000000"/>
              <w:right w:val="single" w:sz="4" w:space="0" w:color="000000"/>
            </w:tcBorders>
          </w:tcPr>
          <w:p>
            <w:pPr/>
          </w:p>
        </w:tc>
        <w:tc>
          <w:tcPr>
            <w:tcW w:w="176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陈秀华</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2"/>
                <w:sz w:val="21"/>
              </w:rPr>
              <w:t>315,511</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r>
      <w:tr>
        <w:trPr>
          <w:trHeight w:val="827"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银河行业</w:t>
            </w:r>
          </w:p>
          <w:p>
            <w:pPr>
              <w:pStyle w:val="TableParagraph"/>
              <w:spacing w:line="272" w:lineRule="exact" w:before="18"/>
              <w:ind w:left="22" w:right="205"/>
              <w:jc w:val="left"/>
              <w:rPr>
                <w:rFonts w:ascii="宋体" w:hAnsi="宋体" w:cs="宋体" w:eastAsia="宋体" w:hint="default"/>
                <w:sz w:val="21"/>
                <w:szCs w:val="21"/>
              </w:rPr>
            </w:pPr>
            <w:r>
              <w:rPr>
                <w:rFonts w:ascii="宋体" w:hAnsi="宋体" w:cs="宋体" w:eastAsia="宋体" w:hint="default"/>
                <w:sz w:val="21"/>
                <w:szCs w:val="21"/>
              </w:rPr>
              <w:t>优选股票型证券投资基 金</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22"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8"/>
                <w:sz w:val="21"/>
                <w:szCs w:val="21"/>
              </w:rPr>
              <w:t> </w:t>
            </w:r>
            <w:r>
              <w:rPr>
                <w:rFonts w:ascii="宋体" w:hAnsi="宋体" w:cs="宋体" w:eastAsia="宋体" w:hint="default"/>
                <w:sz w:val="21"/>
                <w:szCs w:val="21"/>
              </w:rPr>
              <w:t>内</w:t>
            </w:r>
            <w:r>
              <w:rPr>
                <w:rFonts w:ascii="宋体" w:hAnsi="宋体" w:cs="宋体" w:eastAsia="宋体" w:hint="default"/>
                <w:spacing w:val="-58"/>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0.56%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300,000</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w:t>
            </w:r>
          </w:p>
        </w:tc>
      </w:tr>
      <w:tr>
        <w:trPr>
          <w:trHeight w:val="282" w:hRule="exact"/>
        </w:trPr>
        <w:tc>
          <w:tcPr>
            <w:tcW w:w="98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名无限售条件股东持股情况</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00"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28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北京正华业兴科技有限公司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883,500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宋戈</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628,706</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中国建设银行－纽银策略优选股票型证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336,237</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陈秀华</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2"/>
                <w:sz w:val="21"/>
              </w:rPr>
              <w:t>315,511</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w:t>
            </w:r>
            <w:r>
              <w:rPr>
                <w:rFonts w:ascii="Times New Roman" w:hAnsi="Times New Roman" w:cs="Times New Roman" w:eastAsia="Times New Roman" w:hint="default"/>
                <w:sz w:val="21"/>
                <w:szCs w:val="21"/>
              </w:rPr>
              <w:t>-</w:t>
            </w:r>
            <w:r>
              <w:rPr>
                <w:rFonts w:ascii="宋体" w:hAnsi="宋体" w:cs="宋体" w:eastAsia="宋体" w:hint="default"/>
                <w:sz w:val="21"/>
                <w:szCs w:val="21"/>
              </w:rPr>
              <w:t>银河行业优选股票型证</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300,000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中国对外经济贸易信托有限公司－新股</w:t>
            </w:r>
          </w:p>
          <w:p>
            <w:pPr>
              <w:pStyle w:val="TableParagraph"/>
              <w:spacing w:line="289" w:lineRule="exact"/>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Ｃ</w:t>
            </w:r>
            <w:r>
              <w:rPr>
                <w:rFonts w:ascii="Times New Roman" w:hAnsi="Times New Roman" w:cs="Times New Roman" w:eastAsia="Times New Roman" w:hint="default"/>
                <w:sz w:val="21"/>
                <w:szCs w:val="21"/>
              </w:rPr>
              <w:t>17</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237,100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华林证券有限责任公司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232,500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海通证券股份有限公司客户信用交易担</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保证券账户</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192,800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3"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百瑞信托有限责任公司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184,500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周硕</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162,924</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886"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3"/>
              <w:ind w:left="533" w:right="114" w:hanging="420"/>
              <w:jc w:val="left"/>
              <w:rPr>
                <w:rFonts w:ascii="宋体" w:hAnsi="宋体" w:cs="宋体" w:eastAsia="宋体" w:hint="default"/>
                <w:sz w:val="21"/>
                <w:szCs w:val="21"/>
              </w:rPr>
            </w:pPr>
            <w:r>
              <w:rPr>
                <w:rFonts w:ascii="宋体" w:hAnsi="宋体" w:cs="宋体" w:eastAsia="宋体" w:hint="default"/>
                <w:sz w:val="21"/>
                <w:szCs w:val="21"/>
              </w:rPr>
              <w:t>上述股东关联关系或一 致行动的说明</w:t>
            </w:r>
          </w:p>
        </w:tc>
        <w:tc>
          <w:tcPr>
            <w:tcW w:w="748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股东郭永芳持有公司</w:t>
            </w:r>
            <w:r>
              <w:rPr>
                <w:rFonts w:ascii="宋体" w:hAnsi="宋体" w:cs="宋体" w:eastAsia="宋体" w:hint="default"/>
                <w:spacing w:val="-43"/>
                <w:sz w:val="21"/>
                <w:szCs w:val="21"/>
              </w:rPr>
              <w:t> </w:t>
            </w:r>
            <w:r>
              <w:rPr>
                <w:rFonts w:ascii="Times New Roman" w:hAnsi="Times New Roman" w:cs="Times New Roman" w:eastAsia="Times New Roman" w:hint="default"/>
                <w:spacing w:val="-7"/>
                <w:sz w:val="21"/>
                <w:szCs w:val="21"/>
              </w:rPr>
              <w:t>29.16%</w:t>
            </w:r>
            <w:r>
              <w:rPr>
                <w:rFonts w:ascii="宋体" w:hAnsi="宋体" w:cs="宋体" w:eastAsia="宋体" w:hint="default"/>
                <w:spacing w:val="-7"/>
                <w:sz w:val="21"/>
                <w:szCs w:val="21"/>
              </w:rPr>
              <w:t>的股份，担任公司副董事长。股东郭泓持有公司</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1.61%</w:t>
            </w:r>
          </w:p>
          <w:p>
            <w:pPr>
              <w:pStyle w:val="TableParagraph"/>
              <w:spacing w:line="272" w:lineRule="exact" w:before="18"/>
              <w:ind w:left="22" w:right="22"/>
              <w:jc w:val="left"/>
              <w:rPr>
                <w:rFonts w:ascii="宋体" w:hAnsi="宋体" w:cs="宋体" w:eastAsia="宋体" w:hint="default"/>
                <w:sz w:val="21"/>
                <w:szCs w:val="21"/>
              </w:rPr>
            </w:pPr>
            <w:r>
              <w:rPr>
                <w:rFonts w:ascii="宋体" w:hAnsi="宋体" w:cs="宋体" w:eastAsia="宋体" w:hint="default"/>
                <w:sz w:val="21"/>
                <w:szCs w:val="21"/>
              </w:rPr>
              <w:t>股权，担任公司拓展中心副经理，郭泓为郭永芳侄子。 除此之外，其他股东之间不存在关联关系。 为保持公司经营决策的一致性，郭永芳、滕达、刘祥南三人签订了《一致行动协 </w:t>
            </w:r>
            <w:r>
              <w:rPr>
                <w:rFonts w:ascii="宋体" w:hAnsi="宋体" w:cs="宋体" w:eastAsia="宋体" w:hint="default"/>
                <w:spacing w:val="-4"/>
                <w:sz w:val="21"/>
                <w:szCs w:val="21"/>
              </w:rPr>
              <w:t>议》，互为一致行动人。除上述《一致行动协议》外，李国林也承诺公司股票上市</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之日起满</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个月内在股东大会、董事会行使表决权时与郭永芳保持一致。</w:t>
            </w:r>
          </w:p>
        </w:tc>
      </w:tr>
    </w:tbl>
    <w:p>
      <w:pPr>
        <w:spacing w:line="240" w:lineRule="auto" w:before="7"/>
        <w:rPr>
          <w:rFonts w:ascii="宋体" w:hAnsi="宋体" w:cs="宋体" w:eastAsia="宋体" w:hint="default"/>
          <w:sz w:val="23"/>
          <w:szCs w:val="23"/>
        </w:rPr>
      </w:pPr>
    </w:p>
    <w:p>
      <w:pPr>
        <w:pStyle w:val="Heading2"/>
        <w:spacing w:line="240" w:lineRule="auto" w:before="13"/>
        <w:ind w:right="0"/>
        <w:jc w:val="left"/>
        <w:rPr>
          <w:b w:val="0"/>
          <w:bCs w:val="0"/>
        </w:rPr>
      </w:pPr>
      <w:r>
        <w:rPr/>
        <w:t>四、控股股东及实际控制人情况介绍</w:t>
      </w:r>
      <w:r>
        <w:rPr>
          <w:b w:val="0"/>
          <w:bCs w:val="0"/>
        </w:rPr>
      </w:r>
    </w:p>
    <w:p>
      <w:pPr>
        <w:spacing w:line="240" w:lineRule="auto" w:before="8"/>
        <w:rPr>
          <w:rFonts w:ascii="宋体" w:hAnsi="宋体" w:cs="宋体" w:eastAsia="宋体" w:hint="default"/>
          <w:b/>
          <w:bCs/>
          <w:sz w:val="30"/>
          <w:szCs w:val="30"/>
        </w:rPr>
      </w:pPr>
    </w:p>
    <w:p>
      <w:pPr>
        <w:spacing w:line="422" w:lineRule="auto" w:before="0"/>
        <w:ind w:left="600" w:right="3920" w:firstLine="2"/>
        <w:jc w:val="left"/>
        <w:rPr>
          <w:rFonts w:ascii="宋体" w:hAnsi="宋体" w:cs="宋体" w:eastAsia="宋体" w:hint="default"/>
          <w:sz w:val="24"/>
          <w:szCs w:val="24"/>
        </w:rPr>
      </w:pPr>
      <w:r>
        <w:rPr>
          <w:rFonts w:ascii="宋体" w:hAnsi="宋体" w:cs="宋体" w:eastAsia="宋体" w:hint="default"/>
          <w:b/>
          <w:bCs/>
          <w:sz w:val="24"/>
          <w:szCs w:val="24"/>
        </w:rPr>
        <w:t>（一）控股股东及实际控制人变更情况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报告期内，公司控股股东及实际控制人未发生变更。</w:t>
      </w:r>
    </w:p>
    <w:p>
      <w:pPr>
        <w:spacing w:line="240" w:lineRule="auto" w:before="11"/>
        <w:rPr>
          <w:rFonts w:ascii="宋体" w:hAnsi="宋体" w:cs="宋体" w:eastAsia="宋体" w:hint="default"/>
          <w:sz w:val="28"/>
          <w:szCs w:val="28"/>
        </w:rPr>
      </w:pPr>
    </w:p>
    <w:p>
      <w:pPr>
        <w:pStyle w:val="Heading3"/>
        <w:spacing w:line="240" w:lineRule="auto"/>
        <w:ind w:right="0"/>
        <w:jc w:val="left"/>
        <w:rPr>
          <w:b w:val="0"/>
          <w:bCs w:val="0"/>
        </w:rPr>
      </w:pPr>
      <w:r>
        <w:rPr/>
        <w:t>（二）控股股东及实际控制人具体情况介绍</w:t>
      </w:r>
      <w:r>
        <w:rPr>
          <w:b w:val="0"/>
          <w:bCs w:val="0"/>
        </w:rPr>
      </w:r>
    </w:p>
    <w:p>
      <w:pPr>
        <w:spacing w:line="240" w:lineRule="auto" w:before="4"/>
        <w:rPr>
          <w:rFonts w:ascii="宋体" w:hAnsi="宋体" w:cs="宋体" w:eastAsia="宋体" w:hint="default"/>
          <w:b/>
          <w:bCs/>
          <w:sz w:val="18"/>
          <w:szCs w:val="18"/>
        </w:rPr>
      </w:pPr>
    </w:p>
    <w:p>
      <w:pPr>
        <w:pStyle w:val="BodyText"/>
        <w:spacing w:line="338" w:lineRule="auto"/>
        <w:ind w:left="119" w:right="1288" w:firstLine="480"/>
        <w:jc w:val="left"/>
      </w:pPr>
      <w:r>
        <w:rPr/>
        <w:t>郭永芳持有公司</w:t>
      </w:r>
      <w:r>
        <w:rPr>
          <w:spacing w:val="-69"/>
        </w:rPr>
        <w:t> </w:t>
      </w:r>
      <w:r>
        <w:rPr>
          <w:rFonts w:ascii="Times New Roman" w:hAnsi="Times New Roman" w:cs="Times New Roman" w:eastAsia="Times New Roman" w:hint="default"/>
        </w:rPr>
        <w:t>1,560</w:t>
      </w:r>
      <w:r>
        <w:rPr>
          <w:rFonts w:ascii="Times New Roman" w:hAnsi="Times New Roman" w:cs="Times New Roman" w:eastAsia="Times New Roman" w:hint="default"/>
          <w:spacing w:val="-9"/>
        </w:rPr>
        <w:t> </w:t>
      </w:r>
      <w:r>
        <w:rPr/>
        <w:t>万股股份，占发行前总股本的</w:t>
      </w:r>
      <w:r>
        <w:rPr>
          <w:spacing w:val="-69"/>
        </w:rPr>
        <w:t> </w:t>
      </w:r>
      <w:r>
        <w:rPr>
          <w:rFonts w:ascii="Times New Roman" w:hAnsi="Times New Roman" w:cs="Times New Roman" w:eastAsia="Times New Roman" w:hint="default"/>
        </w:rPr>
        <w:t>39.00%</w:t>
      </w:r>
      <w:r>
        <w:rPr/>
        <w:t>，为公司的控股股</w:t>
      </w:r>
      <w:r>
        <w:rPr>
          <w:spacing w:val="-1"/>
        </w:rPr>
        <w:t> </w:t>
      </w:r>
      <w:r>
        <w:rPr/>
        <w:t>东。</w:t>
      </w:r>
    </w:p>
    <w:p>
      <w:pPr>
        <w:pStyle w:val="BodyText"/>
        <w:spacing w:line="240" w:lineRule="auto" w:before="174"/>
        <w:ind w:left="599" w:right="0"/>
        <w:jc w:val="left"/>
      </w:pPr>
      <w:r>
        <w:rPr/>
        <w:t>公司实际控制人为郭永芳、滕达和刘祥南，其中郭永芳和滕达为母子关系。</w:t>
      </w:r>
    </w:p>
    <w:p>
      <w:pPr>
        <w:spacing w:after="0" w:line="240" w:lineRule="auto"/>
        <w:jc w:val="left"/>
        <w:sectPr>
          <w:pgSz w:w="12240" w:h="15840"/>
          <w:pgMar w:header="0" w:footer="688" w:top="1360" w:bottom="880" w:left="1680" w:right="500"/>
        </w:sectPr>
      </w:pPr>
    </w:p>
    <w:p>
      <w:pPr>
        <w:pStyle w:val="BodyText"/>
        <w:spacing w:line="352" w:lineRule="auto" w:before="1"/>
        <w:ind w:left="119" w:right="105" w:firstLine="480"/>
        <w:jc w:val="left"/>
      </w:pPr>
      <w:r>
        <w:rPr/>
        <w:t>郭永芳自 </w:t>
      </w:r>
      <w:r>
        <w:rPr>
          <w:rFonts w:ascii="Times New Roman" w:hAnsi="Times New Roman" w:cs="Times New Roman" w:eastAsia="Times New Roman" w:hint="default"/>
        </w:rPr>
        <w:t>2002 </w:t>
      </w:r>
      <w:r>
        <w:rPr/>
        <w:t>年以来，一直是公司的第一大股东，目前持有公司</w:t>
      </w:r>
      <w:r>
        <w:rPr>
          <w:spacing w:val="-81"/>
        </w:rPr>
        <w:t> </w:t>
      </w:r>
      <w:r>
        <w:rPr>
          <w:rFonts w:ascii="Times New Roman" w:hAnsi="Times New Roman" w:cs="Times New Roman" w:eastAsia="Times New Roman" w:hint="default"/>
        </w:rPr>
        <w:t>29.16%</w:t>
      </w:r>
      <w:r>
        <w:rPr/>
        <w:t>的股 份，担任公司副董事长。滕达为郭永芳之子，为公司的创始人之一。自公司成立以 来，一直担任公司的总经理，具体负责公司经营管理，现同时兼任公司董事。刘祥 </w:t>
      </w:r>
      <w:r>
        <w:rPr>
          <w:spacing w:val="-4"/>
        </w:rPr>
        <w:t>南为公司的创始人之一，是国内电子数据取证及信息安全行业的专家、学术带头人，</w:t>
      </w:r>
      <w:r>
        <w:rPr>
          <w:spacing w:val="-92"/>
        </w:rPr>
        <w:t> </w:t>
      </w:r>
      <w:r>
        <w:rPr>
          <w:spacing w:val="-92"/>
        </w:rPr>
      </w:r>
      <w:r>
        <w:rPr/>
        <w:t>也是滕达的大学老师，现持有公司</w:t>
      </w:r>
      <w:r>
        <w:rPr>
          <w:spacing w:val="-60"/>
        </w:rPr>
        <w:t> </w:t>
      </w:r>
      <w:r>
        <w:rPr>
          <w:rFonts w:ascii="Times New Roman" w:hAnsi="Times New Roman" w:cs="Times New Roman" w:eastAsia="Times New Roman" w:hint="default"/>
        </w:rPr>
        <w:t>14.95%</w:t>
      </w:r>
      <w:r>
        <w:rPr/>
        <w:t>的股份，担任公司董事长。</w:t>
      </w:r>
    </w:p>
    <w:p>
      <w:pPr>
        <w:pStyle w:val="BodyText"/>
        <w:spacing w:line="240" w:lineRule="auto" w:before="129"/>
        <w:ind w:left="599" w:right="221"/>
        <w:jc w:val="left"/>
      </w:pPr>
      <w:r>
        <w:rPr/>
        <w:t>实际控制人简历如下：</w:t>
      </w:r>
    </w:p>
    <w:p>
      <w:pPr>
        <w:spacing w:line="240" w:lineRule="auto" w:before="11"/>
        <w:rPr>
          <w:rFonts w:ascii="宋体" w:hAnsi="宋体" w:cs="宋体" w:eastAsia="宋体" w:hint="default"/>
          <w:sz w:val="20"/>
          <w:szCs w:val="20"/>
        </w:rPr>
      </w:pPr>
    </w:p>
    <w:p>
      <w:pPr>
        <w:pStyle w:val="BodyText"/>
        <w:spacing w:line="338" w:lineRule="auto"/>
        <w:ind w:left="119" w:right="236" w:firstLine="482"/>
        <w:jc w:val="both"/>
        <w:rPr>
          <w:rFonts w:ascii="Times New Roman" w:hAnsi="Times New Roman" w:cs="Times New Roman" w:eastAsia="Times New Roman" w:hint="default"/>
        </w:rPr>
      </w:pPr>
      <w:r>
        <w:rPr>
          <w:rFonts w:ascii="宋体" w:hAnsi="宋体" w:cs="宋体" w:eastAsia="宋体" w:hint="default"/>
          <w:b/>
          <w:bCs/>
          <w:spacing w:val="-3"/>
        </w:rPr>
        <w:t>郭永芳</w:t>
      </w:r>
      <w:r>
        <w:rPr>
          <w:spacing w:val="-3"/>
        </w:rPr>
        <w:t>，女，</w:t>
      </w:r>
      <w:r>
        <w:rPr>
          <w:rFonts w:ascii="Times New Roman" w:hAnsi="Times New Roman" w:cs="Times New Roman" w:eastAsia="Times New Roman" w:hint="default"/>
          <w:spacing w:val="-3"/>
        </w:rPr>
        <w:t>1945</w:t>
      </w:r>
      <w:r>
        <w:rPr>
          <w:rFonts w:ascii="Times New Roman" w:hAnsi="Times New Roman" w:cs="Times New Roman" w:eastAsia="Times New Roman" w:hint="default"/>
          <w:spacing w:val="-28"/>
        </w:rPr>
        <w:t> </w:t>
      </w:r>
      <w:r>
        <w:rPr/>
        <w:t>年出生，中国香港籍，身份证号码：</w:t>
      </w:r>
      <w:r>
        <w:rPr>
          <w:rFonts w:ascii="Times New Roman" w:hAnsi="Times New Roman" w:cs="Times New Roman" w:eastAsia="Times New Roman" w:hint="default"/>
        </w:rPr>
        <w:t>R318514(0)</w:t>
      </w:r>
      <w:r>
        <w:rPr/>
        <w:t>。</w:t>
      </w:r>
      <w:r>
        <w:rPr>
          <w:rFonts w:ascii="Times New Roman" w:hAnsi="Times New Roman" w:cs="Times New Roman" w:eastAsia="Times New Roman" w:hint="default"/>
        </w:rPr>
        <w:t>1968</w:t>
      </w:r>
      <w:r>
        <w:rPr>
          <w:rFonts w:ascii="Times New Roman" w:hAnsi="Times New Roman" w:cs="Times New Roman" w:eastAsia="Times New Roman" w:hint="default"/>
          <w:spacing w:val="-28"/>
        </w:rPr>
        <w:t> </w:t>
      </w:r>
      <w:r>
        <w:rPr/>
        <w:t>年毕 业于福建师范大学数学系。</w:t>
      </w:r>
      <w:r>
        <w:rPr>
          <w:rFonts w:ascii="Times New Roman" w:hAnsi="Times New Roman" w:cs="Times New Roman" w:eastAsia="Times New Roman" w:hint="default"/>
        </w:rPr>
        <w:t>1968 </w:t>
      </w:r>
      <w:r>
        <w:rPr/>
        <w:t>年到</w:t>
      </w:r>
      <w:r>
        <w:rPr>
          <w:spacing w:val="-60"/>
        </w:rPr>
        <w:t> </w:t>
      </w:r>
      <w:r>
        <w:rPr>
          <w:rFonts w:ascii="Times New Roman" w:hAnsi="Times New Roman" w:cs="Times New Roman" w:eastAsia="Times New Roman" w:hint="default"/>
        </w:rPr>
        <w:t>1975 </w:t>
      </w:r>
      <w:r>
        <w:rPr/>
        <w:t>年在福建漳浦赤湖中学任教；</w:t>
      </w:r>
      <w:r>
        <w:rPr>
          <w:rFonts w:ascii="Times New Roman" w:hAnsi="Times New Roman" w:cs="Times New Roman" w:eastAsia="Times New Roman" w:hint="default"/>
        </w:rPr>
        <w:t>1975 </w:t>
      </w:r>
      <w:r>
        <w:rPr/>
        <w:t>年到 </w:t>
      </w:r>
      <w:r>
        <w:rPr>
          <w:rFonts w:ascii="Times New Roman" w:hAnsi="Times New Roman" w:cs="Times New Roman" w:eastAsia="Times New Roman" w:hint="default"/>
        </w:rPr>
        <w:t>2000 </w:t>
      </w:r>
      <w:r>
        <w:rPr>
          <w:spacing w:val="-3"/>
        </w:rPr>
        <w:t>年间在厦门一中任教；</w:t>
      </w:r>
      <w:r>
        <w:rPr>
          <w:rFonts w:ascii="Times New Roman" w:hAnsi="Times New Roman" w:cs="Times New Roman" w:eastAsia="Times New Roman" w:hint="default"/>
          <w:spacing w:val="-3"/>
        </w:rPr>
        <w:t>2004</w:t>
      </w:r>
      <w:r>
        <w:rPr>
          <w:rFonts w:ascii="Times New Roman" w:hAnsi="Times New Roman" w:cs="Times New Roman" w:eastAsia="Times New Roman" w:hint="default"/>
          <w:spacing w:val="18"/>
        </w:rPr>
        <w:t> </w:t>
      </w:r>
      <w:r>
        <w:rPr>
          <w:spacing w:val="-4"/>
        </w:rPr>
        <w:t>年注销中国国籍，同年成为中国香港籍公民；</w:t>
      </w:r>
      <w:r>
        <w:rPr>
          <w:rFonts w:ascii="Times New Roman" w:hAnsi="Times New Roman" w:cs="Times New Roman" w:eastAsia="Times New Roman" w:hint="default"/>
          <w:spacing w:val="-4"/>
        </w:rPr>
        <w:t>2001</w:t>
      </w:r>
    </w:p>
    <w:p>
      <w:pPr>
        <w:pStyle w:val="BodyText"/>
        <w:spacing w:line="424" w:lineRule="auto" w:before="25"/>
        <w:ind w:left="602" w:right="223" w:hanging="483"/>
        <w:jc w:val="left"/>
      </w:pPr>
      <w:r>
        <w:rPr/>
        <w:t>年至</w:t>
      </w:r>
      <w:r>
        <w:rPr>
          <w:spacing w:val="-60"/>
        </w:rPr>
        <w:t> </w:t>
      </w:r>
      <w:r>
        <w:rPr>
          <w:rFonts w:ascii="Times New Roman" w:hAnsi="Times New Roman" w:cs="Times New Roman" w:eastAsia="Times New Roman" w:hint="default"/>
        </w:rPr>
        <w:t>2009 </w:t>
      </w:r>
      <w:r>
        <w:rPr/>
        <w:t>年任美亚柏科有限公司执行董事；现任公司副董事长。 </w:t>
      </w:r>
      <w:r>
        <w:rPr>
          <w:rFonts w:ascii="宋体" w:hAnsi="宋体" w:cs="宋体" w:eastAsia="宋体" w:hint="default"/>
          <w:b/>
          <w:bCs/>
          <w:spacing w:val="-3"/>
        </w:rPr>
        <w:t>刘祥南</w:t>
      </w:r>
      <w:r>
        <w:rPr>
          <w:spacing w:val="-3"/>
        </w:rPr>
        <w:t>，男，</w:t>
      </w:r>
      <w:r>
        <w:rPr>
          <w:rFonts w:ascii="Times New Roman" w:hAnsi="Times New Roman" w:cs="Times New Roman" w:eastAsia="Times New Roman" w:hint="default"/>
          <w:spacing w:val="-3"/>
        </w:rPr>
        <w:t>1937</w:t>
      </w:r>
      <w:r>
        <w:rPr>
          <w:rFonts w:ascii="Times New Roman" w:hAnsi="Times New Roman" w:cs="Times New Roman" w:eastAsia="Times New Roman" w:hint="default"/>
          <w:spacing w:val="-38"/>
        </w:rPr>
        <w:t> </w:t>
      </w:r>
      <w:r>
        <w:rPr/>
        <w:t>年出生，中国国籍，教授，无永久境外居留权男，身份证号</w:t>
      </w:r>
    </w:p>
    <w:p>
      <w:pPr>
        <w:pStyle w:val="BodyText"/>
        <w:spacing w:line="262" w:lineRule="exact"/>
        <w:ind w:left="119" w:right="0"/>
        <w:jc w:val="both"/>
        <w:rPr>
          <w:rFonts w:ascii="Times New Roman" w:hAnsi="Times New Roman" w:cs="Times New Roman" w:eastAsia="Times New Roman" w:hint="default"/>
        </w:rPr>
      </w:pPr>
      <w:r>
        <w:rPr/>
        <w:t>码</w:t>
      </w:r>
      <w:r>
        <w:rPr>
          <w:spacing w:val="-100"/>
        </w:rPr>
        <w:t>：</w:t>
      </w:r>
      <w:r>
        <w:rPr>
          <w:rFonts w:ascii="Times New Roman" w:hAnsi="Times New Roman" w:cs="Times New Roman" w:eastAsia="Times New Roman" w:hint="default"/>
        </w:rPr>
        <w:t>35020319****284015</w:t>
      </w:r>
      <w:r>
        <w:rPr>
          <w:spacing w:val="-100"/>
        </w:rPr>
        <w:t>。</w:t>
      </w:r>
      <w:r>
        <w:rPr>
          <w:rFonts w:ascii="Times New Roman" w:hAnsi="Times New Roman" w:cs="Times New Roman" w:eastAsia="Times New Roman" w:hint="default"/>
        </w:rPr>
        <w:t>1955 </w:t>
      </w:r>
      <w:r>
        <w:rPr/>
        <w:t>年至</w:t>
      </w:r>
      <w:r>
        <w:rPr>
          <w:spacing w:val="-60"/>
        </w:rPr>
        <w:t> </w:t>
      </w:r>
      <w:r>
        <w:rPr>
          <w:rFonts w:ascii="Times New Roman" w:hAnsi="Times New Roman" w:cs="Times New Roman" w:eastAsia="Times New Roman" w:hint="default"/>
        </w:rPr>
        <w:t>1959 </w:t>
      </w:r>
      <w:r>
        <w:rPr/>
        <w:t>年就读于厦门大学物理系</w:t>
      </w:r>
      <w:r>
        <w:rPr>
          <w:spacing w:val="-100"/>
        </w:rPr>
        <w:t>；</w:t>
      </w:r>
      <w:r>
        <w:rPr>
          <w:rFonts w:ascii="Times New Roman" w:hAnsi="Times New Roman" w:cs="Times New Roman" w:eastAsia="Times New Roman" w:hint="default"/>
        </w:rPr>
        <w:t>1959 </w:t>
      </w:r>
      <w:r>
        <w:rPr/>
        <w:t>年至</w:t>
      </w:r>
      <w:r>
        <w:rPr>
          <w:spacing w:val="-60"/>
        </w:rPr>
        <w:t> </w:t>
      </w:r>
      <w:r>
        <w:rPr>
          <w:rFonts w:ascii="Times New Roman" w:hAnsi="Times New Roman" w:cs="Times New Roman" w:eastAsia="Times New Roman" w:hint="default"/>
        </w:rPr>
        <w:t>1986</w:t>
      </w:r>
    </w:p>
    <w:p>
      <w:pPr>
        <w:pStyle w:val="BodyText"/>
        <w:spacing w:line="338" w:lineRule="auto" w:before="134"/>
        <w:ind w:left="119" w:right="239"/>
        <w:jc w:val="both"/>
      </w:pPr>
      <w:r>
        <w:rPr/>
        <w:t>年任厦门大学物理系教师；</w:t>
      </w:r>
      <w:r>
        <w:rPr>
          <w:rFonts w:ascii="Times New Roman" w:hAnsi="Times New Roman" w:cs="Times New Roman" w:eastAsia="Times New Roman" w:hint="default"/>
        </w:rPr>
        <w:t>1986 </w:t>
      </w:r>
      <w:r>
        <w:rPr/>
        <w:t>年至 </w:t>
      </w:r>
      <w:r>
        <w:rPr>
          <w:rFonts w:ascii="Times New Roman" w:hAnsi="Times New Roman" w:cs="Times New Roman" w:eastAsia="Times New Roman" w:hint="default"/>
        </w:rPr>
        <w:t>1998</w:t>
      </w:r>
      <w:r>
        <w:rPr>
          <w:rFonts w:ascii="Times New Roman" w:hAnsi="Times New Roman" w:cs="Times New Roman" w:eastAsia="Times New Roman" w:hint="default"/>
          <w:spacing w:val="-1"/>
        </w:rPr>
        <w:t> </w:t>
      </w:r>
      <w:r>
        <w:rPr/>
        <w:t>年任厦门大学电子工程系教师、教授； </w:t>
      </w:r>
      <w:r>
        <w:rPr>
          <w:rFonts w:ascii="Times New Roman" w:hAnsi="Times New Roman" w:cs="Times New Roman" w:eastAsia="Times New Roman" w:hint="default"/>
        </w:rPr>
        <w:t>1999 </w:t>
      </w:r>
      <w:r>
        <w:rPr/>
        <w:t>年至</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9 </w:t>
      </w:r>
      <w:r>
        <w:rPr/>
        <w:t>月任公司监事；</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12 </w:t>
      </w:r>
      <w:r>
        <w:rPr/>
        <w:t>月至</w:t>
      </w:r>
      <w:r>
        <w:rPr>
          <w:spacing w:val="-60"/>
        </w:rPr>
        <w:t> </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10 </w:t>
      </w:r>
      <w:r>
        <w:rPr/>
        <w:t>月任第</w:t>
      </w:r>
      <w:r>
        <w:rPr>
          <w:spacing w:val="-60"/>
        </w:rPr>
        <w:t> </w:t>
      </w:r>
      <w:r>
        <w:rPr>
          <w:rFonts w:ascii="Times New Roman" w:hAnsi="Times New Roman" w:cs="Times New Roman" w:eastAsia="Times New Roman" w:hint="default"/>
        </w:rPr>
        <w:t>29 </w:t>
      </w:r>
      <w:r>
        <w:rPr/>
        <w:t>届奥林匹 克运动会信息网络安全专家；现任公司董事长。</w:t>
      </w:r>
    </w:p>
    <w:p>
      <w:pPr>
        <w:pStyle w:val="BodyText"/>
        <w:spacing w:line="338" w:lineRule="auto" w:before="174"/>
        <w:ind w:left="119" w:right="108" w:firstLine="482"/>
        <w:jc w:val="left"/>
      </w:pPr>
      <w:r>
        <w:rPr>
          <w:rFonts w:ascii="宋体" w:hAnsi="宋体" w:cs="宋体" w:eastAsia="宋体" w:hint="default"/>
          <w:b/>
          <w:bCs/>
          <w:spacing w:val="-5"/>
        </w:rPr>
        <w:t>滕达</w:t>
      </w:r>
      <w:r>
        <w:rPr>
          <w:spacing w:val="-5"/>
        </w:rPr>
        <w:t>，男，</w:t>
      </w:r>
      <w:r>
        <w:rPr>
          <w:rFonts w:ascii="Times New Roman" w:hAnsi="Times New Roman" w:cs="Times New Roman" w:eastAsia="Times New Roman" w:hint="default"/>
          <w:spacing w:val="-5"/>
        </w:rPr>
        <w:t>1970</w:t>
      </w:r>
      <w:r>
        <w:rPr>
          <w:rFonts w:ascii="Times New Roman" w:hAnsi="Times New Roman" w:cs="Times New Roman" w:eastAsia="Times New Roman" w:hint="default"/>
          <w:spacing w:val="19"/>
        </w:rPr>
        <w:t> </w:t>
      </w:r>
      <w:r>
        <w:rPr>
          <w:spacing w:val="-3"/>
        </w:rPr>
        <w:t>年出生，中国香港籍，身份证号码：</w:t>
      </w:r>
      <w:r>
        <w:rPr>
          <w:rFonts w:ascii="Times New Roman" w:hAnsi="Times New Roman" w:cs="Times New Roman" w:eastAsia="Times New Roman" w:hint="default"/>
          <w:spacing w:val="-3"/>
        </w:rPr>
        <w:t>P540333(6)</w:t>
      </w:r>
      <w:r>
        <w:rPr>
          <w:spacing w:val="-3"/>
        </w:rPr>
        <w:t>。研究生学历。</w:t>
      </w:r>
      <w:r>
        <w:rPr/>
        <w:t> 于</w:t>
      </w:r>
      <w:r>
        <w:rPr>
          <w:spacing w:val="-59"/>
        </w:rPr>
        <w:t> </w:t>
      </w:r>
      <w:r>
        <w:rPr>
          <w:rFonts w:ascii="Times New Roman" w:hAnsi="Times New Roman" w:cs="Times New Roman" w:eastAsia="Times New Roman" w:hint="default"/>
        </w:rPr>
        <w:t>1992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spacing w:val="-4"/>
        </w:rPr>
        <w:t>月毕业于厦门大学电子工程系；</w:t>
      </w:r>
      <w:r>
        <w:rPr>
          <w:rFonts w:ascii="Times New Roman" w:hAnsi="Times New Roman" w:cs="Times New Roman" w:eastAsia="Times New Roman" w:hint="default"/>
          <w:spacing w:val="-4"/>
        </w:rPr>
        <w:t>1992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月至</w:t>
      </w:r>
      <w:r>
        <w:rPr>
          <w:spacing w:val="-59"/>
        </w:rPr>
        <w:t> </w:t>
      </w:r>
      <w:r>
        <w:rPr>
          <w:rFonts w:ascii="Times New Roman" w:hAnsi="Times New Roman" w:cs="Times New Roman" w:eastAsia="Times New Roman" w:hint="default"/>
        </w:rPr>
        <w:t>1999</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月任厦门必可</w:t>
      </w:r>
    </w:p>
    <w:p>
      <w:pPr>
        <w:pStyle w:val="BodyText"/>
        <w:spacing w:line="240" w:lineRule="auto" w:before="25"/>
        <w:ind w:left="119" w:right="0"/>
        <w:jc w:val="both"/>
      </w:pPr>
      <w:r>
        <w:rPr/>
        <w:t>电子有限公司工程师；</w:t>
      </w:r>
      <w:r>
        <w:rPr>
          <w:rFonts w:ascii="Times New Roman" w:hAnsi="Times New Roman" w:cs="Times New Roman" w:eastAsia="Times New Roman" w:hint="default"/>
        </w:rPr>
        <w:t>2000</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t>月至</w:t>
      </w:r>
      <w:r>
        <w:rPr>
          <w:spacing w:val="-52"/>
        </w:rPr>
        <w:t> </w:t>
      </w:r>
      <w:r>
        <w:rPr>
          <w:rFonts w:ascii="Times New Roman" w:hAnsi="Times New Roman" w:cs="Times New Roman" w:eastAsia="Times New Roman" w:hint="default"/>
        </w:rPr>
        <w:t>2002</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月任厦门万年网资讯科技有限公司</w:t>
      </w:r>
    </w:p>
    <w:p>
      <w:pPr>
        <w:pStyle w:val="BodyText"/>
        <w:spacing w:line="240" w:lineRule="auto" w:before="134"/>
        <w:ind w:left="119" w:right="0"/>
        <w:jc w:val="both"/>
      </w:pPr>
      <w:r>
        <w:rPr/>
        <w:t>总经理</w:t>
      </w:r>
      <w:r>
        <w:rPr>
          <w:spacing w:val="-120"/>
        </w:rPr>
        <w:t>；</w:t>
      </w:r>
      <w:r>
        <w:rPr>
          <w:rFonts w:ascii="Times New Roman" w:hAnsi="Times New Roman" w:cs="Times New Roman" w:eastAsia="Times New Roman" w:hint="default"/>
        </w:rPr>
        <w:t>2007</w:t>
      </w:r>
      <w:r>
        <w:rPr>
          <w:rFonts w:ascii="Times New Roman" w:hAnsi="Times New Roman" w:cs="Times New Roman" w:eastAsia="Times New Roman" w:hint="default"/>
          <w:spacing w:val="-8"/>
        </w:rPr>
        <w:t> </w:t>
      </w:r>
      <w:r>
        <w:rPr/>
        <w:t>年</w:t>
      </w:r>
      <w:r>
        <w:rPr>
          <w:spacing w:val="-68"/>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spacing w:val="1"/>
        </w:rPr>
        <w:t>月</w:t>
      </w:r>
      <w:r>
        <w:rPr/>
        <w:t>至</w:t>
      </w:r>
      <w:r>
        <w:rPr>
          <w:spacing w:val="-68"/>
        </w:rPr>
        <w:t> </w:t>
      </w:r>
      <w:r>
        <w:rPr>
          <w:rFonts w:ascii="Times New Roman" w:hAnsi="Times New Roman" w:cs="Times New Roman" w:eastAsia="Times New Roman" w:hint="default"/>
        </w:rPr>
        <w:t>2008</w:t>
      </w:r>
      <w:r>
        <w:rPr>
          <w:rFonts w:ascii="Times New Roman" w:hAnsi="Times New Roman" w:cs="Times New Roman" w:eastAsia="Times New Roman" w:hint="default"/>
          <w:spacing w:val="-8"/>
        </w:rPr>
        <w:t> </w:t>
      </w:r>
      <w:r>
        <w:rPr/>
        <w:t>年</w:t>
      </w:r>
      <w:r>
        <w:rPr>
          <w:spacing w:val="-66"/>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月任第</w:t>
      </w:r>
      <w:r>
        <w:rPr>
          <w:spacing w:val="-68"/>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届奥林匹克运动会信息网络安全专家；</w:t>
      </w:r>
    </w:p>
    <w:p>
      <w:pPr>
        <w:pStyle w:val="BodyText"/>
        <w:spacing w:line="338" w:lineRule="auto" w:before="134"/>
        <w:ind w:left="119" w:right="239"/>
        <w:jc w:val="both"/>
      </w:pPr>
      <w:r>
        <w:rPr>
          <w:rFonts w:ascii="Times New Roman" w:hAnsi="Times New Roman" w:cs="Times New Roman" w:eastAsia="Times New Roman" w:hint="default"/>
        </w:rPr>
        <w:t>1999</w:t>
      </w:r>
      <w:r>
        <w:rPr>
          <w:rFonts w:ascii="Times New Roman" w:hAnsi="Times New Roman" w:cs="Times New Roman" w:eastAsia="Times New Roman" w:hint="default"/>
          <w:spacing w:val="12"/>
        </w:rPr>
        <w:t> </w:t>
      </w:r>
      <w:r>
        <w:rPr/>
        <w:t>年至</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月任美亚柏科有限公司总经理；现任公司总经理、厦门电子商 务协会名誉会长。</w:t>
      </w:r>
    </w:p>
    <w:p>
      <w:pPr>
        <w:pStyle w:val="BodyText"/>
        <w:spacing w:line="343" w:lineRule="auto" w:before="174"/>
        <w:ind w:left="119" w:right="104" w:firstLine="480"/>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spacing w:val="-6"/>
        </w:rPr>
        <w:t>月，为完善公司治理结构、增强企业凝聚力，美亚柏科进行股权调整，</w:t>
      </w:r>
      <w:r>
        <w:rPr/>
        <w:t> 郭永芳的股权比例下降至</w:t>
      </w:r>
      <w:r>
        <w:rPr>
          <w:spacing w:val="-59"/>
        </w:rPr>
        <w:t> </w:t>
      </w:r>
      <w:r>
        <w:rPr>
          <w:rFonts w:ascii="Times New Roman" w:hAnsi="Times New Roman" w:cs="Times New Roman" w:eastAsia="Times New Roman" w:hint="default"/>
          <w:spacing w:val="-3"/>
        </w:rPr>
        <w:t>39%</w:t>
      </w:r>
      <w:r>
        <w:rPr>
          <w:spacing w:val="-3"/>
        </w:rPr>
        <w:t>，刘祥南的股权比例为</w:t>
      </w:r>
      <w:r>
        <w:rPr>
          <w:spacing w:val="-59"/>
        </w:rPr>
        <w:t> </w:t>
      </w:r>
      <w:r>
        <w:rPr>
          <w:rFonts w:ascii="Times New Roman" w:hAnsi="Times New Roman" w:cs="Times New Roman" w:eastAsia="Times New Roman" w:hint="default"/>
          <w:spacing w:val="-3"/>
        </w:rPr>
        <w:t>16%</w:t>
      </w:r>
      <w:r>
        <w:rPr>
          <w:spacing w:val="-3"/>
        </w:rPr>
        <w:t>，两人合计持有</w:t>
      </w:r>
      <w:r>
        <w:rPr>
          <w:spacing w:val="-59"/>
        </w:rPr>
        <w:t> </w:t>
      </w:r>
      <w:r>
        <w:rPr>
          <w:rFonts w:ascii="Times New Roman" w:hAnsi="Times New Roman" w:cs="Times New Roman" w:eastAsia="Times New Roman" w:hint="default"/>
        </w:rPr>
        <w:t>55%</w:t>
      </w:r>
      <w:r>
        <w:rPr/>
        <w:t>的股</w:t>
      </w:r>
      <w:r>
        <w:rPr>
          <w:spacing w:val="-117"/>
        </w:rPr>
        <w:t> </w:t>
      </w:r>
      <w:r>
        <w:rPr/>
        <w:t>份。为保持公司经营决策的一致性，郭永芳、滕达、刘祥南三人签订了《一致行动 </w:t>
      </w:r>
      <w:r>
        <w:rPr>
          <w:spacing w:val="-10"/>
        </w:rPr>
        <w:t>协议》，互为一致行动人。</w:t>
      </w:r>
    </w:p>
    <w:p>
      <w:pPr>
        <w:pStyle w:val="BodyText"/>
        <w:spacing w:line="240" w:lineRule="auto" w:before="169"/>
        <w:ind w:left="599" w:right="221"/>
        <w:jc w:val="left"/>
      </w:pPr>
      <w:r>
        <w:rPr/>
        <w:t>《一致行动协议》具体内容如下：</w:t>
      </w:r>
    </w:p>
    <w:p>
      <w:pPr>
        <w:spacing w:after="0" w:line="240" w:lineRule="auto"/>
        <w:jc w:val="left"/>
        <w:sectPr>
          <w:pgSz w:w="12240" w:h="15840"/>
          <w:pgMar w:header="0" w:footer="688" w:top="1400" w:bottom="880" w:left="1680" w:right="1560"/>
        </w:sectPr>
      </w:pPr>
    </w:p>
    <w:p>
      <w:pPr>
        <w:pStyle w:val="BodyText"/>
        <w:spacing w:line="338" w:lineRule="auto" w:before="1"/>
        <w:ind w:right="140" w:firstLine="480"/>
        <w:jc w:val="left"/>
      </w:pPr>
      <w:r>
        <w:rPr>
          <w:rFonts w:ascii="Times New Roman" w:hAnsi="Times New Roman" w:cs="Times New Roman" w:eastAsia="Times New Roman" w:hint="default"/>
          <w:spacing w:val="-4"/>
        </w:rPr>
        <w:t>1</w:t>
      </w:r>
      <w:r>
        <w:rPr>
          <w:spacing w:val="-4"/>
        </w:rPr>
        <w:t>、根据公司法等有关法律法规和公司章程需要由公司股东大会、董事会作出决</w:t>
      </w:r>
      <w:r>
        <w:rPr/>
        <w:t> 议的事项，均为各方应一致行动进行表决的内容。</w:t>
      </w:r>
    </w:p>
    <w:p>
      <w:pPr>
        <w:pStyle w:val="BodyText"/>
        <w:spacing w:line="338" w:lineRule="auto" w:before="174"/>
        <w:ind w:right="140" w:firstLine="480"/>
        <w:jc w:val="left"/>
      </w:pPr>
      <w:r>
        <w:rPr>
          <w:rFonts w:ascii="Times New Roman" w:hAnsi="Times New Roman" w:cs="Times New Roman" w:eastAsia="Times New Roman" w:hint="default"/>
          <w:spacing w:val="-4"/>
        </w:rPr>
        <w:t>2</w:t>
      </w:r>
      <w:r>
        <w:rPr>
          <w:spacing w:val="-4"/>
        </w:rPr>
        <w:t>、各方遵照有关法律、法规的规定和协议的约定以及各自所作出的承诺行使权</w:t>
      </w:r>
      <w:r>
        <w:rPr/>
        <w:t> 利。</w:t>
      </w:r>
    </w:p>
    <w:p>
      <w:pPr>
        <w:pStyle w:val="BodyText"/>
        <w:spacing w:line="350" w:lineRule="auto" w:before="174"/>
        <w:ind w:right="92" w:firstLine="480"/>
        <w:jc w:val="left"/>
      </w:pPr>
      <w:r>
        <w:rPr>
          <w:rFonts w:ascii="Times New Roman" w:hAnsi="Times New Roman" w:cs="Times New Roman" w:eastAsia="Times New Roman" w:hint="default"/>
          <w:spacing w:val="-7"/>
        </w:rPr>
        <w:t>3</w:t>
      </w:r>
      <w:r>
        <w:rPr>
          <w:spacing w:val="-7"/>
        </w:rPr>
        <w:t>、在协议有效期内，除关联交易需要回避的情形外，一致行动人为公司股东的，</w:t>
      </w:r>
      <w:r>
        <w:rPr/>
        <w:t> 各方保证在参加公司股东大会行使表决权时与本协议他方保持一致。在协议有效期 内，各方可以亲自参加公司召开的股东大会，也可以委托协议他方代为参加股东大 会并行使表决权。</w:t>
      </w:r>
    </w:p>
    <w:p>
      <w:pPr>
        <w:pStyle w:val="BodyText"/>
        <w:spacing w:line="348" w:lineRule="auto" w:before="163"/>
        <w:ind w:right="92" w:firstLine="480"/>
        <w:jc w:val="left"/>
      </w:pPr>
      <w:r>
        <w:rPr>
          <w:rFonts w:ascii="Times New Roman" w:hAnsi="Times New Roman" w:cs="Times New Roman" w:eastAsia="Times New Roman" w:hint="default"/>
          <w:spacing w:val="-7"/>
        </w:rPr>
        <w:t>4</w:t>
      </w:r>
      <w:r>
        <w:rPr>
          <w:spacing w:val="-7"/>
        </w:rPr>
        <w:t>、在协议有效期内，除关联交易需要回避的情形外，在董事会召开会议表决时，</w:t>
      </w:r>
      <w:r>
        <w:rPr/>
        <w:t> 各方亦与协议他方保持一致。如担任董事的一方不能参加董事会需要委托其他董事 参加会议时，应委托协议他方代为投票表决。</w:t>
      </w:r>
    </w:p>
    <w:p>
      <w:pPr>
        <w:pStyle w:val="BodyText"/>
        <w:spacing w:line="338" w:lineRule="auto" w:before="164"/>
        <w:ind w:right="200" w:firstLine="480"/>
        <w:jc w:val="left"/>
      </w:pPr>
      <w:r>
        <w:rPr>
          <w:rFonts w:ascii="Times New Roman" w:hAnsi="Times New Roman" w:cs="Times New Roman" w:eastAsia="Times New Roman" w:hint="default"/>
        </w:rPr>
        <w:t>5</w:t>
      </w:r>
      <w:r>
        <w:rPr/>
        <w:t>、协议自签署之日起生效，至公司股票上市之日起满</w:t>
      </w:r>
      <w:r>
        <w:rPr>
          <w:spacing w:val="-60"/>
        </w:rPr>
        <w:t> </w:t>
      </w:r>
      <w:r>
        <w:rPr>
          <w:rFonts w:ascii="Times New Roman" w:hAnsi="Times New Roman" w:cs="Times New Roman" w:eastAsia="Times New Roman" w:hint="default"/>
        </w:rPr>
        <w:t>36 </w:t>
      </w:r>
      <w:r>
        <w:rPr/>
        <w:t>个月时止。协议一经 签订即不可撤销，除非协议所规定的期限届满。</w:t>
      </w:r>
    </w:p>
    <w:p>
      <w:pPr>
        <w:pStyle w:val="BodyText"/>
        <w:spacing w:line="338" w:lineRule="auto" w:before="174"/>
        <w:ind w:right="140" w:firstLine="480"/>
        <w:jc w:val="left"/>
      </w:pPr>
      <w:r>
        <w:rPr>
          <w:spacing w:val="-5"/>
        </w:rPr>
        <w:t>除上述《一致行动协议》外，李国林也承诺公司股票上市之日起满</w:t>
      </w:r>
      <w:r>
        <w:rPr>
          <w:spacing w:val="-60"/>
        </w:rPr>
        <w:t> </w:t>
      </w:r>
      <w:r>
        <w:rPr>
          <w:rFonts w:ascii="Times New Roman" w:hAnsi="Times New Roman" w:cs="Times New Roman" w:eastAsia="Times New Roman" w:hint="default"/>
        </w:rPr>
        <w:t>36 </w:t>
      </w:r>
      <w:r>
        <w:rPr/>
        <w:t>个月内在 股东大会、董事会行使表决权时与郭永芳保持一致。</w:t>
      </w:r>
    </w:p>
    <w:p>
      <w:pPr>
        <w:pStyle w:val="BodyText"/>
        <w:spacing w:line="240" w:lineRule="auto" w:before="174"/>
        <w:ind w:left="580" w:right="140"/>
        <w:jc w:val="left"/>
      </w:pPr>
      <w:r>
        <w:rPr/>
        <w:t>一致行动协议约定，为上市后持续稳定经营提供了保障。</w:t>
      </w:r>
    </w:p>
    <w:p>
      <w:pPr>
        <w:spacing w:after="0" w:line="240" w:lineRule="auto"/>
        <w:jc w:val="left"/>
        <w:sectPr>
          <w:pgSz w:w="12240" w:h="15840"/>
          <w:pgMar w:header="0" w:footer="688" w:top="1400" w:bottom="880" w:left="1700" w:right="1580"/>
        </w:sectPr>
      </w:pPr>
    </w:p>
    <w:p>
      <w:pPr>
        <w:pStyle w:val="Heading3"/>
        <w:spacing w:line="240" w:lineRule="auto" w:before="7"/>
        <w:ind w:right="100"/>
        <w:jc w:val="left"/>
        <w:rPr>
          <w:b w:val="0"/>
          <w:bCs w:val="0"/>
        </w:rPr>
      </w:pPr>
      <w:r>
        <w:rPr/>
        <w:t>（三）公司与实际控制人之间的产权及控制关系的方框图</w:t>
      </w:r>
      <w:r>
        <w:rPr>
          <w:b w:val="0"/>
          <w:bCs w:val="0"/>
        </w:rPr>
      </w:r>
    </w:p>
    <w:p>
      <w:pPr>
        <w:spacing w:line="240" w:lineRule="auto" w:before="2"/>
        <w:rPr>
          <w:rFonts w:ascii="宋体" w:hAnsi="宋体" w:cs="宋体" w:eastAsia="宋体" w:hint="default"/>
          <w:b/>
          <w:bCs/>
          <w:sz w:val="23"/>
          <w:szCs w:val="23"/>
        </w:rPr>
      </w:pPr>
    </w:p>
    <w:p>
      <w:pPr>
        <w:spacing w:line="4114" w:lineRule="exact"/>
        <w:ind w:left="1149"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329.1pt;height:205.75pt;mso-position-horizontal-relative:char;mso-position-vertical-relative:line" coordorigin="0,0" coordsize="6582,4115">
            <v:shape style="position:absolute;left:58;top:2;width:1703;height:852" type="#_x0000_t75" stroked="false">
              <v:imagedata r:id="rId35" o:title=""/>
            </v:shape>
            <v:group style="position:absolute;left:59;top:2;width:1702;height:851" coordorigin="59,2" coordsize="1702,851">
              <v:shape style="position:absolute;left:59;top:2;width:1702;height:851" coordorigin="59,2" coordsize="1702,851" path="m59,853l1760,853,1760,2,59,2,59,853xe" filled="false" stroked="true" strokeweight=".24pt" strokecolor="#000000">
                <v:path arrowok="t"/>
              </v:shape>
              <v:shape style="position:absolute;left:508;top:290;width:797;height:317" type="#_x0000_t75" stroked="false">
                <v:imagedata r:id="rId36" o:title=""/>
              </v:shape>
            </v:group>
            <v:group style="position:absolute;left:910;top:853;width:2;height:284" coordorigin="910,853" coordsize="2,284">
              <v:shape style="position:absolute;left:910;top:853;width:2;height:284" coordorigin="910,853" coordsize="0,284" path="m910,853l910,1136e" filled="false" stroked="true" strokeweight=".72pt" strokecolor="#000000">
                <v:path arrowok="t"/>
              </v:shape>
              <v:shape style="position:absolute;left:4735;top:2;width:1703;height:852" type="#_x0000_t75" stroked="false">
                <v:imagedata r:id="rId37" o:title=""/>
              </v:shape>
            </v:group>
            <v:group style="position:absolute;left:4736;top:2;width:1702;height:851" coordorigin="4736,2" coordsize="1702,851">
              <v:shape style="position:absolute;left:4736;top:2;width:1702;height:851" coordorigin="4736,2" coordsize="1702,851" path="m4736,853l6438,853,6438,2,4736,2,4736,853xe" filled="false" stroked="true" strokeweight=".24pt" strokecolor="#000000">
                <v:path arrowok="t"/>
              </v:shape>
              <v:shape style="position:absolute;left:5316;top:294;width:538;height:389" type="#_x0000_t75" stroked="false">
                <v:imagedata r:id="rId38" o:title=""/>
              </v:shape>
              <v:shape style="position:absolute;left:1;top:1702;width:6578;height:852" type="#_x0000_t75" stroked="false">
                <v:imagedata r:id="rId39" o:title=""/>
              </v:shape>
            </v:group>
            <v:group style="position:absolute;left:2;top:1703;width:6578;height:851" coordorigin="2,1703" coordsize="6578,851">
              <v:shape style="position:absolute;left:2;top:1703;width:6578;height:851" coordorigin="2,1703" coordsize="6578,851" path="m2,2554l6580,2554,6580,1703,2,1703,2,2554xe" filled="false" stroked="true" strokeweight=".24pt" strokecolor="#000000">
                <v:path arrowok="t"/>
              </v:shape>
              <v:shape style="position:absolute;left:1194;top:1982;width:4157;height:259" type="#_x0000_t75" stroked="false">
                <v:imagedata r:id="rId40" o:title=""/>
              </v:shape>
            </v:group>
            <v:group style="position:absolute;left:910;top:1420;width:2;height:106" coordorigin="910,1420" coordsize="2,106">
              <v:shape style="position:absolute;left:910;top:1420;width:2;height:106" coordorigin="910,1420" coordsize="0,106" path="m910,1420l910,1525e" filled="false" stroked="true" strokeweight=".72pt" strokecolor="#000000">
                <v:path arrowok="t"/>
              </v:shape>
            </v:group>
            <v:group style="position:absolute;left:845;top:1508;width:130;height:195" coordorigin="845,1508" coordsize="130,195">
              <v:shape style="position:absolute;left:845;top:1508;width:130;height:195" coordorigin="845,1508" coordsize="130,195" path="m974,1508l845,1508,910,1703,974,1508xe" filled="true" fillcolor="#000000" stroked="false">
                <v:path arrowok="t"/>
                <v:fill type="solid"/>
              </v:shape>
            </v:group>
            <v:group style="position:absolute;left:3290;top:1420;width:2;height:106" coordorigin="3290,1420" coordsize="2,106">
              <v:shape style="position:absolute;left:3290;top:1420;width:2;height:106" coordorigin="3290,1420" coordsize="0,106" path="m3290,1420l3290,1525e" filled="false" stroked="true" strokeweight=".72pt" strokecolor="#000000">
                <v:path arrowok="t"/>
              </v:shape>
            </v:group>
            <v:group style="position:absolute;left:3226;top:1508;width:130;height:195" coordorigin="3226,1508" coordsize="130,195">
              <v:shape style="position:absolute;left:3226;top:1508;width:130;height:195" coordorigin="3226,1508" coordsize="130,195" path="m3355,1508l3226,1508,3290,1703,3355,1508xe" filled="true" fillcolor="#000000" stroked="false">
                <v:path arrowok="t"/>
                <v:fill type="solid"/>
              </v:shape>
            </v:group>
            <v:group style="position:absolute;left:5576;top:853;width:11;height:672" coordorigin="5576,853" coordsize="11,672">
              <v:shape style="position:absolute;left:5576;top:853;width:11;height:672" coordorigin="5576,853" coordsize="11,672" path="m5587,853l5576,1525e" filled="false" stroked="true" strokeweight=".72pt" strokecolor="#000000">
                <v:path arrowok="t"/>
              </v:shape>
            </v:group>
            <v:group style="position:absolute;left:5512;top:1507;width:130;height:196" coordorigin="5512,1507" coordsize="130,196">
              <v:shape style="position:absolute;left:5512;top:1507;width:130;height:196" coordorigin="5512,1507" coordsize="130,196" path="m5512,1507l5573,1703,5641,1510,5512,1507xe" filled="true" fillcolor="#000000" stroked="false">
                <v:path arrowok="t"/>
                <v:fill type="solid"/>
              </v:shape>
            </v:group>
            <v:group style="position:absolute;left:5032;top:2546;width:2;height:149" coordorigin="5032,2546" coordsize="2,149">
              <v:shape style="position:absolute;left:5032;top:2546;width:2;height:149" coordorigin="5032,2546" coordsize="0,149" path="m5032,2546l5032,2695e" filled="false" stroked="true" strokeweight=".72pt" strokecolor="#000000">
                <v:path arrowok="t"/>
              </v:shape>
            </v:group>
            <v:group style="position:absolute;left:1604;top:2554;width:2;height:142" coordorigin="1604,2554" coordsize="2,142">
              <v:shape style="position:absolute;left:1604;top:2554;width:2;height:142" coordorigin="1604,2554" coordsize="0,142" path="m1604,2554l1604,2695e" filled="false" stroked="true" strokeweight=".72pt" strokecolor="#000000">
                <v:path arrowok="t"/>
              </v:shape>
              <v:shape style="position:absolute;left:589;top:1207;width:229;height:828" type="#_x0000_t75" stroked="false">
                <v:imagedata r:id="rId41" o:title=""/>
              </v:shape>
              <v:shape style="position:absolute;left:858;top:1207;width:163;height:828" type="#_x0000_t75" stroked="false">
                <v:imagedata r:id="rId42" o:title=""/>
              </v:shape>
              <v:shape style="position:absolute;left:1064;top:1198;width:144;height:878" type="#_x0000_t75" stroked="false">
                <v:imagedata r:id="rId43" o:title=""/>
              </v:shape>
              <v:shape style="position:absolute;left:2440;top:2;width:1702;height:852" type="#_x0000_t75" stroked="false">
                <v:imagedata r:id="rId44" o:title=""/>
              </v:shape>
            </v:group>
            <v:group style="position:absolute;left:2441;top:2;width:1701;height:851" coordorigin="2441,2" coordsize="1701,851">
              <v:shape style="position:absolute;left:2441;top:2;width:1701;height:851" coordorigin="2441,2" coordsize="1701,851" path="m2441,853l4141,853,4141,2,2441,2,2441,853xe" filled="false" stroked="true" strokeweight=".24pt" strokecolor="#000000">
                <v:path arrowok="t"/>
              </v:shape>
              <v:shape style="position:absolute;left:2880;top:289;width:816;height:317" type="#_x0000_t75" stroked="false">
                <v:imagedata r:id="rId45" o:title=""/>
              </v:shape>
            </v:group>
            <v:group style="position:absolute;left:3290;top:853;width:2;height:284" coordorigin="3290,853" coordsize="2,284">
              <v:shape style="position:absolute;left:3290;top:853;width:2;height:284" coordorigin="3290,853" coordsize="0,284" path="m3290,853l3290,1136e" filled="false" stroked="true" strokeweight=".72pt" strokecolor="#000000">
                <v:path arrowok="t"/>
              </v:shape>
              <v:shape style="position:absolute;left:3018;top:1207;width:209;height:814" type="#_x0000_t75" stroked="false">
                <v:imagedata r:id="rId46" o:title=""/>
              </v:shape>
              <v:shape style="position:absolute;left:3251;top:1207;width:173;height:828" type="#_x0000_t75" stroked="false">
                <v:imagedata r:id="rId47" o:title=""/>
              </v:shape>
              <v:shape style="position:absolute;left:3474;top:1198;width:144;height:878" type="#_x0000_t75" stroked="false">
                <v:imagedata r:id="rId48" o:title=""/>
              </v:shape>
            </v:group>
            <v:group style="position:absolute;left:5119;top:1136;width:908;height:284" coordorigin="5119,1136" coordsize="908,284">
              <v:shape style="position:absolute;left:5119;top:1136;width:908;height:284" coordorigin="5119,1136" coordsize="908,284" path="m5119,1420l6026,1420,6026,1136,5119,1136,5119,1420xe" filled="true" fillcolor="#ffffff" stroked="false">
                <v:path arrowok="t"/>
                <v:fill type="solid"/>
              </v:shape>
              <v:shape style="position:absolute;left:5431;top:1207;width:77;height:828" type="#_x0000_t75" stroked="false">
                <v:imagedata r:id="rId49" o:title=""/>
              </v:shape>
              <v:shape style="position:absolute;left:5552;top:1198;width:144;height:878" type="#_x0000_t75" stroked="false">
                <v:imagedata r:id="rId50" o:title=""/>
              </v:shape>
              <v:shape style="position:absolute;left:16;top:3261;width:3176;height:852" type="#_x0000_t75" stroked="false">
                <v:imagedata r:id="rId51" o:title=""/>
              </v:shape>
            </v:group>
            <v:group style="position:absolute;left:17;top:3262;width:3176;height:851" coordorigin="17,3262" coordsize="3176,851">
              <v:shape style="position:absolute;left:17;top:3262;width:3176;height:851" coordorigin="17,3262" coordsize="3176,851" path="m17,4112l3192,4112,3192,3262,17,3262,17,4112xe" filled="false" stroked="true" strokeweight=".24pt" strokecolor="#000000">
                <v:path arrowok="t"/>
              </v:shape>
              <v:shape style="position:absolute;left:182;top:3403;width:2851;height:101" type="#_x0000_t75" stroked="false">
                <v:imagedata r:id="rId52" o:title=""/>
              </v:shape>
              <v:shape style="position:absolute;left:182;top:3504;width:2851;height:101" type="#_x0000_t75" stroked="false">
                <v:imagedata r:id="rId53" o:title=""/>
              </v:shape>
              <v:shape style="position:absolute;left:182;top:3605;width:2851;height:101" type="#_x0000_t75" stroked="false">
                <v:imagedata r:id="rId54" o:title=""/>
              </v:shape>
              <v:shape style="position:absolute;left:899;top:3713;width:1392;height:194" type="#_x0000_t75" stroked="false">
                <v:imagedata r:id="rId55" o:title=""/>
              </v:shape>
              <v:shape style="position:absolute;left:899;top:3907;width:1392;height:194" type="#_x0000_t75" stroked="false">
                <v:imagedata r:id="rId56" o:title=""/>
              </v:shape>
            </v:group>
            <v:group style="position:absolute;left:1604;top:2978;width:2;height:106" coordorigin="1604,2978" coordsize="2,106">
              <v:shape style="position:absolute;left:1604;top:2978;width:2;height:106" coordorigin="1604,2978" coordsize="0,106" path="m1604,2978l1604,3084e" filled="false" stroked="true" strokeweight=".72pt" strokecolor="#000000">
                <v:path arrowok="t"/>
              </v:shape>
            </v:group>
            <v:group style="position:absolute;left:1540;top:3067;width:130;height:195" coordorigin="1540,3067" coordsize="130,195">
              <v:shape style="position:absolute;left:1540;top:3067;width:130;height:195" coordorigin="1540,3067" coordsize="130,195" path="m1669,3067l1540,3067,1604,3262,1669,3067xe" filled="true" fillcolor="#000000" stroked="false">
                <v:path arrowok="t"/>
                <v:fill type="solid"/>
              </v:shape>
              <v:shape style="position:absolute;left:1378;top:2766;width:269;height:828" type="#_x0000_t75" stroked="false">
                <v:imagedata r:id="rId57" o:title=""/>
              </v:shape>
              <v:shape style="position:absolute;left:1684;top:2756;width:144;height:878" type="#_x0000_t75" stroked="false">
                <v:imagedata r:id="rId58" o:title=""/>
              </v:shape>
              <v:shape style="position:absolute;left:3488;top:3261;width:3077;height:852" type="#_x0000_t75" stroked="false">
                <v:imagedata r:id="rId59" o:title=""/>
              </v:shape>
            </v:group>
            <v:group style="position:absolute;left:3490;top:3262;width:3076;height:851" coordorigin="3490,3262" coordsize="3076,851">
              <v:shape style="position:absolute;left:3490;top:3262;width:3076;height:851" coordorigin="3490,3262" coordsize="3076,851" path="m3490,4112l6565,4112,6565,3262,3490,3262,3490,4112xe" filled="false" stroked="true" strokeweight=".24pt" strokecolor="#000000">
                <v:path arrowok="t"/>
              </v:shape>
              <v:shape style="position:absolute;left:3835;top:3569;width:2352;height:115" type="#_x0000_t75" stroked="false">
                <v:imagedata r:id="rId60" o:title=""/>
              </v:shape>
              <v:shape style="position:absolute;left:3835;top:3684;width:2352;height:115" type="#_x0000_t75" stroked="false">
                <v:imagedata r:id="rId61" o:title=""/>
              </v:shape>
            </v:group>
            <v:group style="position:absolute;left:5032;top:2978;width:2;height:113" coordorigin="5032,2978" coordsize="2,113">
              <v:shape style="position:absolute;left:5032;top:2978;width:2;height:113" coordorigin="5032,2978" coordsize="0,113" path="m5032,2978l5032,3091e" filled="false" stroked="true" strokeweight=".72pt" strokecolor="#000000">
                <v:path arrowok="t"/>
              </v:shape>
            </v:group>
            <v:group style="position:absolute;left:4964;top:3067;width:130;height:195" coordorigin="4964,3067" coordsize="130,195">
              <v:shape style="position:absolute;left:4964;top:3067;width:130;height:195" coordorigin="4964,3067" coordsize="130,195" path="m4964,3067l5027,3262,5094,3068,4964,3067xe" filled="true" fillcolor="#000000" stroked="false">
                <v:path arrowok="t"/>
                <v:fill type="solid"/>
              </v:shape>
              <v:shape style="position:absolute;left:4807;top:2766;width:269;height:828" type="#_x0000_t75" stroked="false">
                <v:imagedata r:id="rId62" o:title=""/>
              </v:shape>
              <v:shape style="position:absolute;left:5113;top:2756;width:144;height:878" type="#_x0000_t75" stroked="false">
                <v:imagedata r:id="rId63" o:title=""/>
              </v:shape>
            </v:group>
          </v:group>
        </w:pict>
      </w:r>
      <w:r>
        <w:rPr>
          <w:rFonts w:ascii="宋体" w:hAnsi="宋体" w:cs="宋体" w:eastAsia="宋体" w:hint="default"/>
          <w:position w:val="-81"/>
          <w:sz w:val="20"/>
          <w:szCs w:val="20"/>
        </w:rPr>
      </w:r>
    </w:p>
    <w:p>
      <w:pPr>
        <w:spacing w:line="240" w:lineRule="auto" w:before="7"/>
        <w:rPr>
          <w:rFonts w:ascii="宋体" w:hAnsi="宋体" w:cs="宋体" w:eastAsia="宋体" w:hint="default"/>
          <w:b/>
          <w:bCs/>
          <w:sz w:val="25"/>
          <w:szCs w:val="25"/>
        </w:rPr>
      </w:pPr>
    </w:p>
    <w:p>
      <w:pPr>
        <w:spacing w:line="363" w:lineRule="exact" w:before="13"/>
        <w:ind w:left="681" w:right="100" w:firstLine="0"/>
        <w:jc w:val="left"/>
        <w:rPr>
          <w:rFonts w:ascii="宋体" w:hAnsi="宋体" w:cs="宋体" w:eastAsia="宋体" w:hint="default"/>
          <w:sz w:val="28"/>
          <w:szCs w:val="28"/>
        </w:rPr>
      </w:pPr>
      <w:r>
        <w:rPr>
          <w:rFonts w:ascii="宋体" w:hAnsi="宋体" w:cs="宋体" w:eastAsia="宋体" w:hint="default"/>
          <w:b/>
          <w:bCs/>
          <w:w w:val="95"/>
          <w:sz w:val="28"/>
          <w:szCs w:val="28"/>
        </w:rPr>
        <w:t>五、持股5%以上（含5%）的股东所持股份被质押、冻结或托管的情</w:t>
      </w:r>
      <w:r>
        <w:rPr>
          <w:rFonts w:ascii="宋体" w:hAnsi="宋体" w:cs="宋体" w:eastAsia="宋体" w:hint="default"/>
          <w:sz w:val="28"/>
          <w:szCs w:val="28"/>
        </w:rPr>
      </w:r>
    </w:p>
    <w:p>
      <w:pPr>
        <w:spacing w:line="363" w:lineRule="exact" w:before="0"/>
        <w:ind w:left="119" w:right="100" w:firstLine="0"/>
        <w:jc w:val="left"/>
        <w:rPr>
          <w:rFonts w:ascii="宋体" w:hAnsi="宋体" w:cs="宋体" w:eastAsia="宋体" w:hint="default"/>
          <w:sz w:val="28"/>
          <w:szCs w:val="28"/>
        </w:rPr>
      </w:pPr>
      <w:r>
        <w:rPr>
          <w:rFonts w:ascii="宋体" w:hAnsi="宋体" w:cs="宋体" w:eastAsia="宋体" w:hint="default"/>
          <w:b/>
          <w:bCs/>
          <w:w w:val="99"/>
          <w:sz w:val="28"/>
          <w:szCs w:val="28"/>
        </w:rPr>
        <w:t>况</w:t>
      </w:r>
      <w:r>
        <w:rPr>
          <w:rFonts w:ascii="宋体" w:hAnsi="宋体" w:cs="宋体" w:eastAsia="宋体" w:hint="default"/>
          <w:sz w:val="28"/>
          <w:szCs w:val="28"/>
        </w:rPr>
      </w:r>
    </w:p>
    <w:p>
      <w:pPr>
        <w:spacing w:line="240" w:lineRule="auto" w:before="11"/>
        <w:rPr>
          <w:rFonts w:ascii="宋体" w:hAnsi="宋体" w:cs="宋体" w:eastAsia="宋体" w:hint="default"/>
          <w:b/>
          <w:bCs/>
          <w:sz w:val="15"/>
          <w:szCs w:val="15"/>
        </w:rPr>
      </w:pPr>
    </w:p>
    <w:p>
      <w:pPr>
        <w:pStyle w:val="BodyText"/>
        <w:spacing w:line="338" w:lineRule="auto" w:before="26"/>
        <w:ind w:left="119" w:right="92" w:firstLine="480"/>
        <w:jc w:val="left"/>
      </w:pPr>
      <w:r>
        <w:rPr/>
        <w:t>报告期内，公司持股</w:t>
      </w:r>
      <w:r>
        <w:rPr>
          <w:spacing w:val="-85"/>
        </w:rPr>
        <w:t> </w:t>
      </w:r>
      <w:r>
        <w:rPr>
          <w:rFonts w:ascii="Times New Roman" w:hAnsi="Times New Roman" w:cs="Times New Roman" w:eastAsia="Times New Roman" w:hint="default"/>
        </w:rPr>
        <w:t>5%</w:t>
      </w:r>
      <w:r>
        <w:rPr/>
        <w:t>以上（含</w:t>
      </w:r>
      <w:r>
        <w:rPr>
          <w:spacing w:val="-86"/>
        </w:rPr>
        <w:t> </w:t>
      </w:r>
      <w:r>
        <w:rPr>
          <w:rFonts w:ascii="Times New Roman" w:hAnsi="Times New Roman" w:cs="Times New Roman" w:eastAsia="Times New Roman" w:hint="default"/>
        </w:rPr>
        <w:t>5%</w:t>
      </w:r>
      <w:r>
        <w:rPr/>
        <w:t>）的股东未发生所持股份被质押、冻结或</w:t>
      </w:r>
      <w:r>
        <w:rPr>
          <w:spacing w:val="-1"/>
        </w:rPr>
        <w:t> </w:t>
      </w:r>
      <w:r>
        <w:rPr/>
        <w:t>托管的情况。</w:t>
      </w:r>
    </w:p>
    <w:p>
      <w:pPr>
        <w:spacing w:after="0" w:line="338" w:lineRule="auto"/>
        <w:jc w:val="left"/>
        <w:sectPr>
          <w:pgSz w:w="12240" w:h="15840"/>
          <w:pgMar w:header="0" w:footer="688" w:top="1440" w:bottom="880" w:left="1680" w:right="1700"/>
        </w:sectPr>
      </w:pPr>
    </w:p>
    <w:p>
      <w:pPr>
        <w:spacing w:line="240" w:lineRule="auto" w:before="3"/>
        <w:rPr>
          <w:rFonts w:ascii="宋体" w:hAnsi="宋体" w:cs="宋体" w:eastAsia="宋体" w:hint="default"/>
          <w:sz w:val="16"/>
          <w:szCs w:val="16"/>
        </w:rPr>
      </w:pPr>
    </w:p>
    <w:p>
      <w:pPr>
        <w:pStyle w:val="Heading1"/>
        <w:spacing w:line="240" w:lineRule="auto" w:before="1"/>
        <w:ind w:left="1147" w:right="1443"/>
        <w:jc w:val="left"/>
        <w:rPr>
          <w:b w:val="0"/>
          <w:bCs w:val="0"/>
        </w:rPr>
      </w:pPr>
      <w:bookmarkStart w:name="_bookmark5" w:id="6"/>
      <w:bookmarkEnd w:id="6"/>
      <w:r>
        <w:rPr>
          <w:b w:val="0"/>
          <w:bCs w:val="0"/>
        </w:rPr>
      </w:r>
      <w:r>
        <w:rPr/>
        <w:t>第六节</w:t>
      </w:r>
      <w:r>
        <w:rPr>
          <w:spacing w:val="-18"/>
        </w:rPr>
        <w:t> </w:t>
      </w:r>
      <w:r>
        <w:rPr/>
        <w:t>董事、监事、高级管理人员和员工情况</w:t>
      </w:r>
      <w:r>
        <w:rPr>
          <w:b w:val="0"/>
          <w:bCs w:val="0"/>
        </w:rPr>
      </w:r>
    </w:p>
    <w:p>
      <w:pPr>
        <w:spacing w:line="240" w:lineRule="auto" w:before="8"/>
        <w:rPr>
          <w:rFonts w:ascii="黑体" w:hAnsi="黑体" w:cs="黑体" w:eastAsia="黑体" w:hint="default"/>
          <w:b/>
          <w:bCs/>
          <w:sz w:val="26"/>
          <w:szCs w:val="26"/>
        </w:rPr>
      </w:pPr>
    </w:p>
    <w:p>
      <w:pPr>
        <w:pStyle w:val="Heading2"/>
        <w:spacing w:line="240" w:lineRule="auto"/>
        <w:ind w:right="1443"/>
        <w:jc w:val="left"/>
        <w:rPr>
          <w:b w:val="0"/>
          <w:bCs w:val="0"/>
        </w:rPr>
      </w:pPr>
      <w:r>
        <w:rPr/>
        <w:t>一、董事、监事和高级管理人员情况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right="1443"/>
        <w:jc w:val="left"/>
        <w:rPr>
          <w:b w:val="0"/>
          <w:bCs w:val="0"/>
        </w:rPr>
      </w:pPr>
      <w:r>
        <w:rPr/>
        <w:t>（一）</w:t>
      </w:r>
      <w:r>
        <w:rPr>
          <w:spacing w:val="-21"/>
        </w:rPr>
        <w:t> </w:t>
      </w:r>
      <w:r>
        <w:rPr/>
        <w:t>董事、监事和高级管理人员持股变动及报酬情况</w:t>
      </w:r>
      <w:r>
        <w:rPr>
          <w:b w:val="0"/>
          <w:bCs w:val="0"/>
        </w:rPr>
      </w:r>
    </w:p>
    <w:p>
      <w:pPr>
        <w:spacing w:line="240" w:lineRule="auto" w:before="4"/>
        <w:rPr>
          <w:rFonts w:ascii="宋体" w:hAnsi="宋体" w:cs="宋体" w:eastAsia="宋体" w:hint="default"/>
          <w:b/>
          <w:bCs/>
          <w:sz w:val="21"/>
          <w:szCs w:val="21"/>
        </w:rPr>
      </w:pPr>
    </w:p>
    <w:tbl>
      <w:tblPr>
        <w:tblW w:w="0" w:type="auto"/>
        <w:jc w:val="left"/>
        <w:tblInd w:w="108" w:type="dxa"/>
        <w:tblLayout w:type="fixed"/>
        <w:tblCellMar>
          <w:top w:w="0" w:type="dxa"/>
          <w:left w:w="0" w:type="dxa"/>
          <w:bottom w:w="0" w:type="dxa"/>
          <w:right w:w="0" w:type="dxa"/>
        </w:tblCellMar>
        <w:tblLook w:val="01E0"/>
      </w:tblPr>
      <w:tblGrid>
        <w:gridCol w:w="780"/>
        <w:gridCol w:w="1040"/>
        <w:gridCol w:w="520"/>
        <w:gridCol w:w="520"/>
        <w:gridCol w:w="1170"/>
        <w:gridCol w:w="1170"/>
        <w:gridCol w:w="986"/>
        <w:gridCol w:w="986"/>
        <w:gridCol w:w="1117"/>
        <w:gridCol w:w="884"/>
        <w:gridCol w:w="806"/>
      </w:tblGrid>
      <w:tr>
        <w:trPr>
          <w:trHeight w:val="471" w:hRule="exact"/>
        </w:trPr>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40" w:type="dxa"/>
            <w:tcBorders>
              <w:top w:val="single" w:sz="4" w:space="0" w:color="000000"/>
              <w:left w:val="single" w:sz="4" w:space="0" w:color="000000"/>
              <w:bottom w:val="nil" w:sz="6" w:space="0" w:color="auto"/>
              <w:right w:val="single" w:sz="4" w:space="0" w:color="000000"/>
            </w:tcBorders>
            <w:shd w:val="clear" w:color="auto" w:fill="DCDCDC"/>
          </w:tcPr>
          <w:p>
            <w:pPr/>
          </w:p>
        </w:tc>
        <w:tc>
          <w:tcPr>
            <w:tcW w:w="520" w:type="dxa"/>
            <w:tcBorders>
              <w:top w:val="single" w:sz="4" w:space="0" w:color="000000"/>
              <w:left w:val="single" w:sz="4" w:space="0" w:color="000000"/>
              <w:bottom w:val="nil" w:sz="6" w:space="0" w:color="auto"/>
              <w:right w:val="single" w:sz="4" w:space="0" w:color="000000"/>
            </w:tcBorders>
            <w:shd w:val="clear" w:color="auto" w:fill="DCDCDC"/>
          </w:tcPr>
          <w:p>
            <w:pPr/>
          </w:p>
        </w:tc>
        <w:tc>
          <w:tcPr>
            <w:tcW w:w="5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7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70" w:type="dxa"/>
            <w:tcBorders>
              <w:top w:val="single" w:sz="4" w:space="0" w:color="000000"/>
              <w:left w:val="single" w:sz="4" w:space="0" w:color="000000"/>
              <w:bottom w:val="nil" w:sz="6" w:space="0" w:color="auto"/>
              <w:right w:val="single" w:sz="4" w:space="0" w:color="000000"/>
            </w:tcBorders>
            <w:shd w:val="clear" w:color="auto" w:fill="DCDCDC"/>
          </w:tcPr>
          <w:p>
            <w:pPr/>
          </w:p>
        </w:tc>
        <w:tc>
          <w:tcPr>
            <w:tcW w:w="986" w:type="dxa"/>
            <w:tcBorders>
              <w:top w:val="single" w:sz="4" w:space="0" w:color="000000"/>
              <w:left w:val="single" w:sz="4" w:space="0" w:color="000000"/>
              <w:bottom w:val="nil" w:sz="6" w:space="0" w:color="auto"/>
              <w:right w:val="single" w:sz="4" w:space="0" w:color="000000"/>
            </w:tcBorders>
            <w:shd w:val="clear" w:color="auto" w:fill="DCDCDC"/>
          </w:tcPr>
          <w:p>
            <w:pPr/>
          </w:p>
        </w:tc>
        <w:tc>
          <w:tcPr>
            <w:tcW w:w="986" w:type="dxa"/>
            <w:tcBorders>
              <w:top w:val="single" w:sz="4" w:space="0" w:color="000000"/>
              <w:left w:val="single" w:sz="4" w:space="0" w:color="000000"/>
              <w:bottom w:val="nil" w:sz="6" w:space="0" w:color="auto"/>
              <w:right w:val="single" w:sz="4" w:space="0" w:color="000000"/>
            </w:tcBorders>
            <w:shd w:val="clear" w:color="auto" w:fill="DCDCDC"/>
          </w:tcPr>
          <w:p>
            <w:pPr/>
          </w:p>
        </w:tc>
        <w:tc>
          <w:tcPr>
            <w:tcW w:w="1117" w:type="dxa"/>
            <w:tcBorders>
              <w:top w:val="single" w:sz="4" w:space="0" w:color="000000"/>
              <w:left w:val="single" w:sz="4" w:space="0" w:color="000000"/>
              <w:bottom w:val="nil" w:sz="6" w:space="0" w:color="auto"/>
              <w:right w:val="single" w:sz="4" w:space="0" w:color="000000"/>
            </w:tcBorders>
            <w:shd w:val="clear" w:color="auto" w:fill="DCDCDC"/>
          </w:tcPr>
          <w:p>
            <w:pPr/>
          </w:p>
        </w:tc>
        <w:tc>
          <w:tcPr>
            <w:tcW w:w="884" w:type="dxa"/>
            <w:vMerge w:val="restart"/>
            <w:tcBorders>
              <w:top w:val="single" w:sz="4" w:space="0" w:color="000000"/>
              <w:left w:val="single" w:sz="4" w:space="0" w:color="000000"/>
              <w:right w:val="single" w:sz="4" w:space="0" w:color="000000"/>
            </w:tcBorders>
            <w:shd w:val="clear" w:color="auto" w:fill="DCDCDC"/>
          </w:tcPr>
          <w:p>
            <w:pPr>
              <w:pStyle w:val="TableParagraph"/>
              <w:spacing w:line="237" w:lineRule="auto" w:before="11"/>
              <w:ind w:left="23" w:right="74" w:firstLine="54"/>
              <w:jc w:val="both"/>
              <w:rPr>
                <w:rFonts w:ascii="宋体" w:hAnsi="宋体" w:cs="宋体" w:eastAsia="宋体" w:hint="default"/>
                <w:sz w:val="18"/>
                <w:szCs w:val="18"/>
              </w:rPr>
            </w:pPr>
            <w:r>
              <w:rPr>
                <w:rFonts w:ascii="宋体" w:hAnsi="宋体" w:cs="宋体" w:eastAsia="宋体" w:hint="default"/>
                <w:sz w:val="18"/>
                <w:szCs w:val="18"/>
              </w:rPr>
              <w:t>报告期内 从公司领 取的报酬 总额（万 </w:t>
            </w:r>
            <w:r>
              <w:rPr>
                <w:rFonts w:ascii="宋体" w:hAnsi="宋体" w:cs="宋体" w:eastAsia="宋体" w:hint="default"/>
                <w:spacing w:val="-33"/>
                <w:sz w:val="18"/>
                <w:szCs w:val="18"/>
              </w:rPr>
              <w:t>元）（税前</w:t>
            </w:r>
          </w:p>
        </w:tc>
        <w:tc>
          <w:tcPr>
            <w:tcW w:w="806" w:type="dxa"/>
            <w:vMerge w:val="restart"/>
            <w:tcBorders>
              <w:top w:val="single" w:sz="4" w:space="0" w:color="000000"/>
              <w:left w:val="single" w:sz="4" w:space="0" w:color="000000"/>
              <w:right w:val="single" w:sz="4" w:space="0" w:color="000000"/>
            </w:tcBorders>
            <w:shd w:val="clear" w:color="auto" w:fill="DCDCDC"/>
          </w:tcPr>
          <w:p>
            <w:pPr>
              <w:pStyle w:val="TableParagraph"/>
              <w:spacing w:line="237" w:lineRule="auto" w:before="11"/>
              <w:ind w:left="37" w:right="37"/>
              <w:jc w:val="both"/>
              <w:rPr>
                <w:rFonts w:ascii="宋体" w:hAnsi="宋体" w:cs="宋体" w:eastAsia="宋体" w:hint="default"/>
                <w:sz w:val="18"/>
                <w:szCs w:val="18"/>
              </w:rPr>
            </w:pPr>
            <w:r>
              <w:rPr>
                <w:rFonts w:ascii="宋体" w:hAnsi="宋体" w:cs="宋体" w:eastAsia="宋体" w:hint="default"/>
                <w:sz w:val="18"/>
                <w:szCs w:val="18"/>
              </w:rPr>
              <w:t>是否在股 东单位或 其他关联 单位领取</w:t>
            </w:r>
          </w:p>
          <w:p>
            <w:pPr>
              <w:pStyle w:val="TableParagraph"/>
              <w:spacing w:line="233" w:lineRule="exact"/>
              <w:ind w:left="-12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9"/>
                <w:sz w:val="18"/>
                <w:szCs w:val="18"/>
              </w:rPr>
              <w:t> </w:t>
            </w:r>
            <w:r>
              <w:rPr>
                <w:rFonts w:ascii="宋体" w:hAnsi="宋体" w:cs="宋体" w:eastAsia="宋体" w:hint="default"/>
                <w:sz w:val="18"/>
                <w:szCs w:val="18"/>
              </w:rPr>
              <w:t>薪酬</w:t>
            </w:r>
          </w:p>
        </w:tc>
      </w:tr>
      <w:tr>
        <w:trPr>
          <w:trHeight w:val="314" w:hRule="exact"/>
        </w:trPr>
        <w:tc>
          <w:tcPr>
            <w:tcW w:w="78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left="2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0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nil" w:sz="6" w:space="0" w:color="auto"/>
              <w:left w:val="single" w:sz="9" w:space="0" w:color="DCDCDC"/>
              <w:bottom w:val="nil" w:sz="6" w:space="0" w:color="auto"/>
              <w:right w:val="single" w:sz="23" w:space="0" w:color="DCDCDC"/>
            </w:tcBorders>
          </w:tcPr>
          <w:p>
            <w:pPr>
              <w:pStyle w:val="TableParagraph"/>
              <w:spacing w:line="240" w:lineRule="auto" w:before="11"/>
              <w:ind w:right="35"/>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6"/>
                <w:sz w:val="18"/>
                <w:szCs w:val="18"/>
                <w:shd w:fill="DCDCDC" w:color="auto" w:val="clear"/>
              </w:rPr>
              <w:t> </w:t>
            </w:r>
            <w:r>
              <w:rPr>
                <w:rFonts w:ascii="宋体" w:hAnsi="宋体" w:cs="宋体" w:eastAsia="宋体" w:hint="default"/>
                <w:sz w:val="18"/>
                <w:szCs w:val="18"/>
                <w:shd w:fill="DCDCDC" w:color="auto" w:val="clear"/>
              </w:rPr>
              <w:t>年龄</w:t>
            </w:r>
            <w:r>
              <w:rPr>
                <w:rFonts w:ascii="宋体" w:hAnsi="宋体" w:cs="宋体" w:eastAsia="宋体" w:hint="default"/>
                <w:sz w:val="18"/>
                <w:szCs w:val="18"/>
              </w:rPr>
            </w:r>
          </w:p>
        </w:tc>
        <w:tc>
          <w:tcPr>
            <w:tcW w:w="1170" w:type="dxa"/>
            <w:tcBorders>
              <w:top w:val="nil" w:sz="6" w:space="0" w:color="auto"/>
              <w:left w:val="single" w:sz="23" w:space="0" w:color="DCDCDC"/>
              <w:bottom w:val="nil" w:sz="6" w:space="0" w:color="auto"/>
              <w:right w:val="single" w:sz="10" w:space="0" w:color="DCDCDC"/>
            </w:tcBorders>
          </w:tcPr>
          <w:p>
            <w:pPr>
              <w:pStyle w:val="TableParagraph"/>
              <w:spacing w:line="240" w:lineRule="auto" w:before="11"/>
              <w:ind w:right="14"/>
              <w:jc w:val="center"/>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任期起始日期</w:t>
            </w:r>
            <w:r>
              <w:rPr>
                <w:rFonts w:ascii="宋体" w:hAnsi="宋体" w:cs="宋体" w:eastAsia="宋体" w:hint="default"/>
                <w:sz w:val="18"/>
                <w:szCs w:val="18"/>
              </w:rPr>
            </w:r>
          </w:p>
        </w:tc>
        <w:tc>
          <w:tcPr>
            <w:tcW w:w="1170" w:type="dxa"/>
            <w:tcBorders>
              <w:top w:val="nil" w:sz="6" w:space="0" w:color="auto"/>
              <w:left w:val="single" w:sz="10" w:space="0" w:color="DCDCDC"/>
              <w:bottom w:val="nil" w:sz="6" w:space="0" w:color="auto"/>
              <w:right w:val="single" w:sz="10" w:space="0" w:color="DCDCDC"/>
            </w:tcBorders>
          </w:tcPr>
          <w:p>
            <w:pPr>
              <w:pStyle w:val="TableParagraph"/>
              <w:spacing w:line="240" w:lineRule="auto" w:before="11"/>
              <w:ind w:left="1" w:right="0"/>
              <w:jc w:val="center"/>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任期终止日期</w:t>
            </w:r>
            <w:r>
              <w:rPr>
                <w:rFonts w:ascii="宋体" w:hAnsi="宋体" w:cs="宋体" w:eastAsia="宋体" w:hint="default"/>
                <w:sz w:val="18"/>
                <w:szCs w:val="18"/>
              </w:rPr>
            </w:r>
          </w:p>
        </w:tc>
        <w:tc>
          <w:tcPr>
            <w:tcW w:w="986" w:type="dxa"/>
            <w:tcBorders>
              <w:top w:val="nil" w:sz="6" w:space="0" w:color="auto"/>
              <w:left w:val="single" w:sz="10" w:space="0" w:color="DCDCDC"/>
              <w:bottom w:val="nil" w:sz="6" w:space="0" w:color="auto"/>
              <w:right w:val="single" w:sz="9" w:space="0" w:color="DCDCDC"/>
            </w:tcBorders>
          </w:tcPr>
          <w:p>
            <w:pPr>
              <w:pStyle w:val="TableParagraph"/>
              <w:spacing w:line="240" w:lineRule="auto" w:before="11"/>
              <w:ind w:right="2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CDCDC" w:color="auto" w:val="clear"/>
              </w:rPr>
              <w:t>年初持股数</w:t>
            </w:r>
            <w:r>
              <w:rPr>
                <w:rFonts w:ascii="宋体" w:hAnsi="宋体" w:cs="宋体" w:eastAsia="宋体" w:hint="default"/>
                <w:sz w:val="18"/>
                <w:szCs w:val="18"/>
              </w:rPr>
            </w:r>
          </w:p>
        </w:tc>
        <w:tc>
          <w:tcPr>
            <w:tcW w:w="98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left="37" w:right="0"/>
              <w:jc w:val="left"/>
              <w:rPr>
                <w:rFonts w:ascii="宋体" w:hAnsi="宋体" w:cs="宋体" w:eastAsia="宋体" w:hint="default"/>
                <w:sz w:val="18"/>
                <w:szCs w:val="18"/>
              </w:rPr>
            </w:pPr>
            <w:r>
              <w:rPr>
                <w:rFonts w:ascii="宋体" w:hAnsi="宋体" w:cs="宋体" w:eastAsia="宋体" w:hint="default"/>
                <w:sz w:val="18"/>
                <w:szCs w:val="18"/>
              </w:rPr>
              <w:t>年末持股数</w:t>
            </w:r>
          </w:p>
        </w:tc>
        <w:tc>
          <w:tcPr>
            <w:tcW w:w="11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c>
          <w:tcPr>
            <w:tcW w:w="884" w:type="dxa"/>
            <w:vMerge/>
            <w:tcBorders>
              <w:left w:val="single" w:sz="4" w:space="0" w:color="000000"/>
              <w:right w:val="single" w:sz="4" w:space="0" w:color="000000"/>
            </w:tcBorders>
            <w:shd w:val="clear" w:color="auto" w:fill="DCDCDC"/>
          </w:tcPr>
          <w:p>
            <w:pPr/>
          </w:p>
        </w:tc>
        <w:tc>
          <w:tcPr>
            <w:tcW w:w="806" w:type="dxa"/>
            <w:vMerge/>
            <w:tcBorders>
              <w:left w:val="single" w:sz="4" w:space="0" w:color="000000"/>
              <w:right w:val="single" w:sz="4" w:space="0" w:color="000000"/>
            </w:tcBorders>
            <w:shd w:val="clear" w:color="auto" w:fill="DCDCDC"/>
          </w:tcPr>
          <w:p>
            <w:pPr/>
          </w:p>
        </w:tc>
      </w:tr>
      <w:tr>
        <w:trPr>
          <w:trHeight w:val="472" w:hRule="exact"/>
        </w:trPr>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40" w:type="dxa"/>
            <w:tcBorders>
              <w:top w:val="nil" w:sz="6" w:space="0" w:color="auto"/>
              <w:left w:val="single" w:sz="4" w:space="0" w:color="000000"/>
              <w:bottom w:val="single" w:sz="4" w:space="0" w:color="000000"/>
              <w:right w:val="single" w:sz="4" w:space="0" w:color="000000"/>
            </w:tcBorders>
            <w:shd w:val="clear" w:color="auto" w:fill="DCDCDC"/>
          </w:tcPr>
          <w:p>
            <w:pPr/>
          </w:p>
        </w:tc>
        <w:tc>
          <w:tcPr>
            <w:tcW w:w="520" w:type="dxa"/>
            <w:tcBorders>
              <w:top w:val="nil" w:sz="6" w:space="0" w:color="auto"/>
              <w:left w:val="single" w:sz="4" w:space="0" w:color="000000"/>
              <w:bottom w:val="single" w:sz="4" w:space="0" w:color="000000"/>
              <w:right w:val="single" w:sz="4" w:space="0" w:color="000000"/>
            </w:tcBorders>
            <w:shd w:val="clear" w:color="auto" w:fill="DCDCDC"/>
          </w:tcPr>
          <w:p>
            <w:pPr/>
          </w:p>
        </w:tc>
        <w:tc>
          <w:tcPr>
            <w:tcW w:w="5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7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70" w:type="dxa"/>
            <w:tcBorders>
              <w:top w:val="nil" w:sz="6" w:space="0" w:color="auto"/>
              <w:left w:val="single" w:sz="4" w:space="0" w:color="000000"/>
              <w:bottom w:val="single" w:sz="4" w:space="0" w:color="000000"/>
              <w:right w:val="single" w:sz="4" w:space="0" w:color="000000"/>
            </w:tcBorders>
            <w:shd w:val="clear" w:color="auto" w:fill="DCDCDC"/>
          </w:tcPr>
          <w:p>
            <w:pPr/>
          </w:p>
        </w:tc>
        <w:tc>
          <w:tcPr>
            <w:tcW w:w="986" w:type="dxa"/>
            <w:tcBorders>
              <w:top w:val="nil" w:sz="6" w:space="0" w:color="auto"/>
              <w:left w:val="single" w:sz="4" w:space="0" w:color="000000"/>
              <w:bottom w:val="single" w:sz="4" w:space="0" w:color="000000"/>
              <w:right w:val="single" w:sz="4" w:space="0" w:color="000000"/>
            </w:tcBorders>
            <w:shd w:val="clear" w:color="auto" w:fill="DCDCDC"/>
          </w:tcPr>
          <w:p>
            <w:pPr/>
          </w:p>
        </w:tc>
        <w:tc>
          <w:tcPr>
            <w:tcW w:w="986" w:type="dxa"/>
            <w:tcBorders>
              <w:top w:val="nil" w:sz="6" w:space="0" w:color="auto"/>
              <w:left w:val="single" w:sz="4" w:space="0" w:color="000000"/>
              <w:bottom w:val="single" w:sz="4" w:space="0" w:color="000000"/>
              <w:right w:val="single" w:sz="4" w:space="0" w:color="000000"/>
            </w:tcBorders>
            <w:shd w:val="clear" w:color="auto" w:fill="DCDCDC"/>
          </w:tcPr>
          <w:p>
            <w:pPr/>
          </w:p>
        </w:tc>
        <w:tc>
          <w:tcPr>
            <w:tcW w:w="1117" w:type="dxa"/>
            <w:tcBorders>
              <w:top w:val="nil" w:sz="6" w:space="0" w:color="auto"/>
              <w:left w:val="single" w:sz="4" w:space="0" w:color="000000"/>
              <w:bottom w:val="single" w:sz="4" w:space="0" w:color="000000"/>
              <w:right w:val="single" w:sz="4" w:space="0" w:color="000000"/>
            </w:tcBorders>
            <w:shd w:val="clear" w:color="auto" w:fill="DCDCDC"/>
          </w:tcPr>
          <w:p>
            <w:pPr/>
          </w:p>
        </w:tc>
        <w:tc>
          <w:tcPr>
            <w:tcW w:w="884" w:type="dxa"/>
            <w:vMerge/>
            <w:tcBorders>
              <w:left w:val="single" w:sz="4" w:space="0" w:color="000000"/>
              <w:bottom w:val="single" w:sz="4" w:space="0" w:color="000000"/>
              <w:right w:val="single" w:sz="4" w:space="0" w:color="000000"/>
            </w:tcBorders>
            <w:shd w:val="clear" w:color="auto" w:fill="DCDCDC"/>
          </w:tcPr>
          <w:p>
            <w:pPr/>
          </w:p>
        </w:tc>
        <w:tc>
          <w:tcPr>
            <w:tcW w:w="806" w:type="dxa"/>
            <w:vMerge/>
            <w:tcBorders>
              <w:left w:val="single" w:sz="4" w:space="0" w:color="000000"/>
              <w:bottom w:val="single" w:sz="4" w:space="0" w:color="000000"/>
              <w:right w:val="single" w:sz="4" w:space="0" w:color="000000"/>
            </w:tcBorders>
            <w:shd w:val="clear" w:color="auto" w:fill="DCDCDC"/>
          </w:tcPr>
          <w:p>
            <w:pP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刘祥南</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2"/>
              <w:jc w:val="center"/>
              <w:rPr>
                <w:rFonts w:ascii="宋体" w:hAnsi="宋体" w:cs="宋体" w:eastAsia="宋体" w:hint="default"/>
                <w:sz w:val="20"/>
                <w:szCs w:val="20"/>
              </w:rPr>
            </w:pPr>
            <w:r>
              <w:rPr>
                <w:rFonts w:ascii="宋体" w:hAnsi="宋体" w:cs="宋体" w:eastAsia="宋体" w:hint="default"/>
                <w:sz w:val="20"/>
                <w:szCs w:val="20"/>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75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84"/>
              <w:jc w:val="right"/>
              <w:rPr>
                <w:rFonts w:ascii="Times New Roman" w:hAnsi="Times New Roman" w:cs="Times New Roman" w:eastAsia="Times New Roman" w:hint="default"/>
                <w:sz w:val="20"/>
                <w:szCs w:val="20"/>
              </w:rPr>
            </w:pPr>
            <w:r>
              <w:rPr>
                <w:rFonts w:ascii="Times New Roman"/>
                <w:spacing w:val="-1"/>
                <w:sz w:val="20"/>
              </w:rPr>
              <w:t>6,400,000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87" w:right="0"/>
              <w:jc w:val="left"/>
              <w:rPr>
                <w:rFonts w:ascii="Times New Roman" w:hAnsi="Times New Roman" w:cs="Times New Roman" w:eastAsia="Times New Roman" w:hint="default"/>
                <w:sz w:val="20"/>
                <w:szCs w:val="20"/>
              </w:rPr>
            </w:pPr>
            <w:r>
              <w:rPr>
                <w:rFonts w:ascii="Times New Roman"/>
                <w:sz w:val="20"/>
              </w:rPr>
              <w:t>6,400,000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郭永芳</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67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36"/>
              <w:jc w:val="right"/>
              <w:rPr>
                <w:rFonts w:ascii="Times New Roman" w:hAnsi="Times New Roman" w:cs="Times New Roman" w:eastAsia="Times New Roman" w:hint="default"/>
                <w:sz w:val="20"/>
                <w:szCs w:val="20"/>
              </w:rPr>
            </w:pPr>
            <w:r>
              <w:rPr>
                <w:rFonts w:ascii="Times New Roman"/>
                <w:spacing w:val="-1"/>
                <w:sz w:val="20"/>
              </w:rPr>
              <w:t>15,600,000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36" w:right="0"/>
              <w:jc w:val="left"/>
              <w:rPr>
                <w:rFonts w:ascii="Times New Roman" w:hAnsi="Times New Roman" w:cs="Times New Roman" w:eastAsia="Times New Roman" w:hint="default"/>
                <w:sz w:val="20"/>
                <w:szCs w:val="20"/>
              </w:rPr>
            </w:pPr>
            <w:r>
              <w:rPr>
                <w:rFonts w:ascii="Times New Roman"/>
                <w:sz w:val="20"/>
              </w:rPr>
              <w:t>15,600,000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28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42"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李国林</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84"/>
              <w:jc w:val="right"/>
              <w:rPr>
                <w:rFonts w:ascii="Times New Roman" w:hAnsi="Times New Roman" w:cs="Times New Roman" w:eastAsia="Times New Roman" w:hint="default"/>
                <w:sz w:val="20"/>
                <w:szCs w:val="20"/>
              </w:rPr>
            </w:pPr>
            <w:r>
              <w:rPr>
                <w:rFonts w:ascii="Times New Roman"/>
                <w:spacing w:val="-1"/>
                <w:sz w:val="20"/>
              </w:rPr>
              <w:t>8,000,000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87" w:right="0"/>
              <w:jc w:val="left"/>
              <w:rPr>
                <w:rFonts w:ascii="Times New Roman" w:hAnsi="Times New Roman" w:cs="Times New Roman" w:eastAsia="Times New Roman" w:hint="default"/>
                <w:sz w:val="20"/>
                <w:szCs w:val="20"/>
              </w:rPr>
            </w:pPr>
            <w:r>
              <w:rPr>
                <w:rFonts w:ascii="Times New Roman"/>
                <w:sz w:val="20"/>
              </w:rPr>
              <w:t>8,000,000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w w:val="100"/>
                <w:sz w:val="20"/>
              </w:rPr>
              <w:t>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573"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183" w:right="0"/>
              <w:jc w:val="left"/>
              <w:rPr>
                <w:rFonts w:ascii="宋体" w:hAnsi="宋体" w:cs="宋体" w:eastAsia="宋体" w:hint="default"/>
                <w:sz w:val="20"/>
                <w:szCs w:val="20"/>
              </w:rPr>
            </w:pPr>
            <w:r>
              <w:rPr>
                <w:rFonts w:ascii="宋体" w:hAnsi="宋体" w:cs="宋体" w:eastAsia="宋体" w:hint="default"/>
                <w:sz w:val="20"/>
                <w:szCs w:val="20"/>
              </w:rPr>
              <w:t>滕达</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34" w:lineRule="exact"/>
              <w:ind w:right="10"/>
              <w:jc w:val="center"/>
              <w:rPr>
                <w:rFonts w:ascii="宋体" w:hAnsi="宋体" w:cs="宋体" w:eastAsia="宋体" w:hint="default"/>
                <w:sz w:val="20"/>
                <w:szCs w:val="20"/>
              </w:rPr>
            </w:pPr>
            <w:r>
              <w:rPr>
                <w:rFonts w:ascii="宋体" w:hAnsi="宋体" w:cs="宋体" w:eastAsia="宋体" w:hint="default"/>
                <w:spacing w:val="-4"/>
                <w:sz w:val="20"/>
                <w:szCs w:val="20"/>
              </w:rPr>
              <w:t>董事、总经</w:t>
            </w:r>
          </w:p>
          <w:p>
            <w:pPr>
              <w:pStyle w:val="TableParagraph"/>
              <w:spacing w:line="261" w:lineRule="exact"/>
              <w:ind w:right="12"/>
              <w:jc w:val="center"/>
              <w:rPr>
                <w:rFonts w:ascii="宋体" w:hAnsi="宋体" w:cs="宋体" w:eastAsia="宋体" w:hint="default"/>
                <w:sz w:val="20"/>
                <w:szCs w:val="20"/>
              </w:rPr>
            </w:pPr>
            <w:r>
              <w:rPr>
                <w:rFonts w:ascii="宋体" w:hAnsi="宋体" w:cs="宋体" w:eastAsia="宋体" w:hint="default"/>
                <w:w w:val="100"/>
                <w:sz w:val="20"/>
                <w:szCs w:val="20"/>
              </w:rPr>
              <w:t>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20"/>
                <w:szCs w:val="20"/>
              </w:rPr>
            </w:pPr>
            <w:r>
              <w:rPr>
                <w:rFonts w:ascii="Times New Roman"/>
                <w:sz w:val="20"/>
              </w:rPr>
              <w:t>42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53"/>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52"/>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 w:right="0"/>
              <w:jc w:val="center"/>
              <w:rPr>
                <w:rFonts w:ascii="Times New Roman" w:hAnsi="Times New Roman" w:cs="Times New Roman" w:eastAsia="Times New Roman" w:hint="default"/>
                <w:sz w:val="20"/>
                <w:szCs w:val="20"/>
              </w:rPr>
            </w:pPr>
            <w:r>
              <w:rPr>
                <w:rFonts w:ascii="Times New Roman"/>
                <w:sz w:val="20"/>
              </w:rPr>
              <w:t>50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郭东辉</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4"/>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陈少华</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51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2009.12.20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3"/>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4"/>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42"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陈汉文</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2009.11.14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3"/>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53"/>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573" w:hRule="exact"/>
        </w:trPr>
        <w:tc>
          <w:tcPr>
            <w:tcW w:w="780" w:type="dxa"/>
            <w:tcBorders>
              <w:top w:val="single" w:sz="52" w:space="0" w:color="DCDCDC"/>
              <w:left w:val="single" w:sz="9" w:space="0" w:color="DCDCDC"/>
              <w:bottom w:val="single" w:sz="52" w:space="0" w:color="DCDCDC"/>
              <w:right w:val="single" w:sz="13" w:space="0" w:color="DCDCDC"/>
            </w:tcBorders>
          </w:tcPr>
          <w:p>
            <w:pPr>
              <w:pStyle w:val="TableParagraph"/>
              <w:spacing w:line="240" w:lineRule="auto" w:before="42"/>
              <w:ind w:right="71"/>
              <w:jc w:val="right"/>
              <w:rPr>
                <w:rFonts w:ascii="宋体" w:hAnsi="宋体" w:cs="宋体" w:eastAsia="宋体" w:hint="default"/>
                <w:sz w:val="20"/>
                <w:szCs w:val="20"/>
              </w:rPr>
            </w:pPr>
            <w:r>
              <w:rPr>
                <w:rFonts w:ascii="Times New Roman" w:hAnsi="Times New Roman" w:cs="Times New Roman" w:eastAsia="Times New Roman" w:hint="default"/>
                <w:w w:val="100"/>
                <w:sz w:val="20"/>
                <w:szCs w:val="20"/>
              </w:rPr>
            </w:r>
            <w:r>
              <w:rPr>
                <w:rFonts w:ascii="Times New Roman" w:hAnsi="Times New Roman" w:cs="Times New Roman" w:eastAsia="Times New Roman" w:hint="default"/>
                <w:spacing w:val="11"/>
                <w:w w:val="100"/>
                <w:sz w:val="20"/>
                <w:szCs w:val="20"/>
                <w:shd w:fill="DCDCDC" w:color="auto" w:val="clear"/>
              </w:rPr>
              <w:t> </w:t>
            </w:r>
            <w:r>
              <w:rPr>
                <w:rFonts w:ascii="宋体" w:hAnsi="宋体" w:cs="宋体" w:eastAsia="宋体" w:hint="default"/>
                <w:sz w:val="20"/>
                <w:szCs w:val="20"/>
                <w:shd w:fill="DCDCDC" w:color="auto" w:val="clear"/>
              </w:rPr>
              <w:t>仲丽华</w:t>
            </w:r>
            <w:r>
              <w:rPr>
                <w:rFonts w:ascii="宋体" w:hAnsi="宋体" w:cs="宋体" w:eastAsia="宋体" w:hint="default"/>
                <w:sz w:val="20"/>
                <w:szCs w:val="20"/>
              </w:rPr>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33" w:lineRule="exact"/>
              <w:ind w:right="11"/>
              <w:jc w:val="center"/>
              <w:rPr>
                <w:rFonts w:ascii="宋体" w:hAnsi="宋体" w:cs="宋体" w:eastAsia="宋体" w:hint="default"/>
                <w:sz w:val="20"/>
                <w:szCs w:val="20"/>
              </w:rPr>
            </w:pPr>
            <w:r>
              <w:rPr>
                <w:rFonts w:ascii="宋体" w:hAnsi="宋体" w:cs="宋体" w:eastAsia="宋体" w:hint="default"/>
                <w:sz w:val="20"/>
                <w:szCs w:val="20"/>
              </w:rPr>
              <w:t>监事会主</w:t>
            </w:r>
          </w:p>
          <w:p>
            <w:pPr>
              <w:pStyle w:val="TableParagraph"/>
              <w:spacing w:line="260" w:lineRule="exact"/>
              <w:ind w:right="12"/>
              <w:jc w:val="center"/>
              <w:rPr>
                <w:rFonts w:ascii="宋体" w:hAnsi="宋体" w:cs="宋体" w:eastAsia="宋体" w:hint="default"/>
                <w:sz w:val="20"/>
                <w:szCs w:val="20"/>
              </w:rPr>
            </w:pPr>
            <w:r>
              <w:rPr>
                <w:rFonts w:ascii="宋体" w:hAnsi="宋体" w:cs="宋体" w:eastAsia="宋体" w:hint="default"/>
                <w:w w:val="100"/>
                <w:sz w:val="20"/>
                <w:szCs w:val="20"/>
              </w:rPr>
              <w:t>席</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20"/>
                <w:szCs w:val="20"/>
              </w:rPr>
            </w:pPr>
            <w:r>
              <w:rPr>
                <w:rFonts w:ascii="Times New Roman"/>
                <w:sz w:val="20"/>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20"/>
                <w:szCs w:val="20"/>
              </w:rPr>
            </w:pPr>
            <w:r>
              <w:rPr>
                <w:rFonts w:ascii="Times New Roman"/>
                <w:sz w:val="20"/>
              </w:rPr>
              <w:t>2011.4.25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202"/>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54"/>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 w:right="0"/>
              <w:jc w:val="center"/>
              <w:rPr>
                <w:rFonts w:ascii="Times New Roman" w:hAnsi="Times New Roman" w:cs="Times New Roman" w:eastAsia="Times New Roman" w:hint="default"/>
                <w:sz w:val="20"/>
                <w:szCs w:val="20"/>
              </w:rPr>
            </w:pPr>
            <w:r>
              <w:rPr>
                <w:rFonts w:ascii="Times New Roman"/>
                <w:sz w:val="20"/>
              </w:rPr>
              <w:t>21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吴顺祥</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2"/>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02"/>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w w:val="100"/>
                <w:sz w:val="20"/>
              </w:rPr>
              <w:t>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高龙腾</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3"/>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53"/>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w w:val="100"/>
                <w:sz w:val="20"/>
              </w:rPr>
              <w:t>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兰邦胜</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34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2011.4.24</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52"/>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3"/>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1.12</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183" w:right="0"/>
              <w:jc w:val="left"/>
              <w:rPr>
                <w:rFonts w:ascii="宋体" w:hAnsi="宋体" w:cs="宋体" w:eastAsia="宋体" w:hint="default"/>
                <w:sz w:val="20"/>
                <w:szCs w:val="20"/>
              </w:rPr>
            </w:pPr>
            <w:r>
              <w:rPr>
                <w:rFonts w:ascii="宋体" w:hAnsi="宋体" w:cs="宋体" w:eastAsia="宋体" w:hint="default"/>
                <w:sz w:val="20"/>
                <w:szCs w:val="20"/>
              </w:rPr>
              <w:t>申强</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43</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120,000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3"/>
              <w:jc w:val="right"/>
              <w:rPr>
                <w:rFonts w:ascii="Times New Roman" w:hAnsi="Times New Roman" w:cs="Times New Roman" w:eastAsia="Times New Roman" w:hint="default"/>
                <w:sz w:val="20"/>
                <w:szCs w:val="20"/>
              </w:rPr>
            </w:pPr>
            <w:r>
              <w:rPr>
                <w:rFonts w:ascii="Times New Roman"/>
                <w:spacing w:val="-1"/>
                <w:sz w:val="20"/>
              </w:rPr>
              <w:t>120,000</w:t>
            </w:r>
            <w:r>
              <w:rPr>
                <w:rFonts w:ascii="Times New Roman"/>
                <w:sz w:val="20"/>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丛艳芬</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43</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120,000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1"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39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183" w:right="0"/>
              <w:jc w:val="left"/>
              <w:rPr>
                <w:rFonts w:ascii="宋体" w:hAnsi="宋体" w:cs="宋体" w:eastAsia="宋体" w:hint="default"/>
                <w:sz w:val="20"/>
                <w:szCs w:val="20"/>
              </w:rPr>
            </w:pPr>
            <w:r>
              <w:rPr>
                <w:rFonts w:ascii="宋体" w:hAnsi="宋体" w:cs="宋体" w:eastAsia="宋体" w:hint="default"/>
                <w:sz w:val="20"/>
                <w:szCs w:val="20"/>
              </w:rPr>
              <w:t>高峰</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3" w:right="0"/>
              <w:jc w:val="left"/>
              <w:rPr>
                <w:rFonts w:ascii="Times New Roman" w:hAnsi="Times New Roman" w:cs="Times New Roman" w:eastAsia="Times New Roman" w:hint="default"/>
                <w:sz w:val="20"/>
                <w:szCs w:val="20"/>
              </w:rPr>
            </w:pPr>
            <w:r>
              <w:rPr>
                <w:rFonts w:ascii="Times New Roman"/>
                <w:sz w:val="20"/>
              </w:rPr>
              <w:t>120,000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1"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张雪峰</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3" w:right="0"/>
              <w:jc w:val="left"/>
              <w:rPr>
                <w:rFonts w:ascii="Times New Roman" w:hAnsi="Times New Roman" w:cs="Times New Roman" w:eastAsia="Times New Roman" w:hint="default"/>
                <w:sz w:val="20"/>
                <w:szCs w:val="20"/>
              </w:rPr>
            </w:pPr>
            <w:r>
              <w:rPr>
                <w:rFonts w:ascii="Times New Roman"/>
                <w:sz w:val="20"/>
              </w:rPr>
              <w:t>120,000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1"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黄基鹏</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52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3" w:right="0"/>
              <w:jc w:val="left"/>
              <w:rPr>
                <w:rFonts w:ascii="Times New Roman" w:hAnsi="Times New Roman" w:cs="Times New Roman" w:eastAsia="Times New Roman" w:hint="default"/>
                <w:sz w:val="20"/>
                <w:szCs w:val="20"/>
              </w:rPr>
            </w:pPr>
            <w:r>
              <w:rPr>
                <w:rFonts w:ascii="Times New Roman"/>
                <w:sz w:val="20"/>
              </w:rPr>
              <w:t>120,000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1"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38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吴鸿伟</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120,000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1"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58</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left="183" w:right="0"/>
              <w:jc w:val="left"/>
              <w:rPr>
                <w:rFonts w:ascii="宋体" w:hAnsi="宋体" w:cs="宋体" w:eastAsia="宋体" w:hint="default"/>
                <w:sz w:val="20"/>
                <w:szCs w:val="20"/>
              </w:rPr>
            </w:pPr>
            <w:r>
              <w:rPr>
                <w:rFonts w:ascii="宋体" w:hAnsi="宋体" w:cs="宋体" w:eastAsia="宋体" w:hint="default"/>
                <w:sz w:val="20"/>
                <w:szCs w:val="20"/>
              </w:rPr>
              <w:t>赵庸</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63" w:right="0"/>
              <w:jc w:val="left"/>
              <w:rPr>
                <w:rFonts w:ascii="Times New Roman" w:hAnsi="Times New Roman" w:cs="Times New Roman" w:eastAsia="Times New Roman" w:hint="default"/>
                <w:sz w:val="20"/>
                <w:szCs w:val="20"/>
              </w:rPr>
            </w:pPr>
            <w:r>
              <w:rPr>
                <w:rFonts w:ascii="Times New Roman"/>
                <w:sz w:val="20"/>
              </w:rPr>
              <w:t>120,000</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13" w:right="0"/>
              <w:jc w:val="left"/>
              <w:rPr>
                <w:rFonts w:ascii="Times New Roman" w:hAnsi="Times New Roman" w:cs="Times New Roman" w:eastAsia="Times New Roman" w:hint="default"/>
                <w:sz w:val="20"/>
                <w:szCs w:val="20"/>
              </w:rPr>
            </w:pPr>
            <w:r>
              <w:rPr>
                <w:rFonts w:ascii="Times New Roman"/>
                <w:sz w:val="20"/>
              </w:rPr>
              <w:t>120,000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杨爱国</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2011.12.29</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90,000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3"/>
              <w:jc w:val="right"/>
              <w:rPr>
                <w:rFonts w:ascii="Times New Roman" w:hAnsi="Times New Roman" w:cs="Times New Roman" w:eastAsia="Times New Roman" w:hint="default"/>
                <w:sz w:val="20"/>
                <w:szCs w:val="20"/>
              </w:rPr>
            </w:pPr>
            <w:r>
              <w:rPr>
                <w:rFonts w:ascii="Times New Roman"/>
                <w:spacing w:val="-1"/>
                <w:sz w:val="20"/>
              </w:rPr>
              <w:t>90,000</w:t>
            </w:r>
            <w:r>
              <w:rPr>
                <w:rFonts w:ascii="Times New Roman"/>
                <w:sz w:val="20"/>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张乃军</w:t>
            </w:r>
          </w:p>
        </w:tc>
        <w:tc>
          <w:tcPr>
            <w:tcW w:w="104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6"/>
              <w:ind w:right="11"/>
              <w:jc w:val="center"/>
              <w:rPr>
                <w:rFonts w:ascii="宋体" w:hAnsi="宋体" w:cs="宋体" w:eastAsia="宋体" w:hint="default"/>
                <w:sz w:val="20"/>
                <w:szCs w:val="20"/>
              </w:rPr>
            </w:pPr>
            <w:r>
              <w:rPr>
                <w:rFonts w:ascii="宋体" w:hAnsi="宋体" w:cs="宋体" w:eastAsia="宋体" w:hint="default"/>
                <w:sz w:val="20"/>
                <w:szCs w:val="20"/>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41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2009.9.22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90,000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12" w:right="0"/>
              <w:jc w:val="left"/>
              <w:rPr>
                <w:rFonts w:ascii="Times New Roman" w:hAnsi="Times New Roman" w:cs="Times New Roman" w:eastAsia="Times New Roman" w:hint="default"/>
                <w:sz w:val="20"/>
                <w:szCs w:val="20"/>
              </w:rPr>
            </w:pPr>
            <w:r>
              <w:rPr>
                <w:rFonts w:ascii="Times New Roman"/>
                <w:sz w:val="20"/>
              </w:rPr>
              <w:t>90,000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40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8"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83"/>
              <w:jc w:val="right"/>
              <w:rPr>
                <w:rFonts w:ascii="宋体" w:hAnsi="宋体" w:cs="宋体" w:eastAsia="宋体" w:hint="default"/>
                <w:sz w:val="20"/>
                <w:szCs w:val="20"/>
              </w:rPr>
            </w:pPr>
            <w:r>
              <w:rPr>
                <w:rFonts w:ascii="宋体" w:hAnsi="宋体" w:cs="宋体" w:eastAsia="宋体" w:hint="default"/>
                <w:sz w:val="20"/>
                <w:szCs w:val="20"/>
              </w:rPr>
              <w:t>吴世雄</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50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pacing w:val="-3"/>
                <w:sz w:val="20"/>
              </w:rPr>
              <w:t>2011.4.11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202"/>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54"/>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51</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bl>
    <w:p>
      <w:pPr>
        <w:spacing w:after="0" w:line="240" w:lineRule="auto"/>
        <w:jc w:val="center"/>
        <w:rPr>
          <w:rFonts w:ascii="宋体" w:hAnsi="宋体" w:cs="宋体" w:eastAsia="宋体" w:hint="default"/>
          <w:sz w:val="20"/>
          <w:szCs w:val="20"/>
        </w:rPr>
        <w:sectPr>
          <w:pgSz w:w="12240" w:h="15840"/>
          <w:pgMar w:header="0" w:footer="688" w:top="1500" w:bottom="880" w:left="1680" w:right="340"/>
        </w:sectPr>
      </w:pPr>
    </w:p>
    <w:p>
      <w:pPr>
        <w:spacing w:line="240" w:lineRule="auto" w:before="1"/>
        <w:rPr>
          <w:rFonts w:ascii="宋体" w:hAnsi="宋体" w:cs="宋体" w:eastAsia="宋体" w:hint="default"/>
          <w:b/>
          <w:bCs/>
          <w:sz w:val="6"/>
          <w:szCs w:val="6"/>
        </w:rPr>
      </w:pPr>
    </w:p>
    <w:tbl>
      <w:tblPr>
        <w:tblW w:w="0" w:type="auto"/>
        <w:jc w:val="left"/>
        <w:tblInd w:w="115" w:type="dxa"/>
        <w:tblLayout w:type="fixed"/>
        <w:tblCellMar>
          <w:top w:w="0" w:type="dxa"/>
          <w:left w:w="0" w:type="dxa"/>
          <w:bottom w:w="0" w:type="dxa"/>
          <w:right w:w="0" w:type="dxa"/>
        </w:tblCellMar>
        <w:tblLook w:val="01E0"/>
      </w:tblPr>
      <w:tblGrid>
        <w:gridCol w:w="780"/>
        <w:gridCol w:w="1040"/>
        <w:gridCol w:w="520"/>
        <w:gridCol w:w="520"/>
        <w:gridCol w:w="1170"/>
        <w:gridCol w:w="1170"/>
        <w:gridCol w:w="986"/>
        <w:gridCol w:w="986"/>
        <w:gridCol w:w="1117"/>
        <w:gridCol w:w="884"/>
        <w:gridCol w:w="806"/>
      </w:tblGrid>
      <w:tr>
        <w:trPr>
          <w:trHeight w:val="407" w:hRule="exact"/>
        </w:trPr>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栾江霞</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sz w:val="20"/>
                <w:szCs w:val="20"/>
              </w:rPr>
              <w:t>副总经理</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宋体" w:hAnsi="宋体" w:cs="宋体" w:eastAsia="宋体" w:hint="default"/>
                <w:sz w:val="20"/>
                <w:szCs w:val="20"/>
              </w:rPr>
            </w:pPr>
            <w:r>
              <w:rPr>
                <w:rFonts w:ascii="宋体" w:hAnsi="宋体" w:cs="宋体" w:eastAsia="宋体" w:hint="default"/>
                <w:w w:val="100"/>
                <w:sz w:val="20"/>
                <w:szCs w:val="20"/>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
              <w:jc w:val="center"/>
              <w:rPr>
                <w:rFonts w:ascii="Times New Roman" w:hAnsi="Times New Roman" w:cs="Times New Roman" w:eastAsia="Times New Roman" w:hint="default"/>
                <w:sz w:val="20"/>
                <w:szCs w:val="20"/>
              </w:rPr>
            </w:pPr>
            <w:r>
              <w:rPr>
                <w:rFonts w:ascii="Times New Roman"/>
                <w:sz w:val="20"/>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pacing w:val="-3"/>
                <w:sz w:val="20"/>
              </w:rPr>
              <w:t>2011.4.11</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1"/>
              <w:jc w:val="right"/>
              <w:rPr>
                <w:rFonts w:ascii="Times New Roman" w:hAnsi="Times New Roman" w:cs="Times New Roman" w:eastAsia="Times New Roman" w:hint="default"/>
                <w:sz w:val="20"/>
                <w:szCs w:val="20"/>
              </w:rPr>
            </w:pPr>
            <w:r>
              <w:rPr>
                <w:rFonts w:ascii="Times New Roman"/>
                <w:spacing w:val="-1"/>
                <w:sz w:val="20"/>
              </w:rPr>
              <w:t>60,000</w:t>
            </w:r>
            <w:r>
              <w:rPr>
                <w:rFonts w:ascii="Times New Roman"/>
                <w:sz w:val="20"/>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63"/>
              <w:jc w:val="right"/>
              <w:rPr>
                <w:rFonts w:ascii="Times New Roman" w:hAnsi="Times New Roman" w:cs="Times New Roman" w:eastAsia="Times New Roman" w:hint="default"/>
                <w:sz w:val="20"/>
                <w:szCs w:val="20"/>
              </w:rPr>
            </w:pPr>
            <w:r>
              <w:rPr>
                <w:rFonts w:ascii="Times New Roman"/>
                <w:spacing w:val="-1"/>
                <w:sz w:val="20"/>
              </w:rPr>
              <w:t>60,000</w:t>
            </w:r>
            <w:r>
              <w:rPr>
                <w:rFonts w:ascii="Times New Roman"/>
                <w:sz w:val="20"/>
              </w:rPr>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无变动</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1" w:right="0"/>
              <w:jc w:val="center"/>
              <w:rPr>
                <w:rFonts w:ascii="Times New Roman" w:hAnsi="Times New Roman" w:cs="Times New Roman" w:eastAsia="Times New Roman" w:hint="default"/>
                <w:sz w:val="20"/>
                <w:szCs w:val="20"/>
              </w:rPr>
            </w:pPr>
            <w:r>
              <w:rPr>
                <w:rFonts w:ascii="Times New Roman"/>
                <w:sz w:val="20"/>
              </w:rPr>
              <w:t>30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869" w:hRule="exact"/>
        </w:trPr>
        <w:tc>
          <w:tcPr>
            <w:tcW w:w="780"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王斌</w:t>
            </w:r>
          </w:p>
        </w:tc>
        <w:tc>
          <w:tcPr>
            <w:tcW w:w="1040" w:type="dxa"/>
            <w:tcBorders>
              <w:top w:val="single" w:sz="4" w:space="0" w:color="000000"/>
              <w:left w:val="single" w:sz="4" w:space="0" w:color="000000"/>
              <w:bottom w:val="single" w:sz="4" w:space="0" w:color="FFFFFF"/>
              <w:right w:val="single" w:sz="4" w:space="0" w:color="000000"/>
            </w:tcBorders>
          </w:tcPr>
          <w:p>
            <w:pPr>
              <w:pStyle w:val="TableParagraph"/>
              <w:spacing w:line="237" w:lineRule="auto" w:before="10"/>
              <w:ind w:left="22" w:right="20" w:hanging="2"/>
              <w:jc w:val="center"/>
              <w:rPr>
                <w:rFonts w:ascii="宋体" w:hAnsi="宋体" w:cs="宋体" w:eastAsia="宋体" w:hint="default"/>
                <w:sz w:val="20"/>
                <w:szCs w:val="20"/>
              </w:rPr>
            </w:pPr>
            <w:r>
              <w:rPr>
                <w:rFonts w:ascii="宋体" w:hAnsi="宋体" w:cs="宋体" w:eastAsia="宋体" w:hint="default"/>
                <w:sz w:val="20"/>
                <w:szCs w:val="20"/>
              </w:rPr>
              <w:t>董事会秘</w:t>
            </w:r>
            <w:r>
              <w:rPr>
                <w:rFonts w:ascii="宋体" w:hAnsi="宋体" w:cs="宋体" w:eastAsia="宋体" w:hint="default"/>
                <w:w w:val="100"/>
                <w:sz w:val="20"/>
                <w:szCs w:val="20"/>
              </w:rPr>
              <w:t> </w:t>
            </w:r>
            <w:r>
              <w:rPr>
                <w:rFonts w:ascii="宋体" w:hAnsi="宋体" w:cs="宋体" w:eastAsia="宋体" w:hint="default"/>
                <w:spacing w:val="-4"/>
                <w:sz w:val="20"/>
                <w:szCs w:val="20"/>
              </w:rPr>
              <w:t>书、副总经</w:t>
            </w:r>
            <w:r>
              <w:rPr>
                <w:rFonts w:ascii="宋体" w:hAnsi="宋体" w:cs="宋体" w:eastAsia="宋体" w:hint="default"/>
                <w:w w:val="100"/>
                <w:sz w:val="20"/>
                <w:szCs w:val="20"/>
              </w:rPr>
              <w:t> </w:t>
            </w:r>
            <w:r>
              <w:rPr>
                <w:rFonts w:ascii="宋体" w:hAnsi="宋体" w:cs="宋体" w:eastAsia="宋体" w:hint="default"/>
                <w:sz w:val="20"/>
                <w:szCs w:val="20"/>
              </w:rPr>
              <w:t>理</w:t>
            </w:r>
          </w:p>
        </w:tc>
        <w:tc>
          <w:tcPr>
            <w:tcW w:w="52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男</w:t>
            </w:r>
          </w:p>
        </w:tc>
        <w:tc>
          <w:tcPr>
            <w:tcW w:w="52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sz w:val="20"/>
              </w:rPr>
              <w:t>41</w:t>
            </w:r>
          </w:p>
        </w:tc>
        <w:tc>
          <w:tcPr>
            <w:tcW w:w="117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2011.12.13</w:t>
            </w:r>
          </w:p>
        </w:tc>
        <w:tc>
          <w:tcPr>
            <w:tcW w:w="117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0"/>
              <w:jc w:val="center"/>
              <w:rPr>
                <w:rFonts w:ascii="Times New Roman" w:hAnsi="Times New Roman" w:cs="Times New Roman" w:eastAsia="Times New Roman" w:hint="default"/>
                <w:sz w:val="20"/>
                <w:szCs w:val="20"/>
              </w:rPr>
            </w:pPr>
            <w:r>
              <w:rPr>
                <w:rFonts w:ascii="Times New Roman"/>
                <w:sz w:val="20"/>
              </w:rPr>
              <w:t>2012.9.21</w:t>
            </w:r>
          </w:p>
        </w:tc>
        <w:tc>
          <w:tcPr>
            <w:tcW w:w="98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53"/>
              <w:jc w:val="right"/>
              <w:rPr>
                <w:rFonts w:ascii="Times New Roman" w:hAnsi="Times New Roman" w:cs="Times New Roman" w:eastAsia="Times New Roman" w:hint="default"/>
                <w:sz w:val="20"/>
                <w:szCs w:val="20"/>
              </w:rPr>
            </w:pPr>
            <w:r>
              <w:rPr>
                <w:rFonts w:ascii="Times New Roman"/>
                <w:w w:val="100"/>
                <w:sz w:val="20"/>
              </w:rPr>
              <w:t>-</w:t>
            </w:r>
          </w:p>
        </w:tc>
        <w:tc>
          <w:tcPr>
            <w:tcW w:w="98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54"/>
              <w:jc w:val="right"/>
              <w:rPr>
                <w:rFonts w:ascii="Times New Roman" w:hAnsi="Times New Roman" w:cs="Times New Roman" w:eastAsia="Times New Roman" w:hint="default"/>
                <w:sz w:val="20"/>
                <w:szCs w:val="20"/>
              </w:rPr>
            </w:pPr>
            <w:r>
              <w:rPr>
                <w:rFonts w:ascii="Times New Roman"/>
                <w:w w:val="100"/>
                <w:sz w:val="20"/>
              </w:rPr>
              <w:t>-</w:t>
            </w:r>
          </w:p>
        </w:tc>
        <w:tc>
          <w:tcPr>
            <w:tcW w:w="1117"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right="1"/>
              <w:jc w:val="center"/>
              <w:rPr>
                <w:rFonts w:ascii="Times New Roman" w:hAnsi="Times New Roman" w:cs="Times New Roman" w:eastAsia="Times New Roman" w:hint="default"/>
                <w:sz w:val="20"/>
                <w:szCs w:val="20"/>
              </w:rPr>
            </w:pPr>
            <w:r>
              <w:rPr>
                <w:rFonts w:ascii="Times New Roman"/>
                <w:w w:val="100"/>
                <w:sz w:val="20"/>
              </w:rPr>
              <w:t>-</w:t>
            </w:r>
          </w:p>
        </w:tc>
        <w:tc>
          <w:tcPr>
            <w:tcW w:w="88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
              <w:ind w:right="0"/>
              <w:jc w:val="left"/>
              <w:rPr>
                <w:rFonts w:ascii="宋体" w:hAnsi="宋体" w:cs="宋体" w:eastAsia="宋体" w:hint="default"/>
                <w:b/>
                <w:bCs/>
                <w:sz w:val="23"/>
                <w:szCs w:val="23"/>
              </w:rPr>
            </w:pPr>
          </w:p>
          <w:p>
            <w:pPr>
              <w:pStyle w:val="TableParagraph"/>
              <w:spacing w:line="240" w:lineRule="auto"/>
              <w:ind w:left="1" w:right="0"/>
              <w:jc w:val="center"/>
              <w:rPr>
                <w:rFonts w:ascii="Times New Roman" w:hAnsi="Times New Roman" w:cs="Times New Roman" w:eastAsia="Times New Roman" w:hint="default"/>
                <w:sz w:val="20"/>
                <w:szCs w:val="20"/>
              </w:rPr>
            </w:pPr>
            <w:r>
              <w:rPr>
                <w:rFonts w:ascii="Times New Roman"/>
                <w:sz w:val="20"/>
              </w:rPr>
              <w:t>15</w:t>
            </w:r>
          </w:p>
        </w:tc>
        <w:tc>
          <w:tcPr>
            <w:tcW w:w="80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r>
      <w:tr>
        <w:trPr>
          <w:trHeight w:val="407" w:hRule="exact"/>
        </w:trPr>
        <w:tc>
          <w:tcPr>
            <w:tcW w:w="780"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4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1"/>
              <w:ind w:right="36"/>
              <w:jc w:val="right"/>
              <w:rPr>
                <w:rFonts w:ascii="Times New Roman" w:hAnsi="Times New Roman" w:cs="Times New Roman" w:eastAsia="Times New Roman" w:hint="default"/>
                <w:sz w:val="20"/>
                <w:szCs w:val="20"/>
              </w:rPr>
            </w:pPr>
            <w:r>
              <w:rPr>
                <w:rFonts w:ascii="Times New Roman"/>
                <w:spacing w:val="-1"/>
                <w:sz w:val="20"/>
              </w:rPr>
              <w:t>31,080,000</w:t>
            </w:r>
            <w:r>
              <w:rPr>
                <w:rFonts w:ascii="Times New Roman"/>
                <w:sz w:val="20"/>
              </w:rPr>
            </w:r>
          </w:p>
        </w:tc>
        <w:tc>
          <w:tcPr>
            <w:tcW w:w="98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1"/>
              <w:ind w:right="38"/>
              <w:jc w:val="right"/>
              <w:rPr>
                <w:rFonts w:ascii="Times New Roman" w:hAnsi="Times New Roman" w:cs="Times New Roman" w:eastAsia="Times New Roman" w:hint="default"/>
                <w:sz w:val="20"/>
                <w:szCs w:val="20"/>
              </w:rPr>
            </w:pPr>
            <w:r>
              <w:rPr>
                <w:rFonts w:ascii="Times New Roman"/>
                <w:spacing w:val="-1"/>
                <w:sz w:val="20"/>
              </w:rPr>
              <w:t>31,080,000</w:t>
            </w:r>
            <w:r>
              <w:rPr>
                <w:rFonts w:ascii="Times New Roman"/>
                <w:sz w:val="20"/>
              </w:rPr>
            </w:r>
          </w:p>
        </w:tc>
        <w:tc>
          <w:tcPr>
            <w:tcW w:w="111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0"/>
                <w:szCs w:val="20"/>
              </w:rPr>
            </w:pPr>
            <w:r>
              <w:rPr>
                <w:rFonts w:ascii="Times New Roman"/>
                <w:sz w:val="20"/>
              </w:rPr>
              <w:t>689.12</w:t>
            </w:r>
          </w:p>
        </w:tc>
        <w:tc>
          <w:tcPr>
            <w:tcW w:w="806" w:type="dxa"/>
            <w:tcBorders>
              <w:top w:val="single" w:sz="4" w:space="0" w:color="FFFFFF"/>
              <w:left w:val="single" w:sz="4" w:space="0" w:color="000000"/>
              <w:bottom w:val="single" w:sz="4" w:space="0" w:color="000000"/>
              <w:right w:val="single" w:sz="4" w:space="0" w:color="000000"/>
            </w:tcBorders>
          </w:tcPr>
          <w:p>
            <w:pPr/>
          </w:p>
        </w:tc>
      </w:tr>
    </w:tbl>
    <w:p>
      <w:pPr>
        <w:pStyle w:val="BodyText"/>
        <w:spacing w:line="240" w:lineRule="auto" w:before="81"/>
        <w:ind w:left="600" w:right="1443"/>
        <w:jc w:val="left"/>
      </w:pPr>
      <w:r>
        <w:rPr/>
        <w:t>报告期内，公司无董事、监事、高级管理人员被授予股权激励的情况。</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18"/>
          <w:szCs w:val="18"/>
        </w:rPr>
      </w:pPr>
    </w:p>
    <w:p>
      <w:pPr>
        <w:pStyle w:val="Heading3"/>
        <w:spacing w:line="240" w:lineRule="auto"/>
        <w:ind w:right="1443"/>
        <w:jc w:val="left"/>
        <w:rPr>
          <w:b w:val="0"/>
          <w:bCs w:val="0"/>
        </w:rPr>
      </w:pPr>
      <w:r>
        <w:rPr/>
        <w:t>（二）董事、监事、高级管理人员最近5年的主要工作经历及兼职情况</w:t>
      </w:r>
      <w:r>
        <w:rPr>
          <w:b w:val="0"/>
          <w:bCs w:val="0"/>
        </w:rPr>
      </w:r>
    </w:p>
    <w:p>
      <w:pPr>
        <w:spacing w:line="240" w:lineRule="auto" w:before="4"/>
        <w:rPr>
          <w:rFonts w:ascii="宋体" w:hAnsi="宋体" w:cs="宋体" w:eastAsia="宋体" w:hint="default"/>
          <w:b/>
          <w:bCs/>
          <w:sz w:val="18"/>
          <w:szCs w:val="18"/>
        </w:rPr>
      </w:pPr>
    </w:p>
    <w:p>
      <w:pPr>
        <w:spacing w:before="0"/>
        <w:ind w:left="602" w:right="144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、董事</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p>
      <w:pPr>
        <w:pStyle w:val="BodyText"/>
        <w:spacing w:line="240" w:lineRule="auto"/>
        <w:ind w:left="600" w:right="1443"/>
        <w:jc w:val="left"/>
      </w:pPr>
      <w:r>
        <w:rPr/>
        <w:t>公司董事会由</w:t>
      </w:r>
      <w:r>
        <w:rPr>
          <w:spacing w:val="-60"/>
        </w:rPr>
        <w:t> </w:t>
      </w:r>
      <w:r>
        <w:rPr>
          <w:rFonts w:ascii="Times New Roman" w:hAnsi="Times New Roman" w:cs="Times New Roman" w:eastAsia="Times New Roman" w:hint="default"/>
        </w:rPr>
        <w:t>7 </w:t>
      </w:r>
      <w:r>
        <w:rPr/>
        <w:t>名董事组成，其中独立董事</w:t>
      </w:r>
      <w:r>
        <w:rPr>
          <w:spacing w:val="-60"/>
        </w:rPr>
        <w:t> </w:t>
      </w:r>
      <w:r>
        <w:rPr>
          <w:rFonts w:ascii="Times New Roman" w:hAnsi="Times New Roman" w:cs="Times New Roman" w:eastAsia="Times New Roman" w:hint="default"/>
        </w:rPr>
        <w:t>3 </w:t>
      </w:r>
      <w:r>
        <w:rPr/>
        <w:t>名。</w:t>
      </w:r>
    </w:p>
    <w:p>
      <w:pPr>
        <w:pStyle w:val="BodyText"/>
        <w:spacing w:line="586" w:lineRule="exact" w:before="66"/>
        <w:ind w:left="602" w:right="1443"/>
        <w:jc w:val="left"/>
      </w:pPr>
      <w:r>
        <w:rPr>
          <w:rFonts w:ascii="宋体" w:hAnsi="宋体" w:cs="宋体" w:eastAsia="宋体" w:hint="default"/>
          <w:b/>
          <w:bCs/>
          <w:spacing w:val="-1"/>
          <w:w w:val="99"/>
        </w:rPr>
        <w:t>刘祥南</w:t>
      </w:r>
      <w:r>
        <w:rPr>
          <w:spacing w:val="-1"/>
          <w:w w:val="99"/>
        </w:rPr>
        <w:t>，详见“第五节</w:t>
      </w:r>
      <w:r>
        <w:rPr>
          <w:w w:val="99"/>
        </w:rPr>
        <w:t> </w:t>
      </w:r>
      <w:r>
        <w:rPr>
          <w:spacing w:val="-11"/>
        </w:rPr>
        <w:t>四、（二）控股股东及实际控制人具体情况介绍”。</w:t>
      </w:r>
      <w:r>
        <w:rPr>
          <w:spacing w:val="-101"/>
        </w:rPr>
        <w:t> </w:t>
      </w:r>
      <w:r>
        <w:rPr>
          <w:spacing w:val="-101"/>
        </w:rPr>
      </w:r>
      <w:r>
        <w:rPr>
          <w:rFonts w:ascii="宋体" w:hAnsi="宋体" w:cs="宋体" w:eastAsia="宋体" w:hint="default"/>
          <w:b/>
          <w:bCs/>
          <w:spacing w:val="-1"/>
          <w:w w:val="99"/>
        </w:rPr>
        <w:t>郭永芳</w:t>
      </w:r>
      <w:r>
        <w:rPr>
          <w:spacing w:val="-1"/>
          <w:w w:val="99"/>
        </w:rPr>
        <w:t>，详见“第五节</w:t>
      </w:r>
      <w:r>
        <w:rPr>
          <w:w w:val="99"/>
        </w:rPr>
        <w:t> </w:t>
      </w:r>
      <w:r>
        <w:rPr>
          <w:spacing w:val="-11"/>
        </w:rPr>
        <w:t>四、（二）控股股东及实际控制人具体情况介绍”。</w:t>
      </w:r>
      <w:r>
        <w:rPr>
          <w:spacing w:val="-101"/>
        </w:rPr>
        <w:t> </w:t>
      </w:r>
      <w:r>
        <w:rPr>
          <w:spacing w:val="-101"/>
        </w:rPr>
      </w:r>
      <w:r>
        <w:rPr>
          <w:rFonts w:ascii="宋体" w:hAnsi="宋体" w:cs="宋体" w:eastAsia="宋体" w:hint="default"/>
          <w:b/>
          <w:bCs/>
          <w:w w:val="99"/>
        </w:rPr>
        <w:t>滕达</w:t>
      </w:r>
      <w:r>
        <w:rPr>
          <w:w w:val="99"/>
        </w:rPr>
        <w:t>，详见“第五节 </w:t>
      </w:r>
      <w:r>
        <w:rPr>
          <w:spacing w:val="-11"/>
        </w:rPr>
        <w:t>四、（二）控股股东及实际控制人具体情况介绍”。</w:t>
      </w:r>
      <w:r>
        <w:rPr>
          <w:spacing w:val="-105"/>
        </w:rPr>
        <w:t> </w:t>
      </w:r>
      <w:r>
        <w:rPr>
          <w:spacing w:val="-105"/>
        </w:rPr>
      </w:r>
      <w:r>
        <w:rPr>
          <w:rFonts w:ascii="宋体" w:hAnsi="宋体" w:cs="宋体" w:eastAsia="宋体" w:hint="default"/>
          <w:b/>
          <w:bCs/>
        </w:rPr>
        <w:t>李国林</w:t>
      </w:r>
      <w:r>
        <w:rPr/>
        <w:t>，男，</w:t>
      </w:r>
      <w:r>
        <w:rPr>
          <w:rFonts w:ascii="Times New Roman" w:hAnsi="Times New Roman" w:cs="Times New Roman" w:eastAsia="Times New Roman" w:hint="default"/>
        </w:rPr>
        <w:t>1968  </w:t>
      </w:r>
      <w:r>
        <w:rPr/>
        <w:t>年出生，中国国籍，无永久境外居留权。</w:t>
      </w:r>
      <w:r>
        <w:rPr>
          <w:rFonts w:ascii="Times New Roman" w:hAnsi="Times New Roman" w:cs="Times New Roman" w:eastAsia="Times New Roman" w:hint="default"/>
        </w:rPr>
        <w:t>2000</w:t>
      </w:r>
      <w:r>
        <w:rPr>
          <w:rFonts w:ascii="Times New Roman" w:hAnsi="Times New Roman" w:cs="Times New Roman" w:eastAsia="Times New Roman" w:hint="default"/>
          <w:spacing w:val="52"/>
        </w:rPr>
        <w:t> </w:t>
      </w:r>
      <w:r>
        <w:rPr/>
        <w:t>年至今任美</w:t>
      </w:r>
    </w:p>
    <w:p>
      <w:pPr>
        <w:pStyle w:val="BodyText"/>
        <w:spacing w:line="357" w:lineRule="auto" w:before="70"/>
        <w:ind w:left="120" w:right="1440"/>
        <w:jc w:val="left"/>
      </w:pPr>
      <w:r>
        <w:rPr/>
        <w:t>亚长城传媒（北京）有限公司（原西安美亚文化传播有限公司）董事长。现任公司 董事。</w:t>
      </w:r>
    </w:p>
    <w:p>
      <w:pPr>
        <w:pStyle w:val="BodyText"/>
        <w:spacing w:line="340" w:lineRule="auto" w:before="155"/>
        <w:ind w:left="119" w:right="1448" w:firstLine="482"/>
        <w:jc w:val="both"/>
      </w:pPr>
      <w:r>
        <w:rPr>
          <w:rFonts w:ascii="宋体" w:hAnsi="宋体" w:cs="宋体" w:eastAsia="宋体" w:hint="default"/>
          <w:b/>
          <w:bCs/>
          <w:spacing w:val="-2"/>
        </w:rPr>
        <w:t>郭东辉</w:t>
      </w:r>
      <w:r>
        <w:rPr>
          <w:spacing w:val="-2"/>
        </w:rPr>
        <w:t>，男，</w:t>
      </w:r>
      <w:r>
        <w:rPr>
          <w:rFonts w:ascii="Times New Roman" w:hAnsi="Times New Roman" w:cs="Times New Roman" w:eastAsia="Times New Roman" w:hint="default"/>
          <w:spacing w:val="-2"/>
        </w:rPr>
        <w:t>1967</w:t>
      </w:r>
      <w:r>
        <w:rPr>
          <w:rFonts w:ascii="Times New Roman" w:hAnsi="Times New Roman" w:cs="Times New Roman" w:eastAsia="Times New Roman" w:hint="default"/>
          <w:spacing w:val="4"/>
        </w:rPr>
        <w:t> </w:t>
      </w:r>
      <w:r>
        <w:rPr>
          <w:spacing w:val="-2"/>
        </w:rPr>
        <w:t>年出生，中国国籍，教授、博导，无永久境外居留权。</w:t>
      </w:r>
      <w:r>
        <w:rPr>
          <w:rFonts w:ascii="Times New Roman" w:hAnsi="Times New Roman" w:cs="Times New Roman" w:eastAsia="Times New Roman" w:hint="default"/>
          <w:spacing w:val="-2"/>
        </w:rPr>
        <w:t>1994</w:t>
      </w:r>
      <w:r>
        <w:rPr>
          <w:rFonts w:ascii="Times New Roman" w:hAnsi="Times New Roman" w:cs="Times New Roman" w:eastAsia="Times New Roman" w:hint="default"/>
        </w:rPr>
        <w:t> </w:t>
      </w:r>
      <w:r>
        <w:rPr/>
        <w:t>年获厦门大学物理系半导体物理与器件专业博士学位，开展“神经网络及其应用研 究”研究方向培养博士生。先后在香港城市大学电子工程系、英国</w:t>
      </w:r>
      <w:r>
        <w:rPr>
          <w:spacing w:val="-57"/>
        </w:rPr>
        <w:t> </w:t>
      </w:r>
      <w:r>
        <w:rPr>
          <w:rFonts w:ascii="Times New Roman" w:hAnsi="Times New Roman" w:cs="Times New Roman" w:eastAsia="Times New Roman" w:hint="default"/>
        </w:rPr>
        <w:t>Ulster</w:t>
      </w:r>
      <w:r>
        <w:rPr>
          <w:rFonts w:ascii="Times New Roman" w:hAnsi="Times New Roman" w:cs="Times New Roman" w:eastAsia="Times New Roman" w:hint="default"/>
          <w:spacing w:val="4"/>
        </w:rPr>
        <w:t> </w:t>
      </w:r>
      <w:r>
        <w:rPr/>
        <w:t>大学信息</w:t>
      </w:r>
      <w:r>
        <w:rPr>
          <w:spacing w:val="-1"/>
        </w:rPr>
        <w:t> </w:t>
      </w:r>
      <w:r>
        <w:rPr>
          <w:spacing w:val="10"/>
        </w:rPr>
        <w:t>学院、意大利国际高等研究学院、美国罗伦兹 </w:t>
      </w:r>
      <w:r>
        <w:rPr>
          <w:rFonts w:ascii="Times New Roman" w:hAnsi="Times New Roman" w:cs="Times New Roman" w:eastAsia="Times New Roman" w:hint="default"/>
        </w:rPr>
        <w:t>Berkeley</w:t>
      </w:r>
      <w:r>
        <w:rPr>
          <w:rFonts w:ascii="Times New Roman" w:hAnsi="Times New Roman" w:cs="Times New Roman" w:eastAsia="Times New Roman" w:hint="default"/>
          <w:spacing w:val="19"/>
        </w:rPr>
        <w:t> </w:t>
      </w:r>
      <w:r>
        <w:rPr>
          <w:spacing w:val="11"/>
        </w:rPr>
        <w:t>国家实验室、美国加州 </w:t>
      </w:r>
      <w:r>
        <w:rPr>
          <w:rFonts w:ascii="Times New Roman" w:hAnsi="Times New Roman" w:cs="Times New Roman" w:eastAsia="Times New Roman" w:hint="default"/>
        </w:rPr>
        <w:t>Berkeley</w:t>
      </w:r>
      <w:r>
        <w:rPr>
          <w:rFonts w:ascii="Times New Roman" w:hAnsi="Times New Roman" w:cs="Times New Roman" w:eastAsia="Times New Roman" w:hint="default"/>
          <w:spacing w:val="11"/>
        </w:rPr>
        <w:t> </w:t>
      </w:r>
      <w:r>
        <w:rPr/>
        <w:t>大学电子工程系做博士后和高级研究员，目前任厦门大学信息科学与技术</w:t>
      </w:r>
      <w:r>
        <w:rPr>
          <w:spacing w:val="-1"/>
        </w:rPr>
        <w:t> </w:t>
      </w:r>
      <w:r>
        <w:rPr/>
        <w:t>学院副院长。现任公司独立董事。</w:t>
      </w:r>
    </w:p>
    <w:p>
      <w:pPr>
        <w:pStyle w:val="BodyText"/>
        <w:spacing w:line="343" w:lineRule="auto" w:before="172"/>
        <w:ind w:left="120" w:right="1459" w:firstLine="482"/>
        <w:jc w:val="both"/>
      </w:pPr>
      <w:r>
        <w:rPr>
          <w:rFonts w:ascii="宋体" w:hAnsi="宋体" w:cs="宋体" w:eastAsia="宋体" w:hint="default"/>
          <w:b/>
          <w:bCs/>
          <w:spacing w:val="-2"/>
        </w:rPr>
        <w:t>陈汉文</w:t>
      </w:r>
      <w:r>
        <w:rPr>
          <w:spacing w:val="-2"/>
        </w:rPr>
        <w:t>，男，</w:t>
      </w:r>
      <w:r>
        <w:rPr>
          <w:rFonts w:ascii="Times New Roman" w:hAnsi="Times New Roman" w:cs="Times New Roman" w:eastAsia="Times New Roman" w:hint="default"/>
          <w:spacing w:val="-2"/>
        </w:rPr>
        <w:t>1968</w:t>
      </w:r>
      <w:r>
        <w:rPr>
          <w:rFonts w:ascii="Times New Roman" w:hAnsi="Times New Roman" w:cs="Times New Roman" w:eastAsia="Times New Roman" w:hint="default"/>
          <w:spacing w:val="5"/>
        </w:rPr>
        <w:t> </w:t>
      </w:r>
      <w:r>
        <w:rPr>
          <w:spacing w:val="-2"/>
        </w:rPr>
        <w:t>年出生，中国国籍，博士、教授，无永久境外居留权。</w:t>
      </w:r>
      <w:r>
        <w:rPr>
          <w:rFonts w:ascii="Times New Roman" w:hAnsi="Times New Roman" w:cs="Times New Roman" w:eastAsia="Times New Roman" w:hint="default"/>
          <w:spacing w:val="-2"/>
        </w:rPr>
        <w:t>2000</w:t>
      </w:r>
      <w:r>
        <w:rPr>
          <w:rFonts w:ascii="Times New Roman" w:hAnsi="Times New Roman" w:cs="Times New Roman" w:eastAsia="Times New Roman" w:hint="default"/>
        </w:rPr>
        <w:t> </w:t>
      </w:r>
      <w:r>
        <w:rPr/>
        <w:t>年至 </w:t>
      </w:r>
      <w:r>
        <w:rPr>
          <w:rFonts w:ascii="Times New Roman" w:hAnsi="Times New Roman" w:cs="Times New Roman" w:eastAsia="Times New Roman" w:hint="default"/>
        </w:rPr>
        <w:t>2001 </w:t>
      </w:r>
      <w:r>
        <w:rPr/>
        <w:t>年在加拿大圣玛丽大学和滑铁卢大学学术访问；</w:t>
      </w:r>
      <w:r>
        <w:rPr>
          <w:rFonts w:ascii="Times New Roman" w:hAnsi="Times New Roman" w:cs="Times New Roman" w:eastAsia="Times New Roman" w:hint="default"/>
        </w:rPr>
        <w:t>1997</w:t>
      </w:r>
      <w:r>
        <w:rPr>
          <w:rFonts w:ascii="Times New Roman" w:hAnsi="Times New Roman" w:cs="Times New Roman" w:eastAsia="Times New Roman" w:hint="default"/>
          <w:spacing w:val="-1"/>
        </w:rPr>
        <w:t> </w:t>
      </w:r>
      <w:r>
        <w:rPr/>
        <w:t>年至今任厦门大学 教授、厦门大学管理学院副院长。兼任中国审计学会常务理事、中国会计学会财务 成本分会副会长、中国金融会计学会专家委员会委员、福建省审计学会副会长、福</w:t>
      </w:r>
    </w:p>
    <w:p>
      <w:pPr>
        <w:spacing w:after="0" w:line="343" w:lineRule="auto"/>
        <w:jc w:val="both"/>
        <w:sectPr>
          <w:pgSz w:w="12240" w:h="15840"/>
          <w:pgMar w:header="0" w:footer="688" w:top="1360" w:bottom="880" w:left="1680" w:right="340"/>
        </w:sectPr>
      </w:pPr>
    </w:p>
    <w:p>
      <w:pPr>
        <w:pStyle w:val="BodyText"/>
        <w:spacing w:line="357" w:lineRule="auto" w:before="1"/>
        <w:ind w:right="119"/>
        <w:jc w:val="both"/>
      </w:pPr>
      <w:r>
        <w:rPr/>
        <w:t>建省内部审计协会副会长、财政部会计准则委员会咨询专家、审计署商业银行审计 指南评审专家等。现任公司独立董事。</w:t>
      </w:r>
    </w:p>
    <w:p>
      <w:pPr>
        <w:pStyle w:val="BodyText"/>
        <w:spacing w:line="350" w:lineRule="auto" w:before="155"/>
        <w:ind w:right="119" w:firstLine="482"/>
        <w:jc w:val="both"/>
      </w:pPr>
      <w:r>
        <w:rPr>
          <w:rFonts w:ascii="宋体" w:hAnsi="宋体" w:cs="宋体" w:eastAsia="宋体" w:hint="default"/>
          <w:b/>
          <w:bCs/>
          <w:spacing w:val="-3"/>
        </w:rPr>
        <w:t>陈少华</w:t>
      </w:r>
      <w:r>
        <w:rPr>
          <w:spacing w:val="-3"/>
        </w:rPr>
        <w:t>，男，</w:t>
      </w:r>
      <w:r>
        <w:rPr>
          <w:rFonts w:ascii="Times New Roman" w:hAnsi="Times New Roman" w:cs="Times New Roman" w:eastAsia="Times New Roman" w:hint="default"/>
          <w:spacing w:val="-3"/>
        </w:rPr>
        <w:t>1961</w:t>
      </w:r>
      <w:r>
        <w:rPr>
          <w:rFonts w:ascii="Times New Roman" w:hAnsi="Times New Roman" w:cs="Times New Roman" w:eastAsia="Times New Roman" w:hint="default"/>
          <w:spacing w:val="-36"/>
        </w:rPr>
        <w:t> </w:t>
      </w:r>
      <w:r>
        <w:rPr/>
        <w:t>年出生。厦门大学经济学（会计学）博士、加拿大达尔豪西 </w:t>
      </w:r>
      <w:r>
        <w:rPr>
          <w:spacing w:val="-3"/>
          <w:w w:val="99"/>
        </w:rPr>
        <w:t>大学工商管理硕士（</w:t>
      </w:r>
      <w:r>
        <w:rPr>
          <w:rFonts w:ascii="Times New Roman" w:hAnsi="Times New Roman" w:cs="Times New Roman" w:eastAsia="Times New Roman" w:hint="default"/>
          <w:spacing w:val="-3"/>
          <w:w w:val="99"/>
        </w:rPr>
        <w:t>MBA</w:t>
      </w:r>
      <w:r>
        <w:rPr>
          <w:spacing w:val="-3"/>
          <w:w w:val="99"/>
        </w:rPr>
        <w:t>）。现任厦门大学管理学院会计系教授、博士生导师、会</w:t>
      </w:r>
      <w:r>
        <w:rPr>
          <w:spacing w:val="-94"/>
          <w:w w:val="99"/>
        </w:rPr>
        <w:t> </w:t>
      </w:r>
      <w:r>
        <w:rPr>
          <w:spacing w:val="-94"/>
          <w:w w:val="99"/>
        </w:rPr>
      </w:r>
      <w:r>
        <w:rPr/>
        <w:t>计发展研究中心副主任；厦门外商投资企业会计协会会长、厦门总会计师协会副会 长；深圳天马微电子股份有限公司、福建南纺股份有限公司、福建纳川管材科技股 份有限公司、厦门三五互联科技股份有限公司、厦门美亚柏科信息股份有限公司独 立董事。曾任美国弗吉尼亚联邦大学访问教授；厦门大学会计师事务所、厦门永大 会计师事务所注册会计师；深圳中兴通讯股份有限公司独立董事。现任公司独立董 事。</w:t>
      </w:r>
    </w:p>
    <w:p>
      <w:pPr>
        <w:spacing w:line="240" w:lineRule="auto" w:before="8"/>
        <w:rPr>
          <w:rFonts w:ascii="宋体" w:hAnsi="宋体" w:cs="宋体" w:eastAsia="宋体" w:hint="default"/>
          <w:sz w:val="21"/>
          <w:szCs w:val="21"/>
        </w:rPr>
      </w:pPr>
    </w:p>
    <w:p>
      <w:pPr>
        <w:pStyle w:val="Heading3"/>
        <w:spacing w:line="240" w:lineRule="auto"/>
        <w:ind w:left="582" w:right="100"/>
        <w:jc w:val="left"/>
        <w:rPr>
          <w:b w:val="0"/>
          <w:bCs w:val="0"/>
        </w:rPr>
      </w:pPr>
      <w:r>
        <w:rPr>
          <w:rFonts w:ascii="Times New Roman" w:hAnsi="Times New Roman" w:cs="Times New Roman" w:eastAsia="Times New Roman" w:hint="default"/>
        </w:rPr>
        <w:t>2</w:t>
      </w:r>
      <w:r>
        <w:rPr/>
        <w:t>、监事</w:t>
      </w:r>
      <w:r>
        <w:rPr>
          <w:b w:val="0"/>
          <w:bCs w:val="0"/>
        </w:rPr>
      </w:r>
    </w:p>
    <w:p>
      <w:pPr>
        <w:spacing w:line="240" w:lineRule="auto" w:before="8"/>
        <w:rPr>
          <w:rFonts w:ascii="宋体" w:hAnsi="宋体" w:cs="宋体" w:eastAsia="宋体" w:hint="default"/>
          <w:b/>
          <w:bCs/>
          <w:sz w:val="28"/>
          <w:szCs w:val="28"/>
        </w:rPr>
      </w:pPr>
    </w:p>
    <w:p>
      <w:pPr>
        <w:pStyle w:val="BodyText"/>
        <w:spacing w:line="338" w:lineRule="auto"/>
        <w:ind w:right="119" w:firstLine="482"/>
        <w:jc w:val="right"/>
      </w:pPr>
      <w:r>
        <w:rPr>
          <w:rFonts w:ascii="宋体" w:hAnsi="宋体" w:cs="宋体" w:eastAsia="宋体" w:hint="default"/>
          <w:b/>
          <w:bCs/>
          <w:spacing w:val="-3"/>
        </w:rPr>
        <w:t>仲丽华</w:t>
      </w:r>
      <w:r>
        <w:rPr>
          <w:spacing w:val="-3"/>
        </w:rPr>
        <w:t>，女，</w:t>
      </w:r>
      <w:r>
        <w:rPr>
          <w:rFonts w:ascii="Times New Roman" w:hAnsi="Times New Roman" w:cs="Times New Roman" w:eastAsia="Times New Roman" w:hint="default"/>
          <w:spacing w:val="-3"/>
        </w:rPr>
        <w:t>1976</w:t>
      </w:r>
      <w:r>
        <w:rPr>
          <w:rFonts w:ascii="Times New Roman" w:hAnsi="Times New Roman" w:cs="Times New Roman" w:eastAsia="Times New Roman" w:hint="default"/>
          <w:spacing w:val="-38"/>
        </w:rPr>
        <w:t> </w:t>
      </w:r>
      <w:r>
        <w:rPr/>
        <w:t>年出生，中国国籍，硕士研究生学历，毕业于厦门大学，无 </w:t>
      </w:r>
      <w:r>
        <w:rPr>
          <w:spacing w:val="-3"/>
        </w:rPr>
        <w:t>永久境外居留权。</w:t>
      </w:r>
      <w:r>
        <w:rPr>
          <w:rFonts w:ascii="Times New Roman" w:hAnsi="Times New Roman" w:cs="Times New Roman" w:eastAsia="Times New Roman" w:hint="default"/>
          <w:spacing w:val="-3"/>
        </w:rPr>
        <w:t>2007</w:t>
      </w:r>
      <w:r>
        <w:rPr>
          <w:rFonts w:ascii="Times New Roman" w:hAnsi="Times New Roman" w:cs="Times New Roman" w:eastAsia="Times New Roman" w:hint="default"/>
          <w:spacing w:val="-8"/>
        </w:rPr>
        <w:t> </w:t>
      </w:r>
      <w:r>
        <w:rPr/>
        <w:t>年</w:t>
      </w:r>
      <w:r>
        <w:rPr>
          <w:spacing w:val="-68"/>
        </w:rPr>
        <w:t> </w:t>
      </w:r>
      <w:r>
        <w:rPr>
          <w:rFonts w:ascii="Times New Roman" w:hAnsi="Times New Roman" w:cs="Times New Roman" w:eastAsia="Times New Roman" w:hint="default"/>
        </w:rPr>
        <w:t>4</w:t>
      </w:r>
      <w:r>
        <w:rPr>
          <w:rFonts w:ascii="Times New Roman" w:hAnsi="Times New Roman" w:cs="Times New Roman" w:eastAsia="Times New Roman" w:hint="default"/>
          <w:spacing w:val="-8"/>
        </w:rPr>
        <w:t> </w:t>
      </w:r>
      <w:r>
        <w:rPr/>
        <w:t>月至今，历任厦门市美亚柏科信息股份有限公司中证研 究所网络维权部副经理、经理、法律数字服务中心副总监。现任公司监事会主席。</w:t>
      </w:r>
    </w:p>
    <w:p>
      <w:pPr>
        <w:pStyle w:val="BodyText"/>
        <w:spacing w:line="350" w:lineRule="auto" w:before="174"/>
        <w:ind w:right="119" w:firstLine="482"/>
        <w:jc w:val="both"/>
      </w:pPr>
      <w:r>
        <w:rPr>
          <w:rFonts w:ascii="宋体" w:hAnsi="宋体" w:cs="宋体" w:eastAsia="宋体" w:hint="default"/>
          <w:b/>
          <w:bCs/>
          <w:spacing w:val="-3"/>
        </w:rPr>
        <w:t>吴顺祥</w:t>
      </w:r>
      <w:r>
        <w:rPr>
          <w:spacing w:val="-3"/>
        </w:rPr>
        <w:t>，男，</w:t>
      </w:r>
      <w:r>
        <w:rPr>
          <w:rFonts w:ascii="Times New Roman" w:hAnsi="Times New Roman" w:cs="Times New Roman" w:eastAsia="Times New Roman" w:hint="default"/>
          <w:spacing w:val="-3"/>
        </w:rPr>
        <w:t>1967</w:t>
      </w:r>
      <w:r>
        <w:rPr>
          <w:rFonts w:ascii="Times New Roman" w:hAnsi="Times New Roman" w:cs="Times New Roman" w:eastAsia="Times New Roman" w:hint="default"/>
          <w:spacing w:val="-36"/>
        </w:rPr>
        <w:t> </w:t>
      </w:r>
      <w:r>
        <w:rPr/>
        <w:t>年出生，中国国籍，博士、教授、厦门大学模式识别与智能 系统研究所所长，无永久境外居留权。现为中国系统工程学会理事、中国计算机学 会高级会员，福建省系统工程学会副理事长和厦门市软科学研究会常务理事。现任 公司监事。</w:t>
      </w:r>
    </w:p>
    <w:p>
      <w:pPr>
        <w:pStyle w:val="BodyText"/>
        <w:spacing w:line="338" w:lineRule="auto" w:before="162"/>
        <w:ind w:right="117" w:firstLine="482"/>
        <w:jc w:val="both"/>
      </w:pPr>
      <w:r>
        <w:rPr>
          <w:rFonts w:ascii="宋体" w:hAnsi="宋体" w:cs="宋体" w:eastAsia="宋体" w:hint="default"/>
          <w:b/>
          <w:bCs/>
          <w:spacing w:val="2"/>
        </w:rPr>
        <w:t>高龙腾</w:t>
      </w:r>
      <w:r>
        <w:rPr>
          <w:spacing w:val="2"/>
        </w:rPr>
        <w:t>，男，</w:t>
      </w:r>
      <w:r>
        <w:rPr>
          <w:rFonts w:ascii="Times New Roman" w:hAnsi="Times New Roman" w:cs="Times New Roman" w:eastAsia="Times New Roman" w:hint="default"/>
          <w:spacing w:val="2"/>
        </w:rPr>
        <w:t>1977</w:t>
      </w:r>
      <w:r>
        <w:rPr>
          <w:rFonts w:ascii="Times New Roman" w:hAnsi="Times New Roman" w:cs="Times New Roman" w:eastAsia="Times New Roman" w:hint="default"/>
          <w:spacing w:val="11"/>
        </w:rPr>
        <w:t> </w:t>
      </w:r>
      <w:r>
        <w:rPr>
          <w:spacing w:val="2"/>
        </w:rPr>
        <w:t>年出生，中国国籍，本科学历，无永久境外居留权。</w:t>
      </w:r>
      <w:r>
        <w:rPr>
          <w:rFonts w:ascii="Times New Roman" w:hAnsi="Times New Roman" w:cs="Times New Roman" w:eastAsia="Times New Roman" w:hint="default"/>
          <w:spacing w:val="2"/>
        </w:rPr>
        <w:t>2000</w:t>
      </w:r>
      <w:r>
        <w:rPr>
          <w:rFonts w:ascii="Times New Roman" w:hAnsi="Times New Roman" w:cs="Times New Roman" w:eastAsia="Times New Roman" w:hint="default"/>
        </w:rPr>
        <w:t> </w:t>
      </w:r>
      <w:r>
        <w:rPr/>
        <w:t>年至</w:t>
      </w:r>
      <w:r>
        <w:rPr>
          <w:spacing w:val="-56"/>
        </w:rPr>
        <w:t> </w:t>
      </w:r>
      <w:r>
        <w:rPr>
          <w:rFonts w:ascii="Times New Roman" w:hAnsi="Times New Roman" w:cs="Times New Roman" w:eastAsia="Times New Roman" w:hint="default"/>
        </w:rPr>
        <w:t>2001</w:t>
      </w:r>
      <w:r>
        <w:rPr>
          <w:rFonts w:ascii="Times New Roman" w:hAnsi="Times New Roman" w:cs="Times New Roman" w:eastAsia="Times New Roman" w:hint="default"/>
          <w:spacing w:val="4"/>
        </w:rPr>
        <w:t> </w:t>
      </w:r>
      <w:r>
        <w:rPr>
          <w:spacing w:val="-3"/>
        </w:rPr>
        <w:t>年任厦门网巨网络科技有限公司软件开发项目经理；</w:t>
      </w:r>
      <w:r>
        <w:rPr>
          <w:rFonts w:ascii="Times New Roman" w:hAnsi="Times New Roman" w:cs="Times New Roman" w:eastAsia="Times New Roman" w:hint="default"/>
          <w:spacing w:val="-3"/>
        </w:rPr>
        <w:t>2001</w:t>
      </w:r>
      <w:r>
        <w:rPr>
          <w:rFonts w:ascii="Times New Roman" w:hAnsi="Times New Roman" w:cs="Times New Roman" w:eastAsia="Times New Roman" w:hint="default"/>
          <w:spacing w:val="4"/>
        </w:rPr>
        <w:t> </w:t>
      </w:r>
      <w:r>
        <w:rPr/>
        <w:t>年至</w:t>
      </w:r>
      <w:r>
        <w:rPr>
          <w:spacing w:val="-5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4"/>
        </w:rPr>
        <w:t> </w:t>
      </w:r>
      <w:r>
        <w:rPr/>
        <w:t>年任</w:t>
      </w:r>
    </w:p>
    <w:p>
      <w:pPr>
        <w:pStyle w:val="BodyText"/>
        <w:spacing w:line="338" w:lineRule="auto" w:before="25"/>
        <w:ind w:right="116"/>
        <w:jc w:val="both"/>
      </w:pPr>
      <w:r>
        <w:rPr/>
        <w:t>厦门信达网络科技有限公司技术部经理；</w:t>
      </w:r>
      <w:r>
        <w:rPr>
          <w:rFonts w:ascii="Times New Roman" w:hAnsi="Times New Roman" w:cs="Times New Roman" w:eastAsia="Times New Roman" w:hint="default"/>
        </w:rPr>
        <w:t>2004</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月至</w:t>
      </w:r>
      <w:r>
        <w:rPr>
          <w:spacing w:val="-52"/>
        </w:rPr>
        <w:t> </w:t>
      </w:r>
      <w:r>
        <w:rPr>
          <w:rFonts w:ascii="Times New Roman" w:hAnsi="Times New Roman" w:cs="Times New Roman" w:eastAsia="Times New Roman" w:hint="default"/>
        </w:rPr>
        <w:t>2005</w:t>
      </w:r>
      <w:r>
        <w:rPr>
          <w:rFonts w:ascii="Times New Roman" w:hAnsi="Times New Roman" w:cs="Times New Roman" w:eastAsia="Times New Roman" w:hint="default"/>
          <w:spacing w:val="8"/>
        </w:rPr>
        <w:t> </w:t>
      </w:r>
      <w:r>
        <w:rPr/>
        <w:t>年</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月，任厦门市 新热力科技有限公司</w:t>
      </w:r>
      <w:r>
        <w:rPr>
          <w:spacing w:val="-60"/>
        </w:rPr>
        <w:t> </w:t>
      </w:r>
      <w:r>
        <w:rPr>
          <w:rFonts w:ascii="Times New Roman" w:hAnsi="Times New Roman" w:cs="Times New Roman" w:eastAsia="Times New Roman" w:hint="default"/>
          <w:spacing w:val="-8"/>
        </w:rPr>
        <w:t>CEO</w:t>
      </w:r>
      <w:r>
        <w:rPr>
          <w:spacing w:val="-8"/>
        </w:rPr>
        <w:t>；</w:t>
      </w:r>
      <w:r>
        <w:rPr>
          <w:rFonts w:ascii="Times New Roman" w:hAnsi="Times New Roman" w:cs="Times New Roman" w:eastAsia="Times New Roman" w:hint="default"/>
          <w:spacing w:val="-8"/>
        </w:rPr>
        <w:t>2005</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10 </w:t>
      </w:r>
      <w:r>
        <w:rPr/>
        <w:t>月至</w:t>
      </w:r>
      <w:r>
        <w:rPr>
          <w:spacing w:val="-60"/>
        </w:rPr>
        <w:t> </w:t>
      </w:r>
      <w:r>
        <w:rPr>
          <w:rFonts w:ascii="Times New Roman" w:hAnsi="Times New Roman" w:cs="Times New Roman" w:eastAsia="Times New Roman" w:hint="default"/>
        </w:rPr>
        <w:t>2009 </w:t>
      </w:r>
      <w:r>
        <w:rPr>
          <w:spacing w:val="-4"/>
        </w:rPr>
        <w:t>年，任厦门市新热力科技有限公司</w:t>
      </w:r>
      <w:r>
        <w:rPr/>
        <w:t> </w:t>
      </w:r>
      <w:r>
        <w:rPr>
          <w:spacing w:val="-3"/>
        </w:rPr>
        <w:t>董事长兼总裁。</w:t>
      </w:r>
      <w:r>
        <w:rPr>
          <w:rFonts w:ascii="Times New Roman" w:hAnsi="Times New Roman" w:cs="Times New Roman" w:eastAsia="Times New Roman" w:hint="default"/>
          <w:spacing w:val="-3"/>
        </w:rPr>
        <w:t>2009 </w:t>
      </w:r>
      <w:r>
        <w:rPr>
          <w:spacing w:val="-4"/>
        </w:rPr>
        <w:t>年至今，任百大龙一（无锡）网络科技有限公司</w:t>
      </w:r>
      <w:r>
        <w:rPr>
          <w:spacing w:val="-28"/>
        </w:rPr>
        <w:t> </w:t>
      </w:r>
      <w:r>
        <w:rPr>
          <w:rFonts w:ascii="Times New Roman" w:hAnsi="Times New Roman" w:cs="Times New Roman" w:eastAsia="Times New Roman" w:hint="default"/>
          <w:spacing w:val="-5"/>
        </w:rPr>
        <w:t>CTO</w:t>
      </w:r>
      <w:r>
        <w:rPr>
          <w:spacing w:val="-5"/>
        </w:rPr>
        <w:t>。现任公</w:t>
      </w:r>
      <w:r>
        <w:rPr/>
        <w:t> 司监事。</w:t>
      </w:r>
    </w:p>
    <w:p>
      <w:pPr>
        <w:spacing w:after="0" w:line="338" w:lineRule="auto"/>
        <w:jc w:val="both"/>
        <w:sectPr>
          <w:pgSz w:w="12240" w:h="15840"/>
          <w:pgMar w:header="0" w:footer="688" w:top="1400" w:bottom="880" w:left="1700" w:right="1680"/>
        </w:sectPr>
      </w:pPr>
    </w:p>
    <w:p>
      <w:pPr>
        <w:pStyle w:val="Heading3"/>
        <w:spacing w:line="240" w:lineRule="auto" w:before="1"/>
        <w:ind w:left="582" w:right="114"/>
        <w:jc w:val="left"/>
        <w:rPr>
          <w:b w:val="0"/>
          <w:bCs w:val="0"/>
        </w:rPr>
      </w:pPr>
      <w:r>
        <w:rPr>
          <w:rFonts w:ascii="Times New Roman" w:hAnsi="Times New Roman" w:cs="Times New Roman" w:eastAsia="Times New Roman" w:hint="default"/>
        </w:rPr>
        <w:t>3</w:t>
      </w:r>
      <w:r>
        <w:rPr/>
        <w:t>、高级管理人员</w:t>
      </w:r>
      <w:r>
        <w:rPr>
          <w:b w:val="0"/>
          <w:bCs w:val="0"/>
        </w:rPr>
      </w:r>
    </w:p>
    <w:p>
      <w:pPr>
        <w:pStyle w:val="BodyText"/>
        <w:spacing w:line="600" w:lineRule="atLeast" w:before="88"/>
        <w:ind w:left="582" w:right="108"/>
        <w:jc w:val="left"/>
      </w:pPr>
      <w:r>
        <w:rPr>
          <w:rFonts w:ascii="宋体" w:hAnsi="宋体" w:cs="宋体" w:eastAsia="宋体" w:hint="default"/>
          <w:b/>
          <w:bCs/>
          <w:spacing w:val="-12"/>
          <w:w w:val="99"/>
        </w:rPr>
        <w:t>滕达</w:t>
      </w:r>
      <w:r>
        <w:rPr>
          <w:spacing w:val="-12"/>
          <w:w w:val="99"/>
        </w:rPr>
        <w:t>，总经理，详见“第五节</w:t>
      </w:r>
      <w:r>
        <w:rPr>
          <w:spacing w:val="11"/>
          <w:w w:val="99"/>
        </w:rPr>
        <w:t> </w:t>
      </w:r>
      <w:r>
        <w:rPr>
          <w:spacing w:val="-15"/>
        </w:rPr>
        <w:t>四、（二）控股股东及实际控制人具体情况介绍”。</w:t>
      </w:r>
      <w:r>
        <w:rPr/>
        <w:t> </w:t>
      </w:r>
      <w:r>
        <w:rPr>
          <w:rFonts w:ascii="宋体" w:hAnsi="宋体" w:cs="宋体" w:eastAsia="宋体" w:hint="default"/>
          <w:b/>
          <w:bCs/>
          <w:spacing w:val="-7"/>
        </w:rPr>
        <w:t>赵庸</w:t>
      </w:r>
      <w:r>
        <w:rPr>
          <w:spacing w:val="-7"/>
        </w:rPr>
        <w:t>，男，</w:t>
      </w:r>
      <w:r>
        <w:rPr>
          <w:rFonts w:ascii="Times New Roman" w:hAnsi="Times New Roman" w:cs="Times New Roman" w:eastAsia="Times New Roman" w:hint="default"/>
          <w:spacing w:val="-7"/>
        </w:rPr>
        <w:t>1968</w:t>
      </w:r>
      <w:r>
        <w:rPr>
          <w:rFonts w:ascii="Times New Roman" w:hAnsi="Times New Roman" w:cs="Times New Roman" w:eastAsia="Times New Roman" w:hint="default"/>
          <w:spacing w:val="11"/>
        </w:rPr>
        <w:t> </w:t>
      </w:r>
      <w:r>
        <w:rPr>
          <w:spacing w:val="-5"/>
        </w:rPr>
        <w:t>年出生，中国国籍，研究生学历、工程师，无永久境外居留权。</w:t>
      </w:r>
    </w:p>
    <w:p>
      <w:pPr>
        <w:pStyle w:val="BodyText"/>
        <w:spacing w:line="240" w:lineRule="auto" w:before="134"/>
        <w:ind w:right="0"/>
        <w:jc w:val="both"/>
        <w:rPr>
          <w:rFonts w:ascii="Times New Roman" w:hAnsi="Times New Roman" w:cs="Times New Roman" w:eastAsia="Times New Roman" w:hint="default"/>
        </w:rPr>
      </w:pPr>
      <w:r>
        <w:rPr>
          <w:rFonts w:ascii="Times New Roman" w:hAnsi="Times New Roman" w:cs="Times New Roman" w:eastAsia="Times New Roman" w:hint="default"/>
        </w:rPr>
        <w:t>1990 </w:t>
      </w:r>
      <w:r>
        <w:rPr/>
        <w:t>年</w:t>
      </w:r>
      <w:r>
        <w:rPr>
          <w:spacing w:val="-60"/>
        </w:rPr>
        <w:t> </w:t>
      </w:r>
      <w:r>
        <w:rPr>
          <w:rFonts w:ascii="Times New Roman" w:hAnsi="Times New Roman" w:cs="Times New Roman" w:eastAsia="Times New Roman" w:hint="default"/>
        </w:rPr>
        <w:t>7 </w:t>
      </w:r>
      <w:r>
        <w:rPr/>
        <w:t>月至</w:t>
      </w:r>
      <w:r>
        <w:rPr>
          <w:spacing w:val="-60"/>
        </w:rPr>
        <w:t> </w:t>
      </w:r>
      <w:r>
        <w:rPr>
          <w:rFonts w:ascii="Times New Roman" w:hAnsi="Times New Roman" w:cs="Times New Roman" w:eastAsia="Times New Roman" w:hint="default"/>
        </w:rPr>
        <w:t>2000 </w:t>
      </w:r>
      <w:r>
        <w:rPr/>
        <w:t>年</w:t>
      </w:r>
      <w:r>
        <w:rPr>
          <w:spacing w:val="-60"/>
        </w:rPr>
        <w:t> </w:t>
      </w:r>
      <w:r>
        <w:rPr>
          <w:rFonts w:ascii="Times New Roman" w:hAnsi="Times New Roman" w:cs="Times New Roman" w:eastAsia="Times New Roman" w:hint="default"/>
        </w:rPr>
        <w:t>8 </w:t>
      </w:r>
      <w:r>
        <w:rPr>
          <w:spacing w:val="-3"/>
        </w:rPr>
        <w:t>月，中国人民解放军青海省军区服役；</w:t>
      </w:r>
      <w:r>
        <w:rPr>
          <w:rFonts w:ascii="Times New Roman" w:hAnsi="Times New Roman" w:cs="Times New Roman" w:eastAsia="Times New Roman" w:hint="default"/>
          <w:spacing w:val="-3"/>
        </w:rPr>
        <w:t>2000</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9 </w:t>
      </w:r>
      <w:r>
        <w:rPr/>
        <w:t>月至</w:t>
      </w:r>
      <w:r>
        <w:rPr>
          <w:spacing w:val="-60"/>
        </w:rPr>
        <w:t> </w:t>
      </w:r>
      <w:r>
        <w:rPr>
          <w:rFonts w:ascii="Times New Roman" w:hAnsi="Times New Roman" w:cs="Times New Roman" w:eastAsia="Times New Roman" w:hint="default"/>
        </w:rPr>
        <w:t>2003</w:t>
      </w:r>
    </w:p>
    <w:p>
      <w:pPr>
        <w:pStyle w:val="BodyText"/>
        <w:spacing w:line="240" w:lineRule="auto" w:before="134"/>
        <w:ind w:right="0"/>
        <w:jc w:val="both"/>
      </w:pPr>
      <w:r>
        <w:rPr/>
        <w:t>年</w:t>
      </w:r>
      <w:r>
        <w:rPr>
          <w:spacing w:val="-60"/>
        </w:rPr>
        <w:t> </w:t>
      </w:r>
      <w:r>
        <w:rPr>
          <w:rFonts w:ascii="Times New Roman" w:hAnsi="Times New Roman" w:cs="Times New Roman" w:eastAsia="Times New Roman" w:hint="default"/>
        </w:rPr>
        <w:t>12 </w:t>
      </w:r>
      <w:r>
        <w:rPr>
          <w:spacing w:val="-3"/>
        </w:rPr>
        <w:t>月，就读解放军信息工程大学，获硕士学位；</w:t>
      </w:r>
      <w:r>
        <w:rPr>
          <w:rFonts w:ascii="Times New Roman" w:hAnsi="Times New Roman" w:cs="Times New Roman" w:eastAsia="Times New Roman" w:hint="default"/>
          <w:spacing w:val="-3"/>
        </w:rPr>
        <w:t>2004</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3 </w:t>
      </w:r>
      <w:r>
        <w:rPr/>
        <w:t>月至</w:t>
      </w:r>
      <w:r>
        <w:rPr>
          <w:spacing w:val="-60"/>
        </w:rPr>
        <w:t> </w:t>
      </w:r>
      <w:r>
        <w:rPr>
          <w:rFonts w:ascii="Times New Roman" w:hAnsi="Times New Roman" w:cs="Times New Roman" w:eastAsia="Times New Roman" w:hint="default"/>
        </w:rPr>
        <w:t>2005 </w:t>
      </w:r>
      <w:r>
        <w:rPr/>
        <w:t>年</w:t>
      </w:r>
      <w:r>
        <w:rPr>
          <w:spacing w:val="-60"/>
        </w:rPr>
        <w:t> </w:t>
      </w:r>
      <w:r>
        <w:rPr>
          <w:rFonts w:ascii="Times New Roman" w:hAnsi="Times New Roman" w:cs="Times New Roman" w:eastAsia="Times New Roman" w:hint="default"/>
        </w:rPr>
        <w:t>4 </w:t>
      </w:r>
      <w:r>
        <w:rPr>
          <w:spacing w:val="-5"/>
        </w:rPr>
        <w:t>月，任</w:t>
      </w:r>
    </w:p>
    <w:p>
      <w:pPr>
        <w:pStyle w:val="BodyText"/>
        <w:spacing w:line="350" w:lineRule="auto" w:before="134"/>
        <w:ind w:right="239"/>
        <w:jc w:val="both"/>
      </w:pPr>
      <w:r>
        <w:rPr/>
        <w:t>美亚柏科有限公司培训讲师、电子数据取证鉴定员；</w:t>
      </w: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年至</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月，任美 亚柏科有限公司副总经理；中国电子学会高级会员、中国电子学会计算机取证专家 委员会专家委员、福建警察学院客座教授；现任公司副总经理、福建中证司法鉴定 中心主任。</w:t>
      </w:r>
    </w:p>
    <w:p>
      <w:pPr>
        <w:pStyle w:val="BodyText"/>
        <w:spacing w:line="338" w:lineRule="auto" w:before="162"/>
        <w:ind w:right="110" w:firstLine="482"/>
        <w:jc w:val="left"/>
      </w:pPr>
      <w:r>
        <w:rPr>
          <w:rFonts w:ascii="宋体" w:hAnsi="宋体" w:cs="宋体" w:eastAsia="宋体" w:hint="default"/>
          <w:b/>
          <w:bCs/>
          <w:spacing w:val="-7"/>
        </w:rPr>
        <w:t>高峰</w:t>
      </w:r>
      <w:r>
        <w:rPr>
          <w:spacing w:val="-7"/>
        </w:rPr>
        <w:t>，男，</w:t>
      </w:r>
      <w:r>
        <w:rPr>
          <w:rFonts w:ascii="Times New Roman" w:hAnsi="Times New Roman" w:cs="Times New Roman" w:eastAsia="Times New Roman" w:hint="default"/>
          <w:spacing w:val="-7"/>
        </w:rPr>
        <w:t>1970</w:t>
      </w:r>
      <w:r>
        <w:rPr>
          <w:rFonts w:ascii="Times New Roman" w:hAnsi="Times New Roman" w:cs="Times New Roman" w:eastAsia="Times New Roman" w:hint="default"/>
          <w:spacing w:val="9"/>
        </w:rPr>
        <w:t> </w:t>
      </w:r>
      <w:r>
        <w:rPr>
          <w:spacing w:val="-5"/>
        </w:rPr>
        <w:t>年出生，中国国籍，研究生学历、工程师，无永久境外居留权。</w:t>
      </w:r>
      <w:r>
        <w:rPr/>
        <w:t> </w:t>
      </w:r>
      <w:r>
        <w:rPr>
          <w:rFonts w:ascii="Times New Roman" w:hAnsi="Times New Roman" w:cs="Times New Roman" w:eastAsia="Times New Roman" w:hint="default"/>
        </w:rPr>
        <w:t>1988 </w:t>
      </w:r>
      <w:r>
        <w:rPr/>
        <w:t>年至 </w:t>
      </w:r>
      <w:r>
        <w:rPr>
          <w:rFonts w:ascii="Times New Roman" w:hAnsi="Times New Roman" w:cs="Times New Roman" w:eastAsia="Times New Roman" w:hint="default"/>
        </w:rPr>
        <w:t>1992 </w:t>
      </w:r>
      <w:r>
        <w:rPr/>
        <w:t>年，就读大连理工大学获工程力学专业学士学位；</w:t>
      </w:r>
      <w:r>
        <w:rPr>
          <w:rFonts w:ascii="Times New Roman" w:hAnsi="Times New Roman" w:cs="Times New Roman" w:eastAsia="Times New Roman" w:hint="default"/>
        </w:rPr>
        <w:t>1992 </w:t>
      </w:r>
      <w:r>
        <w:rPr/>
        <w:t>年至</w:t>
      </w:r>
      <w:r>
        <w:rPr>
          <w:spacing w:val="60"/>
        </w:rPr>
        <w:t> </w:t>
      </w:r>
      <w:r>
        <w:rPr>
          <w:rFonts w:ascii="Times New Roman" w:hAnsi="Times New Roman" w:cs="Times New Roman" w:eastAsia="Times New Roman" w:hint="default"/>
        </w:rPr>
        <w:t>1996 </w:t>
      </w:r>
      <w:r>
        <w:rPr/>
        <w:t>年，任职哈尔滨市锅炉厂研究所；</w:t>
      </w:r>
      <w:r>
        <w:rPr>
          <w:rFonts w:ascii="Times New Roman" w:hAnsi="Times New Roman" w:cs="Times New Roman" w:eastAsia="Times New Roman" w:hint="default"/>
        </w:rPr>
        <w:t>1996 </w:t>
      </w:r>
      <w:r>
        <w:rPr/>
        <w:t>年至 </w:t>
      </w:r>
      <w:r>
        <w:rPr>
          <w:rFonts w:ascii="Times New Roman" w:hAnsi="Times New Roman" w:cs="Times New Roman" w:eastAsia="Times New Roman" w:hint="default"/>
        </w:rPr>
        <w:t>1999</w:t>
      </w:r>
      <w:r>
        <w:rPr>
          <w:rFonts w:ascii="Times New Roman" w:hAnsi="Times New Roman" w:cs="Times New Roman" w:eastAsia="Times New Roman" w:hint="default"/>
          <w:spacing w:val="-1"/>
        </w:rPr>
        <w:t> </w:t>
      </w:r>
      <w:r>
        <w:rPr/>
        <w:t>年就读哈尔滨工业大学获计算机 应用专业硕士学位；</w:t>
      </w:r>
      <w:r>
        <w:rPr>
          <w:rFonts w:ascii="Times New Roman" w:hAnsi="Times New Roman" w:cs="Times New Roman" w:eastAsia="Times New Roman" w:hint="default"/>
        </w:rPr>
        <w:t>2001</w:t>
      </w:r>
      <w:r>
        <w:rPr>
          <w:rFonts w:ascii="Times New Roman" w:hAnsi="Times New Roman" w:cs="Times New Roman" w:eastAsia="Times New Roman" w:hint="default"/>
          <w:spacing w:val="12"/>
        </w:rPr>
        <w:t> </w:t>
      </w:r>
      <w:r>
        <w:rPr/>
        <w:t>年至</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月，历任美亚柏科有限公司销售部经理、 副总经理。现任公司副总经理兼北京分公司总经理。</w:t>
      </w:r>
    </w:p>
    <w:p>
      <w:pPr>
        <w:pStyle w:val="BodyText"/>
        <w:spacing w:line="338" w:lineRule="auto" w:before="174"/>
        <w:ind w:right="222" w:firstLine="482"/>
        <w:jc w:val="left"/>
        <w:rPr>
          <w:rFonts w:ascii="Times New Roman" w:hAnsi="Times New Roman" w:cs="Times New Roman" w:eastAsia="Times New Roman" w:hint="default"/>
        </w:rPr>
      </w:pPr>
      <w:r>
        <w:rPr>
          <w:rFonts w:ascii="宋体" w:hAnsi="宋体" w:cs="宋体" w:eastAsia="宋体" w:hint="default"/>
          <w:b/>
          <w:bCs/>
          <w:spacing w:val="2"/>
        </w:rPr>
        <w:t>黄基鹏</w:t>
      </w:r>
      <w:r>
        <w:rPr>
          <w:spacing w:val="2"/>
        </w:rPr>
        <w:t>，男，</w:t>
      </w:r>
      <w:r>
        <w:rPr>
          <w:rFonts w:ascii="Times New Roman" w:hAnsi="Times New Roman" w:cs="Times New Roman" w:eastAsia="Times New Roman" w:hint="default"/>
          <w:spacing w:val="2"/>
        </w:rPr>
        <w:t>1960</w:t>
      </w:r>
      <w:r>
        <w:rPr>
          <w:rFonts w:ascii="Times New Roman" w:hAnsi="Times New Roman" w:cs="Times New Roman" w:eastAsia="Times New Roman" w:hint="default"/>
          <w:spacing w:val="11"/>
        </w:rPr>
        <w:t> </w:t>
      </w:r>
      <w:r>
        <w:rPr>
          <w:spacing w:val="2"/>
        </w:rPr>
        <w:t>年出生，中国国籍，大专学历，无永久境外居留权。</w:t>
      </w:r>
      <w:r>
        <w:rPr>
          <w:rFonts w:ascii="Times New Roman" w:hAnsi="Times New Roman" w:cs="Times New Roman" w:eastAsia="Times New Roman" w:hint="default"/>
          <w:spacing w:val="2"/>
        </w:rPr>
        <w:t>1982</w:t>
      </w:r>
      <w:r>
        <w:rPr>
          <w:rFonts w:ascii="Times New Roman" w:hAnsi="Times New Roman" w:cs="Times New Roman" w:eastAsia="Times New Roman" w:hint="default"/>
        </w:rPr>
        <w:t> </w:t>
      </w:r>
      <w:r>
        <w:rPr/>
        <w:t>年至</w:t>
      </w:r>
      <w:r>
        <w:rPr>
          <w:spacing w:val="-64"/>
        </w:rPr>
        <w:t> </w:t>
      </w:r>
      <w:r>
        <w:rPr>
          <w:rFonts w:ascii="Times New Roman" w:hAnsi="Times New Roman" w:cs="Times New Roman" w:eastAsia="Times New Roman" w:hint="default"/>
        </w:rPr>
        <w:t>1985</w:t>
      </w:r>
      <w:r>
        <w:rPr>
          <w:rFonts w:ascii="Times New Roman" w:hAnsi="Times New Roman" w:cs="Times New Roman" w:eastAsia="Times New Roman" w:hint="default"/>
          <w:spacing w:val="-4"/>
        </w:rPr>
        <w:t> </w:t>
      </w:r>
      <w:r>
        <w:rPr>
          <w:spacing w:val="-3"/>
        </w:rPr>
        <w:t>年任中国旅行社职员；</w:t>
      </w:r>
      <w:r>
        <w:rPr>
          <w:rFonts w:ascii="Times New Roman" w:hAnsi="Times New Roman" w:cs="Times New Roman" w:eastAsia="Times New Roman" w:hint="default"/>
          <w:spacing w:val="-3"/>
        </w:rPr>
        <w:t>1986</w:t>
      </w:r>
      <w:r>
        <w:rPr>
          <w:rFonts w:ascii="Times New Roman" w:hAnsi="Times New Roman" w:cs="Times New Roman" w:eastAsia="Times New Roman" w:hint="default"/>
          <w:spacing w:val="-4"/>
        </w:rPr>
        <w:t> </w:t>
      </w:r>
      <w:r>
        <w:rPr/>
        <w:t>年至</w:t>
      </w:r>
      <w:r>
        <w:rPr>
          <w:spacing w:val="-64"/>
        </w:rPr>
        <w:t> </w:t>
      </w:r>
      <w:r>
        <w:rPr>
          <w:rFonts w:ascii="Times New Roman" w:hAnsi="Times New Roman" w:cs="Times New Roman" w:eastAsia="Times New Roman" w:hint="default"/>
        </w:rPr>
        <w:t>1990</w:t>
      </w:r>
      <w:r>
        <w:rPr>
          <w:rFonts w:ascii="Times New Roman" w:hAnsi="Times New Roman" w:cs="Times New Roman" w:eastAsia="Times New Roman" w:hint="default"/>
          <w:spacing w:val="-4"/>
        </w:rPr>
        <w:t> </w:t>
      </w:r>
      <w:r>
        <w:rPr/>
        <w:t>年任福建闽东电机公司职员；</w:t>
      </w:r>
      <w:r>
        <w:rPr>
          <w:rFonts w:ascii="Times New Roman" w:hAnsi="Times New Roman" w:cs="Times New Roman" w:eastAsia="Times New Roman" w:hint="default"/>
        </w:rPr>
        <w:t>1990</w:t>
      </w:r>
    </w:p>
    <w:p>
      <w:pPr>
        <w:pStyle w:val="BodyText"/>
        <w:spacing w:line="240" w:lineRule="auto" w:before="25"/>
        <w:ind w:right="0"/>
        <w:jc w:val="both"/>
      </w:pPr>
      <w:r>
        <w:rPr/>
        <w:t>年至</w:t>
      </w:r>
      <w:r>
        <w:rPr>
          <w:spacing w:val="-60"/>
        </w:rPr>
        <w:t> </w:t>
      </w:r>
      <w:r>
        <w:rPr>
          <w:rFonts w:ascii="Times New Roman" w:hAnsi="Times New Roman" w:cs="Times New Roman" w:eastAsia="Times New Roman" w:hint="default"/>
        </w:rPr>
        <w:t>1995 </w:t>
      </w:r>
      <w:r>
        <w:rPr>
          <w:spacing w:val="-3"/>
        </w:rPr>
        <w:t>年任厦门长荣科技有限公司副经理；</w:t>
      </w:r>
      <w:r>
        <w:rPr>
          <w:rFonts w:ascii="Times New Roman" w:hAnsi="Times New Roman" w:cs="Times New Roman" w:eastAsia="Times New Roman" w:hint="default"/>
          <w:spacing w:val="-3"/>
        </w:rPr>
        <w:t>1996</w:t>
      </w:r>
      <w:r>
        <w:rPr>
          <w:rFonts w:ascii="Times New Roman" w:hAnsi="Times New Roman" w:cs="Times New Roman" w:eastAsia="Times New Roman" w:hint="default"/>
        </w:rPr>
        <w:t> </w:t>
      </w:r>
      <w:r>
        <w:rPr/>
        <w:t>年至</w:t>
      </w:r>
      <w:r>
        <w:rPr>
          <w:spacing w:val="-60"/>
        </w:rPr>
        <w:t> </w:t>
      </w:r>
      <w:r>
        <w:rPr>
          <w:rFonts w:ascii="Times New Roman" w:hAnsi="Times New Roman" w:cs="Times New Roman" w:eastAsia="Times New Roman" w:hint="default"/>
        </w:rPr>
        <w:t>2001 </w:t>
      </w:r>
      <w:r>
        <w:rPr/>
        <w:t>年任厦门喜盈门工贸</w:t>
      </w:r>
    </w:p>
    <w:p>
      <w:pPr>
        <w:pStyle w:val="BodyText"/>
        <w:spacing w:line="338" w:lineRule="auto" w:before="134"/>
        <w:ind w:right="239"/>
        <w:jc w:val="both"/>
      </w:pPr>
      <w:r>
        <w:rPr/>
        <w:t>有限公司副经理；</w:t>
      </w:r>
      <w:r>
        <w:rPr>
          <w:rFonts w:ascii="Times New Roman" w:hAnsi="Times New Roman" w:cs="Times New Roman" w:eastAsia="Times New Roman" w:hint="default"/>
        </w:rPr>
        <w:t>2001</w:t>
      </w:r>
      <w:r>
        <w:rPr>
          <w:rFonts w:ascii="Times New Roman" w:hAnsi="Times New Roman" w:cs="Times New Roman" w:eastAsia="Times New Roman" w:hint="default"/>
          <w:spacing w:val="12"/>
        </w:rPr>
        <w:t> </w:t>
      </w:r>
      <w:r>
        <w:rPr/>
        <w:t>年至</w:t>
      </w:r>
      <w:r>
        <w:rPr>
          <w:spacing w:val="-48"/>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月，任美亚柏科有限公司副总经理；现任公 司副总经理。</w:t>
      </w:r>
    </w:p>
    <w:p>
      <w:pPr>
        <w:pStyle w:val="BodyText"/>
        <w:spacing w:line="338" w:lineRule="auto" w:before="174"/>
        <w:ind w:right="220" w:firstLine="482"/>
        <w:jc w:val="left"/>
      </w:pPr>
      <w:r>
        <w:rPr>
          <w:rFonts w:ascii="宋体" w:hAnsi="宋体" w:cs="宋体" w:eastAsia="宋体" w:hint="default"/>
          <w:b/>
          <w:bCs/>
        </w:rPr>
        <w:t>申强</w:t>
      </w:r>
      <w:r>
        <w:rPr/>
        <w:t>，男，</w:t>
      </w:r>
      <w:r>
        <w:rPr>
          <w:rFonts w:ascii="Times New Roman" w:hAnsi="Times New Roman" w:cs="Times New Roman" w:eastAsia="Times New Roman" w:hint="default"/>
        </w:rPr>
        <w:t>1969 </w:t>
      </w:r>
      <w:r>
        <w:rPr/>
        <w:t>年出生，中国国籍，本科学历，无永久境外居留权。</w:t>
      </w:r>
      <w:r>
        <w:rPr>
          <w:rFonts w:ascii="Times New Roman" w:hAnsi="Times New Roman" w:cs="Times New Roman" w:eastAsia="Times New Roman" w:hint="default"/>
        </w:rPr>
        <w:t>1992</w:t>
      </w:r>
      <w:r>
        <w:rPr>
          <w:rFonts w:ascii="Times New Roman" w:hAnsi="Times New Roman" w:cs="Times New Roman" w:eastAsia="Times New Roman" w:hint="default"/>
          <w:spacing w:val="54"/>
        </w:rPr>
        <w:t> </w:t>
      </w:r>
      <w:r>
        <w:rPr/>
        <w:t>年 毕业于西北师范大学外语系；</w:t>
      </w:r>
      <w:r>
        <w:rPr>
          <w:rFonts w:ascii="Times New Roman" w:hAnsi="Times New Roman" w:cs="Times New Roman" w:eastAsia="Times New Roman" w:hint="default"/>
        </w:rPr>
        <w:t>1992 </w:t>
      </w:r>
      <w:r>
        <w:rPr/>
        <w:t>年</w:t>
      </w:r>
      <w:r>
        <w:rPr>
          <w:spacing w:val="-60"/>
        </w:rPr>
        <w:t> </w:t>
      </w:r>
      <w:r>
        <w:rPr>
          <w:rFonts w:ascii="Times New Roman" w:hAnsi="Times New Roman" w:cs="Times New Roman" w:eastAsia="Times New Roman" w:hint="default"/>
        </w:rPr>
        <w:t>7 </w:t>
      </w:r>
      <w:r>
        <w:rPr/>
        <w:t>月至</w:t>
      </w:r>
      <w:r>
        <w:rPr>
          <w:spacing w:val="-60"/>
        </w:rPr>
        <w:t> </w:t>
      </w:r>
      <w:r>
        <w:rPr>
          <w:rFonts w:ascii="Times New Roman" w:hAnsi="Times New Roman" w:cs="Times New Roman" w:eastAsia="Times New Roman" w:hint="default"/>
        </w:rPr>
        <w:t>1994 </w:t>
      </w:r>
      <w:r>
        <w:rPr/>
        <w:t>年</w:t>
      </w:r>
      <w:r>
        <w:rPr>
          <w:spacing w:val="-60"/>
        </w:rPr>
        <w:t> </w:t>
      </w:r>
      <w:r>
        <w:rPr>
          <w:rFonts w:ascii="Times New Roman" w:hAnsi="Times New Roman" w:cs="Times New Roman" w:eastAsia="Times New Roman" w:hint="default"/>
        </w:rPr>
        <w:t>4  </w:t>
      </w:r>
      <w:r>
        <w:rPr/>
        <w:t>月西北师大外事办任助理翻</w:t>
      </w:r>
    </w:p>
    <w:p>
      <w:pPr>
        <w:pStyle w:val="BodyText"/>
        <w:spacing w:line="240" w:lineRule="auto" w:before="25"/>
        <w:ind w:right="0"/>
        <w:jc w:val="both"/>
      </w:pPr>
      <w:r>
        <w:rPr/>
        <w:t>译；</w:t>
      </w:r>
      <w:r>
        <w:rPr>
          <w:rFonts w:ascii="Times New Roman" w:hAnsi="Times New Roman" w:cs="Times New Roman" w:eastAsia="Times New Roman" w:hint="default"/>
        </w:rPr>
        <w:t>2001</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t>月至</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8</w:t>
      </w:r>
      <w:r>
        <w:rPr>
          <w:rFonts w:ascii="Times New Roman" w:hAnsi="Times New Roman" w:cs="Times New Roman" w:eastAsia="Times New Roman" w:hint="default"/>
          <w:spacing w:val="58"/>
        </w:rPr>
        <w:t> </w:t>
      </w:r>
      <w:r>
        <w:rPr/>
        <w:t>月任厦门市佳思科技有限公司总经理；</w:t>
      </w:r>
      <w:r>
        <w:rPr>
          <w:rFonts w:ascii="Times New Roman" w:hAnsi="Times New Roman" w:cs="Times New Roman" w:eastAsia="Times New Roman" w:hint="default"/>
        </w:rPr>
        <w:t>2006</w:t>
      </w:r>
      <w:r>
        <w:rPr>
          <w:rFonts w:ascii="Times New Roman" w:hAnsi="Times New Roman" w:cs="Times New Roman" w:eastAsia="Times New Roman" w:hint="default"/>
          <w:spacing w:val="7"/>
        </w:rPr>
        <w:t> </w:t>
      </w:r>
      <w:r>
        <w:rPr/>
        <w:t>年</w:t>
      </w:r>
      <w:r>
        <w:rPr>
          <w:spacing w:val="-53"/>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t>月</w:t>
      </w:r>
    </w:p>
    <w:p>
      <w:pPr>
        <w:pStyle w:val="BodyText"/>
        <w:spacing w:line="338" w:lineRule="auto" w:before="134"/>
        <w:ind w:right="236"/>
        <w:jc w:val="both"/>
      </w:pPr>
      <w:r>
        <w:rPr/>
        <w:t>至</w:t>
      </w:r>
      <w:r>
        <w:rPr>
          <w:spacing w:val="-5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spacing w:val="-4"/>
        </w:rPr>
        <w:t>月，历任美亚柏科有限公司营销中心总监、副总经理；现任公司常务副</w:t>
      </w:r>
      <w:r>
        <w:rPr/>
        <w:t> 总经理。</w:t>
      </w:r>
    </w:p>
    <w:p>
      <w:pPr>
        <w:spacing w:after="0" w:line="338" w:lineRule="auto"/>
        <w:jc w:val="both"/>
        <w:sectPr>
          <w:pgSz w:w="12240" w:h="15840"/>
          <w:pgMar w:header="0" w:footer="688" w:top="1400" w:bottom="880" w:left="1700" w:right="1560"/>
        </w:sectPr>
      </w:pPr>
    </w:p>
    <w:p>
      <w:pPr>
        <w:pStyle w:val="BodyText"/>
        <w:spacing w:line="338" w:lineRule="auto" w:before="1"/>
        <w:ind w:left="120" w:right="237" w:firstLine="482"/>
        <w:jc w:val="both"/>
      </w:pPr>
      <w:r>
        <w:rPr>
          <w:rFonts w:ascii="宋体" w:hAnsi="宋体" w:cs="宋体" w:eastAsia="宋体" w:hint="default"/>
          <w:b/>
          <w:bCs/>
          <w:spacing w:val="2"/>
        </w:rPr>
        <w:t>张雪峰</w:t>
      </w:r>
      <w:r>
        <w:rPr>
          <w:spacing w:val="2"/>
        </w:rPr>
        <w:t>，男，</w:t>
      </w:r>
      <w:r>
        <w:rPr>
          <w:rFonts w:ascii="Times New Roman" w:hAnsi="Times New Roman" w:cs="Times New Roman" w:eastAsia="Times New Roman" w:hint="default"/>
          <w:spacing w:val="2"/>
        </w:rPr>
        <w:t>1974</w:t>
      </w:r>
      <w:r>
        <w:rPr>
          <w:rFonts w:ascii="Times New Roman" w:hAnsi="Times New Roman" w:cs="Times New Roman" w:eastAsia="Times New Roman" w:hint="default"/>
          <w:spacing w:val="11"/>
        </w:rPr>
        <w:t> </w:t>
      </w:r>
      <w:r>
        <w:rPr>
          <w:spacing w:val="2"/>
        </w:rPr>
        <w:t>年出生，中国国籍，本科学历，无永久境外居留权。</w:t>
      </w:r>
      <w:r>
        <w:rPr>
          <w:rFonts w:ascii="Times New Roman" w:hAnsi="Times New Roman" w:cs="Times New Roman" w:eastAsia="Times New Roman" w:hint="default"/>
          <w:spacing w:val="2"/>
        </w:rPr>
        <w:t>1997</w:t>
      </w:r>
      <w:r>
        <w:rPr>
          <w:rFonts w:ascii="Times New Roman" w:hAnsi="Times New Roman" w:cs="Times New Roman" w:eastAsia="Times New Roman" w:hint="default"/>
        </w:rPr>
        <w:t> </w:t>
      </w:r>
      <w:r>
        <w:rPr/>
        <w:t>年至</w:t>
      </w:r>
      <w:r>
        <w:rPr>
          <w:spacing w:val="-5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4"/>
        </w:rPr>
        <w:t> </w:t>
      </w:r>
      <w:r>
        <w:rPr>
          <w:spacing w:val="-3"/>
        </w:rPr>
        <w:t>年，历任厦门智业软件公司项目经理与销售副总经理；</w:t>
      </w:r>
      <w:r>
        <w:rPr>
          <w:rFonts w:ascii="Times New Roman" w:hAnsi="Times New Roman" w:cs="Times New Roman" w:eastAsia="Times New Roman" w:hint="default"/>
          <w:spacing w:val="-3"/>
        </w:rPr>
        <w:t>2002</w:t>
      </w:r>
      <w:r>
        <w:rPr>
          <w:rFonts w:ascii="Times New Roman" w:hAnsi="Times New Roman" w:cs="Times New Roman" w:eastAsia="Times New Roman" w:hint="default"/>
          <w:spacing w:val="4"/>
        </w:rPr>
        <w:t> </w:t>
      </w:r>
      <w:r>
        <w:rPr/>
        <w:t>年至</w:t>
      </w:r>
      <w:r>
        <w:rPr>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t>年</w:t>
      </w:r>
    </w:p>
    <w:p>
      <w:pPr>
        <w:pStyle w:val="BodyText"/>
        <w:spacing w:line="424" w:lineRule="auto" w:before="25"/>
        <w:ind w:left="602" w:right="223" w:hanging="483"/>
        <w:jc w:val="left"/>
      </w:pPr>
      <w:r>
        <w:rPr>
          <w:rFonts w:ascii="Times New Roman" w:hAnsi="Times New Roman" w:cs="Times New Roman" w:eastAsia="Times New Roman" w:hint="default"/>
        </w:rPr>
        <w:t>9 </w:t>
      </w:r>
      <w:r>
        <w:rPr/>
        <w:t>月历任美亚柏科有限公司硬件研制中心总监、副总经理；现任公司副总经理。 </w:t>
      </w:r>
      <w:r>
        <w:rPr>
          <w:rFonts w:ascii="宋体" w:hAnsi="宋体" w:cs="宋体" w:eastAsia="宋体" w:hint="default"/>
          <w:b/>
          <w:bCs/>
          <w:spacing w:val="-3"/>
        </w:rPr>
        <w:t>吴鸿伟</w:t>
      </w:r>
      <w:r>
        <w:rPr>
          <w:spacing w:val="-3"/>
        </w:rPr>
        <w:t>，男，</w:t>
      </w:r>
      <w:r>
        <w:rPr>
          <w:rFonts w:ascii="Times New Roman" w:hAnsi="Times New Roman" w:cs="Times New Roman" w:eastAsia="Times New Roman" w:hint="default"/>
          <w:spacing w:val="-3"/>
        </w:rPr>
        <w:t>1976</w:t>
      </w:r>
      <w:r>
        <w:rPr>
          <w:rFonts w:ascii="Times New Roman" w:hAnsi="Times New Roman" w:cs="Times New Roman" w:eastAsia="Times New Roman" w:hint="default"/>
          <w:spacing w:val="-38"/>
        </w:rPr>
        <w:t> </w:t>
      </w:r>
      <w:r>
        <w:rPr/>
        <w:t>年出生，中国国籍，研究生学历、系统分析员，无永久境外</w:t>
      </w:r>
    </w:p>
    <w:p>
      <w:pPr>
        <w:pStyle w:val="BodyText"/>
        <w:spacing w:line="262" w:lineRule="exact"/>
        <w:ind w:left="120" w:right="105"/>
        <w:jc w:val="left"/>
      </w:pPr>
      <w:r>
        <w:rPr/>
        <w:t>居留权。</w:t>
      </w:r>
      <w:r>
        <w:rPr>
          <w:rFonts w:ascii="Times New Roman" w:hAnsi="Times New Roman" w:cs="Times New Roman" w:eastAsia="Times New Roman" w:hint="default"/>
        </w:rPr>
        <w:t>2004 </w:t>
      </w:r>
      <w:r>
        <w:rPr/>
        <w:t>年毕业于厦门大学系统工程专业。</w:t>
      </w:r>
      <w:r>
        <w:rPr>
          <w:rFonts w:ascii="Times New Roman" w:hAnsi="Times New Roman" w:cs="Times New Roman" w:eastAsia="Times New Roman" w:hint="default"/>
        </w:rPr>
        <w:t>2004 </w:t>
      </w:r>
      <w:r>
        <w:rPr/>
        <w:t>至</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9 </w:t>
      </w:r>
      <w:r>
        <w:rPr/>
        <w:t>月，历任美亚柏</w:t>
      </w:r>
    </w:p>
    <w:p>
      <w:pPr>
        <w:pStyle w:val="BodyText"/>
        <w:spacing w:line="240" w:lineRule="auto" w:before="134"/>
        <w:ind w:left="120" w:right="221"/>
        <w:jc w:val="left"/>
      </w:pPr>
      <w:r>
        <w:rPr/>
        <w:t>科有限公司技术总监、副总经理；现任公司副总经理。</w:t>
      </w:r>
    </w:p>
    <w:p>
      <w:pPr>
        <w:spacing w:line="240" w:lineRule="auto" w:before="11"/>
        <w:rPr>
          <w:rFonts w:ascii="宋体" w:hAnsi="宋体" w:cs="宋体" w:eastAsia="宋体" w:hint="default"/>
          <w:sz w:val="20"/>
          <w:szCs w:val="20"/>
        </w:rPr>
      </w:pPr>
    </w:p>
    <w:p>
      <w:pPr>
        <w:pStyle w:val="BodyText"/>
        <w:spacing w:line="338" w:lineRule="auto"/>
        <w:ind w:left="119" w:right="105" w:firstLine="482"/>
        <w:jc w:val="left"/>
      </w:pPr>
      <w:r>
        <w:rPr>
          <w:rFonts w:ascii="宋体" w:hAnsi="宋体" w:cs="宋体" w:eastAsia="宋体" w:hint="default"/>
          <w:b/>
          <w:bCs/>
          <w:spacing w:val="-3"/>
        </w:rPr>
        <w:t>丛艳芬</w:t>
      </w:r>
      <w:r>
        <w:rPr>
          <w:spacing w:val="-3"/>
        </w:rPr>
        <w:t>，女，</w:t>
      </w:r>
      <w:r>
        <w:rPr>
          <w:rFonts w:ascii="Times New Roman" w:hAnsi="Times New Roman" w:cs="Times New Roman" w:eastAsia="Times New Roman" w:hint="default"/>
          <w:spacing w:val="-3"/>
        </w:rPr>
        <w:t>1969</w:t>
      </w:r>
      <w:r>
        <w:rPr>
          <w:rFonts w:ascii="Times New Roman" w:hAnsi="Times New Roman" w:cs="Times New Roman" w:eastAsia="Times New Roman" w:hint="default"/>
          <w:spacing w:val="-13"/>
        </w:rPr>
        <w:t> </w:t>
      </w:r>
      <w:r>
        <w:rPr/>
        <w:t>年出生，中国国籍，研究生学历，无永久境外居留权。</w:t>
      </w:r>
      <w:r>
        <w:rPr>
          <w:rFonts w:ascii="Times New Roman" w:hAnsi="Times New Roman" w:cs="Times New Roman" w:eastAsia="Times New Roman" w:hint="default"/>
        </w:rPr>
        <w:t>1992 </w:t>
      </w:r>
      <w:r>
        <w:rPr/>
        <w:t>年</w:t>
      </w:r>
      <w:r>
        <w:rPr>
          <w:spacing w:val="-65"/>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t>月至</w:t>
      </w:r>
      <w:r>
        <w:rPr>
          <w:spacing w:val="-65"/>
        </w:rPr>
        <w:t> </w:t>
      </w:r>
      <w:r>
        <w:rPr>
          <w:rFonts w:ascii="Times New Roman" w:hAnsi="Times New Roman" w:cs="Times New Roman" w:eastAsia="Times New Roman" w:hint="default"/>
        </w:rPr>
        <w:t>1999</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spacing w:val="-6"/>
        </w:rPr>
        <w:t>月任厦门必可电子有限公司总经理秘书；</w:t>
      </w:r>
      <w:r>
        <w:rPr>
          <w:rFonts w:ascii="Times New Roman" w:hAnsi="Times New Roman" w:cs="Times New Roman" w:eastAsia="Times New Roman" w:hint="default"/>
          <w:spacing w:val="-6"/>
        </w:rPr>
        <w:t>1999</w:t>
      </w:r>
      <w:r>
        <w:rPr>
          <w:rFonts w:ascii="Times New Roman" w:hAnsi="Times New Roman" w:cs="Times New Roman" w:eastAsia="Times New Roman" w:hint="default"/>
          <w:spacing w:val="-5"/>
        </w:rPr>
        <w:t> </w:t>
      </w:r>
      <w:r>
        <w:rPr/>
        <w:t>年至</w:t>
      </w:r>
      <w:r>
        <w:rPr>
          <w:spacing w:val="-6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w:t>
      </w:r>
      <w:r>
        <w:rPr>
          <w:spacing w:val="-64"/>
        </w:rPr>
        <w:t> </w:t>
      </w:r>
      <w:r>
        <w:rPr>
          <w:rFonts w:ascii="Times New Roman" w:hAnsi="Times New Roman" w:cs="Times New Roman" w:eastAsia="Times New Roman" w:hint="default"/>
        </w:rPr>
        <w:t>9</w:t>
      </w:r>
      <w:r>
        <w:rPr>
          <w:rFonts w:ascii="Times New Roman" w:hAnsi="Times New Roman" w:cs="Times New Roman" w:eastAsia="Times New Roman" w:hint="default"/>
          <w:spacing w:val="-5"/>
        </w:rPr>
        <w:t> </w:t>
      </w:r>
      <w:r>
        <w:rPr>
          <w:spacing w:val="1"/>
        </w:rPr>
        <w:t>月， </w:t>
      </w:r>
      <w:r>
        <w:rPr/>
        <w:t>历任美亚柏科有限公司人力行政中心总监、副总经理；现任公司副总经理。</w:t>
      </w:r>
    </w:p>
    <w:p>
      <w:pPr>
        <w:pStyle w:val="BodyText"/>
        <w:spacing w:line="338" w:lineRule="auto" w:before="174"/>
        <w:ind w:left="119" w:right="239" w:firstLine="482"/>
        <w:jc w:val="both"/>
        <w:rPr>
          <w:rFonts w:ascii="Times New Roman" w:hAnsi="Times New Roman" w:cs="Times New Roman" w:eastAsia="Times New Roman" w:hint="default"/>
        </w:rPr>
      </w:pPr>
      <w:r>
        <w:rPr>
          <w:rFonts w:ascii="宋体" w:hAnsi="宋体" w:cs="宋体" w:eastAsia="宋体" w:hint="default"/>
          <w:b/>
          <w:bCs/>
          <w:spacing w:val="-3"/>
        </w:rPr>
        <w:t>张乃军</w:t>
      </w:r>
      <w:r>
        <w:rPr>
          <w:spacing w:val="-3"/>
        </w:rPr>
        <w:t>，男，</w:t>
      </w:r>
      <w:r>
        <w:rPr>
          <w:rFonts w:ascii="Times New Roman" w:hAnsi="Times New Roman" w:cs="Times New Roman" w:eastAsia="Times New Roman" w:hint="default"/>
          <w:spacing w:val="-3"/>
        </w:rPr>
        <w:t>1971</w:t>
      </w:r>
      <w:r>
        <w:rPr>
          <w:rFonts w:ascii="Times New Roman" w:hAnsi="Times New Roman" w:cs="Times New Roman" w:eastAsia="Times New Roman" w:hint="default"/>
          <w:spacing w:val="-35"/>
        </w:rPr>
        <w:t> </w:t>
      </w:r>
      <w:r>
        <w:rPr/>
        <w:t>年出生，中国国籍，研究生，高级会计师，无永久境外居留 </w:t>
      </w:r>
      <w:r>
        <w:rPr>
          <w:spacing w:val="-3"/>
        </w:rPr>
        <w:t>权。</w:t>
      </w:r>
      <w:r>
        <w:rPr>
          <w:rFonts w:ascii="Times New Roman" w:hAnsi="Times New Roman" w:cs="Times New Roman" w:eastAsia="Times New Roman" w:hint="default"/>
          <w:spacing w:val="-3"/>
        </w:rPr>
        <w:t>1993</w:t>
      </w:r>
      <w:r>
        <w:rPr>
          <w:rFonts w:ascii="Times New Roman" w:hAnsi="Times New Roman" w:cs="Times New Roman" w:eastAsia="Times New Roman" w:hint="default"/>
        </w:rPr>
        <w:t> </w:t>
      </w:r>
      <w:r>
        <w:rPr/>
        <w:t>年至</w:t>
      </w:r>
      <w:r>
        <w:rPr>
          <w:spacing w:val="-58"/>
        </w:rPr>
        <w:t> </w:t>
      </w:r>
      <w:r>
        <w:rPr>
          <w:rFonts w:ascii="Times New Roman" w:hAnsi="Times New Roman" w:cs="Times New Roman" w:eastAsia="Times New Roman" w:hint="default"/>
        </w:rPr>
        <w:t>2000</w:t>
      </w:r>
      <w:r>
        <w:rPr>
          <w:rFonts w:ascii="Times New Roman" w:hAnsi="Times New Roman" w:cs="Times New Roman" w:eastAsia="Times New Roman" w:hint="default"/>
          <w:spacing w:val="2"/>
        </w:rPr>
        <w:t> </w:t>
      </w:r>
      <w:r>
        <w:rPr>
          <w:spacing w:val="-3"/>
        </w:rPr>
        <w:t>年任厦门物资集团公司出纳、会计、主办会计；</w:t>
      </w:r>
      <w:r>
        <w:rPr>
          <w:rFonts w:ascii="Times New Roman" w:hAnsi="Times New Roman" w:cs="Times New Roman" w:eastAsia="Times New Roman" w:hint="default"/>
          <w:spacing w:val="-3"/>
        </w:rPr>
        <w:t>2000</w:t>
      </w:r>
      <w:r>
        <w:rPr>
          <w:rFonts w:ascii="Times New Roman" w:hAnsi="Times New Roman" w:cs="Times New Roman" w:eastAsia="Times New Roman" w:hint="default"/>
          <w:spacing w:val="2"/>
        </w:rPr>
        <w:t> </w:t>
      </w:r>
      <w:r>
        <w:rPr/>
        <w:t>年至</w:t>
      </w:r>
      <w:r>
        <w:rPr>
          <w:spacing w:val="-58"/>
        </w:rPr>
        <w:t> </w:t>
      </w:r>
      <w:r>
        <w:rPr>
          <w:rFonts w:ascii="Times New Roman" w:hAnsi="Times New Roman" w:cs="Times New Roman" w:eastAsia="Times New Roman" w:hint="default"/>
        </w:rPr>
        <w:t>2003 </w:t>
      </w:r>
      <w:r>
        <w:rPr/>
        <w:t>年任厦门外商投资企业物资公司财务经理；</w:t>
      </w:r>
      <w:r>
        <w:rPr>
          <w:rFonts w:ascii="Times New Roman" w:hAnsi="Times New Roman" w:cs="Times New Roman" w:eastAsia="Times New Roman" w:hint="default"/>
        </w:rPr>
        <w:t>2003 </w:t>
      </w:r>
      <w:r>
        <w:rPr/>
        <w:t>年至 </w:t>
      </w:r>
      <w:r>
        <w:rPr>
          <w:rFonts w:ascii="Times New Roman" w:hAnsi="Times New Roman" w:cs="Times New Roman" w:eastAsia="Times New Roman" w:hint="default"/>
        </w:rPr>
        <w:t>2005</w:t>
      </w:r>
      <w:r>
        <w:rPr>
          <w:rFonts w:ascii="Times New Roman" w:hAnsi="Times New Roman" w:cs="Times New Roman" w:eastAsia="Times New Roman" w:hint="default"/>
          <w:spacing w:val="-3"/>
        </w:rPr>
        <w:t> </w:t>
      </w:r>
      <w:r>
        <w:rPr/>
        <w:t>年任厦门银池资产管理 </w:t>
      </w:r>
      <w:r>
        <w:rPr>
          <w:spacing w:val="-3"/>
        </w:rPr>
        <w:t>有限公司财务经理；</w:t>
      </w:r>
      <w:r>
        <w:rPr>
          <w:rFonts w:ascii="Times New Roman" w:hAnsi="Times New Roman" w:cs="Times New Roman" w:eastAsia="Times New Roman" w:hint="default"/>
          <w:spacing w:val="-3"/>
        </w:rPr>
        <w:t>2005</w:t>
      </w:r>
      <w:r>
        <w:rPr>
          <w:rFonts w:ascii="Times New Roman" w:hAnsi="Times New Roman" w:cs="Times New Roman" w:eastAsia="Times New Roman" w:hint="default"/>
          <w:spacing w:val="-5"/>
        </w:rPr>
        <w:t> </w:t>
      </w:r>
      <w:r>
        <w:rPr/>
        <w:t>年至</w:t>
      </w:r>
      <w:r>
        <w:rPr>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年任厦门新世基集团财务经理；</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t>年至</w:t>
      </w:r>
      <w:r>
        <w:rPr>
          <w:spacing w:val="-65"/>
        </w:rPr>
        <w:t> </w:t>
      </w:r>
      <w:r>
        <w:rPr>
          <w:rFonts w:ascii="Times New Roman" w:hAnsi="Times New Roman" w:cs="Times New Roman" w:eastAsia="Times New Roman" w:hint="default"/>
        </w:rPr>
        <w:t>2009</w:t>
      </w:r>
    </w:p>
    <w:p>
      <w:pPr>
        <w:pStyle w:val="BodyText"/>
        <w:spacing w:line="240" w:lineRule="auto" w:before="25"/>
        <w:ind w:left="119" w:right="221"/>
        <w:jc w:val="left"/>
      </w:pPr>
      <w:r>
        <w:rPr/>
        <w:t>年</w:t>
      </w:r>
      <w:r>
        <w:rPr>
          <w:spacing w:val="-60"/>
        </w:rPr>
        <w:t> </w:t>
      </w:r>
      <w:r>
        <w:rPr>
          <w:rFonts w:ascii="Times New Roman" w:hAnsi="Times New Roman" w:cs="Times New Roman" w:eastAsia="Times New Roman" w:hint="default"/>
        </w:rPr>
        <w:t>9 </w:t>
      </w:r>
      <w:r>
        <w:rPr/>
        <w:t>月，历任美亚柏科有限公司财务副总监、财务总监；现任公司财务总监。</w:t>
      </w:r>
    </w:p>
    <w:p>
      <w:pPr>
        <w:spacing w:line="240" w:lineRule="auto" w:before="6"/>
        <w:rPr>
          <w:rFonts w:ascii="宋体" w:hAnsi="宋体" w:cs="宋体" w:eastAsia="宋体" w:hint="default"/>
          <w:sz w:val="19"/>
          <w:szCs w:val="19"/>
        </w:rPr>
      </w:pPr>
    </w:p>
    <w:p>
      <w:pPr>
        <w:pStyle w:val="BodyText"/>
        <w:spacing w:line="338" w:lineRule="auto"/>
        <w:ind w:left="119" w:right="116" w:firstLine="482"/>
        <w:jc w:val="both"/>
      </w:pPr>
      <w:r>
        <w:rPr>
          <w:rFonts w:ascii="宋体" w:hAnsi="宋体" w:cs="宋体" w:eastAsia="宋体" w:hint="default"/>
          <w:b/>
          <w:bCs/>
        </w:rPr>
        <w:t>吴世雄，</w:t>
      </w:r>
      <w:r>
        <w:rPr/>
        <w:t>男，出生于 </w:t>
      </w:r>
      <w:r>
        <w:rPr>
          <w:rFonts w:ascii="Times New Roman" w:hAnsi="Times New Roman" w:cs="Times New Roman" w:eastAsia="Times New Roman" w:hint="default"/>
        </w:rPr>
        <w:t>1962</w:t>
      </w:r>
      <w:r>
        <w:rPr>
          <w:rFonts w:ascii="Times New Roman" w:hAnsi="Times New Roman" w:cs="Times New Roman" w:eastAsia="Times New Roman" w:hint="default"/>
          <w:spacing w:val="51"/>
        </w:rPr>
        <w:t> </w:t>
      </w:r>
      <w:r>
        <w:rPr/>
        <w:t>年。加拿大籍，研究生学历。毕业于厦门大学和加 拿大</w:t>
      </w:r>
      <w:r>
        <w:rPr>
          <w:spacing w:val="-58"/>
        </w:rPr>
        <w:t> </w:t>
      </w:r>
      <w:r>
        <w:rPr>
          <w:rFonts w:ascii="Times New Roman" w:hAnsi="Times New Roman" w:cs="Times New Roman" w:eastAsia="Times New Roman" w:hint="default"/>
        </w:rPr>
        <w:t>Dahousie</w:t>
      </w:r>
      <w:r>
        <w:rPr>
          <w:rFonts w:ascii="Times New Roman" w:hAnsi="Times New Roman" w:cs="Times New Roman" w:eastAsia="Times New Roman" w:hint="default"/>
          <w:spacing w:val="2"/>
        </w:rPr>
        <w:t> </w:t>
      </w:r>
      <w:r>
        <w:rPr>
          <w:spacing w:val="-5"/>
        </w:rPr>
        <w:t>大学。先后在</w:t>
      </w:r>
      <w:r>
        <w:rPr>
          <w:spacing w:val="-58"/>
        </w:rPr>
        <w:t> </w:t>
      </w:r>
      <w:r>
        <w:rPr>
          <w:rFonts w:ascii="Times New Roman" w:hAnsi="Times New Roman" w:cs="Times New Roman" w:eastAsia="Times New Roman" w:hint="default"/>
          <w:spacing w:val="-3"/>
        </w:rPr>
        <w:t>IBM</w:t>
      </w:r>
      <w:r>
        <w:rPr>
          <w:spacing w:val="-3"/>
        </w:rPr>
        <w:t>、</w:t>
      </w:r>
      <w:r>
        <w:rPr>
          <w:rFonts w:ascii="Times New Roman" w:hAnsi="Times New Roman" w:cs="Times New Roman" w:eastAsia="Times New Roman" w:hint="default"/>
          <w:spacing w:val="-3"/>
        </w:rPr>
        <w:t>Nortel</w:t>
      </w:r>
      <w:r>
        <w:rPr>
          <w:spacing w:val="-3"/>
        </w:rPr>
        <w:t>、</w:t>
      </w:r>
      <w:r>
        <w:rPr>
          <w:rFonts w:ascii="Times New Roman" w:hAnsi="Times New Roman" w:cs="Times New Roman" w:eastAsia="Times New Roman" w:hint="default"/>
          <w:spacing w:val="-3"/>
        </w:rPr>
        <w:t>Motorola</w:t>
      </w:r>
      <w:r>
        <w:rPr>
          <w:spacing w:val="-3"/>
        </w:rPr>
        <w:t>、</w:t>
      </w:r>
      <w:r>
        <w:rPr>
          <w:rFonts w:ascii="Times New Roman" w:hAnsi="Times New Roman" w:cs="Times New Roman" w:eastAsia="Times New Roman" w:hint="default"/>
          <w:spacing w:val="-3"/>
        </w:rPr>
        <w:t>Cisco,Juniper</w:t>
      </w:r>
      <w:r>
        <w:rPr>
          <w:rFonts w:ascii="Times New Roman" w:hAnsi="Times New Roman" w:cs="Times New Roman" w:eastAsia="Times New Roman" w:hint="default"/>
          <w:spacing w:val="2"/>
        </w:rPr>
        <w:t> </w:t>
      </w:r>
      <w:r>
        <w:rPr/>
        <w:t>等公司担任研发</w:t>
      </w:r>
      <w:r>
        <w:rPr>
          <w:spacing w:val="-115"/>
        </w:rPr>
        <w:t> </w:t>
      </w:r>
      <w:r>
        <w:rPr/>
        <w:t>和管理工作。</w:t>
      </w:r>
      <w:r>
        <w:rPr>
          <w:rFonts w:ascii="Times New Roman" w:hAnsi="Times New Roman" w:cs="Times New Roman" w:eastAsia="Times New Roman" w:hint="default"/>
        </w:rPr>
        <w:t>2006 </w:t>
      </w:r>
      <w:r>
        <w:rPr/>
        <w:t>年至</w:t>
      </w:r>
      <w:r>
        <w:rPr>
          <w:spacing w:val="-60"/>
        </w:rPr>
        <w:t> </w:t>
      </w:r>
      <w:r>
        <w:rPr>
          <w:rFonts w:ascii="Times New Roman" w:hAnsi="Times New Roman" w:cs="Times New Roman" w:eastAsia="Times New Roman" w:hint="default"/>
        </w:rPr>
        <w:t>2010 </w:t>
      </w:r>
      <w:r>
        <w:rPr/>
        <w:t>年</w:t>
      </w:r>
      <w:r>
        <w:rPr>
          <w:spacing w:val="-60"/>
        </w:rPr>
        <w:t> </w:t>
      </w:r>
      <w:r>
        <w:rPr>
          <w:rFonts w:ascii="Times New Roman" w:hAnsi="Times New Roman" w:cs="Times New Roman" w:eastAsia="Times New Roman" w:hint="default"/>
        </w:rPr>
        <w:t>3 </w:t>
      </w:r>
      <w:r>
        <w:rPr/>
        <w:t>月，任</w:t>
      </w:r>
      <w:r>
        <w:rPr>
          <w:spacing w:val="-60"/>
        </w:rPr>
        <w:t> </w:t>
      </w:r>
      <w:r>
        <w:rPr>
          <w:rFonts w:ascii="Times New Roman" w:hAnsi="Times New Roman" w:cs="Times New Roman" w:eastAsia="Times New Roman" w:hint="default"/>
        </w:rPr>
        <w:t>Aerohive Network </w:t>
      </w:r>
      <w:r>
        <w:rPr/>
        <w:t>中国区运营总监</w:t>
      </w:r>
      <w:r>
        <w:rPr>
          <w:rFonts w:ascii="Times New Roman" w:hAnsi="Times New Roman" w:cs="Times New Roman" w:eastAsia="Times New Roman" w:hint="default"/>
        </w:rPr>
        <w:t>/</w:t>
      </w:r>
      <w:r>
        <w:rPr/>
        <w:t>项目经 </w:t>
      </w:r>
      <w:r>
        <w:rPr>
          <w:spacing w:val="-3"/>
        </w:rPr>
        <w:t>理；</w:t>
      </w:r>
      <w:r>
        <w:rPr>
          <w:rFonts w:ascii="Times New Roman" w:hAnsi="Times New Roman" w:cs="Times New Roman" w:eastAsia="Times New Roman" w:hint="default"/>
          <w:spacing w:val="-3"/>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月至</w:t>
      </w:r>
      <w:r>
        <w:rPr>
          <w:spacing w:val="-6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月，任公司硬件研制中心负责人。现任公司副总经理。</w:t>
      </w:r>
    </w:p>
    <w:p>
      <w:pPr>
        <w:pStyle w:val="BodyText"/>
        <w:spacing w:line="338" w:lineRule="auto" w:before="145"/>
        <w:ind w:left="120" w:right="173" w:firstLine="482"/>
        <w:jc w:val="both"/>
      </w:pPr>
      <w:r>
        <w:rPr>
          <w:rFonts w:ascii="宋体" w:hAnsi="宋体" w:cs="宋体" w:eastAsia="宋体" w:hint="default"/>
          <w:b/>
          <w:bCs/>
        </w:rPr>
        <w:t>栾江霞，</w:t>
      </w:r>
      <w:r>
        <w:rPr/>
        <w:t>女，中共党员。</w:t>
      </w:r>
      <w:r>
        <w:rPr>
          <w:rFonts w:ascii="Times New Roman" w:hAnsi="Times New Roman" w:cs="Times New Roman" w:eastAsia="Times New Roman" w:hint="default"/>
        </w:rPr>
        <w:t>1974</w:t>
      </w:r>
      <w:r>
        <w:rPr>
          <w:rFonts w:ascii="Times New Roman" w:hAnsi="Times New Roman" w:cs="Times New Roman" w:eastAsia="Times New Roman" w:hint="default"/>
          <w:spacing w:val="-7"/>
        </w:rPr>
        <w:t> </w:t>
      </w:r>
      <w:r>
        <w:rPr/>
        <w:t>年出生，中国国籍、工程师、硕士研究生学历、 毕业于浙江大学，无永久境外居留权。</w:t>
      </w:r>
      <w:r>
        <w:rPr>
          <w:rFonts w:ascii="Times New Roman" w:hAnsi="Times New Roman" w:cs="Times New Roman" w:eastAsia="Times New Roman" w:hint="default"/>
        </w:rPr>
        <w:t>2000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t>月至</w:t>
      </w:r>
      <w:r>
        <w:rPr>
          <w:spacing w:val="-6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spacing w:val="-3"/>
        </w:rPr>
        <w:t>月，历任厦门雅迅</w:t>
      </w:r>
      <w:r>
        <w:rPr/>
        <w:t> 网络股份有限公司系统工程部经理、技管办主任和网络业务事业部总经理；</w:t>
      </w:r>
      <w:r>
        <w:rPr>
          <w:rFonts w:ascii="Times New Roman" w:hAnsi="Times New Roman" w:cs="Times New Roman" w:eastAsia="Times New Roman" w:hint="default"/>
        </w:rPr>
        <w:t>2008</w:t>
      </w:r>
      <w:r>
        <w:rPr>
          <w:rFonts w:ascii="Times New Roman" w:hAnsi="Times New Roman" w:cs="Times New Roman" w:eastAsia="Times New Roman" w:hint="default"/>
          <w:spacing w:val="-29"/>
        </w:rPr>
        <w:t> </w:t>
      </w:r>
      <w:r>
        <w:rPr/>
        <w:t>年 </w:t>
      </w:r>
      <w:r>
        <w:rPr>
          <w:rFonts w:ascii="Times New Roman" w:hAnsi="Times New Roman" w:cs="Times New Roman" w:eastAsia="Times New Roman" w:hint="default"/>
          <w:spacing w:val="-5"/>
        </w:rPr>
        <w:t>11</w:t>
      </w:r>
      <w:r>
        <w:rPr>
          <w:rFonts w:ascii="Times New Roman" w:hAnsi="Times New Roman" w:cs="Times New Roman" w:eastAsia="Times New Roman" w:hint="default"/>
        </w:rPr>
        <w:t> </w:t>
      </w:r>
      <w:r>
        <w:rPr/>
        <w:t>月至</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w:t>
      </w:r>
      <w:r>
        <w:rPr>
          <w:spacing w:val="-60"/>
        </w:rPr>
        <w:t> </w:t>
      </w:r>
      <w:r>
        <w:rPr>
          <w:rFonts w:ascii="Times New Roman" w:hAnsi="Times New Roman" w:cs="Times New Roman" w:eastAsia="Times New Roman" w:hint="default"/>
        </w:rPr>
        <w:t>4 </w:t>
      </w:r>
      <w:r>
        <w:rPr/>
        <w:t>月，任公司拓展中心总监。现任公司副总经理。</w:t>
      </w:r>
    </w:p>
    <w:p>
      <w:pPr>
        <w:pStyle w:val="BodyText"/>
        <w:spacing w:line="343" w:lineRule="auto" w:before="145"/>
        <w:ind w:left="119" w:right="239" w:firstLine="482"/>
        <w:jc w:val="both"/>
        <w:rPr>
          <w:rFonts w:ascii="Times New Roman" w:hAnsi="Times New Roman" w:cs="Times New Roman" w:eastAsia="Times New Roman" w:hint="default"/>
        </w:rPr>
      </w:pPr>
      <w:r>
        <w:rPr>
          <w:rFonts w:ascii="宋体" w:hAnsi="宋体" w:cs="宋体" w:eastAsia="宋体" w:hint="default"/>
          <w:b/>
          <w:bCs/>
        </w:rPr>
        <w:t>王斌，</w:t>
      </w:r>
      <w:r>
        <w:rPr/>
        <w:t>男，中共党员。</w:t>
      </w:r>
      <w:r>
        <w:rPr>
          <w:rFonts w:ascii="Times New Roman" w:hAnsi="Times New Roman" w:cs="Times New Roman" w:eastAsia="Times New Roman" w:hint="default"/>
        </w:rPr>
        <w:t>1971 </w:t>
      </w:r>
      <w:r>
        <w:rPr/>
        <w:t>年生，中国国籍、研究生学历，于 </w:t>
      </w:r>
      <w:r>
        <w:rPr>
          <w:rFonts w:ascii="Times New Roman" w:hAnsi="Times New Roman" w:cs="Times New Roman" w:eastAsia="Times New Roman" w:hint="default"/>
        </w:rPr>
        <w:t>1998</w:t>
      </w:r>
      <w:r>
        <w:rPr>
          <w:rFonts w:ascii="Times New Roman" w:hAnsi="Times New Roman" w:cs="Times New Roman" w:eastAsia="Times New Roman" w:hint="default"/>
          <w:spacing w:val="-14"/>
        </w:rPr>
        <w:t> </w:t>
      </w:r>
      <w:r>
        <w:rPr/>
        <w:t>年毕业于 厦门大学会计学专业，无永久境外居留权。</w:t>
      </w:r>
      <w:r>
        <w:rPr>
          <w:rFonts w:ascii="Times New Roman" w:hAnsi="Times New Roman" w:cs="Times New Roman" w:eastAsia="Times New Roman" w:hint="default"/>
        </w:rPr>
        <w:t>1994 </w:t>
      </w:r>
      <w:r>
        <w:rPr/>
        <w:t>年至 </w:t>
      </w:r>
      <w:r>
        <w:rPr>
          <w:rFonts w:ascii="Times New Roman" w:hAnsi="Times New Roman" w:cs="Times New Roman" w:eastAsia="Times New Roman" w:hint="default"/>
        </w:rPr>
        <w:t>2000</w:t>
      </w:r>
      <w:r>
        <w:rPr>
          <w:rFonts w:ascii="Times New Roman" w:hAnsi="Times New Roman" w:cs="Times New Roman" w:eastAsia="Times New Roman" w:hint="default"/>
          <w:spacing w:val="-3"/>
        </w:rPr>
        <w:t> </w:t>
      </w:r>
      <w:r>
        <w:rPr/>
        <w:t>年，历任厦门外运集团 公司集团本部会计、船务公司管理者代表、集团计财部经理兼外贸汽车材料有限公 </w:t>
      </w:r>
      <w:r>
        <w:rPr>
          <w:spacing w:val="-3"/>
        </w:rPr>
        <w:t>司监事；</w:t>
      </w:r>
      <w:r>
        <w:rPr>
          <w:rFonts w:ascii="Times New Roman" w:hAnsi="Times New Roman" w:cs="Times New Roman" w:eastAsia="Times New Roman" w:hint="default"/>
          <w:spacing w:val="-3"/>
        </w:rPr>
        <w:t>2000</w:t>
      </w:r>
      <w:r>
        <w:rPr>
          <w:rFonts w:ascii="Times New Roman" w:hAnsi="Times New Roman" w:cs="Times New Roman" w:eastAsia="Times New Roman" w:hint="default"/>
          <w:spacing w:val="-8"/>
        </w:rPr>
        <w:t> </w:t>
      </w:r>
      <w:r>
        <w:rPr/>
        <w:t>年至</w:t>
      </w:r>
      <w:r>
        <w:rPr>
          <w:spacing w:val="-68"/>
        </w:rPr>
        <w:t> </w:t>
      </w:r>
      <w:r>
        <w:rPr>
          <w:rFonts w:ascii="Times New Roman" w:hAnsi="Times New Roman" w:cs="Times New Roman" w:eastAsia="Times New Roman" w:hint="default"/>
        </w:rPr>
        <w:t>2005</w:t>
      </w:r>
      <w:r>
        <w:rPr>
          <w:rFonts w:ascii="Times New Roman" w:hAnsi="Times New Roman" w:cs="Times New Roman" w:eastAsia="Times New Roman" w:hint="default"/>
          <w:spacing w:val="-8"/>
        </w:rPr>
        <w:t> </w:t>
      </w:r>
      <w:r>
        <w:rPr/>
        <w:t>年，任厦门外运发展股份有限公司总经理；</w:t>
      </w:r>
      <w:r>
        <w:rPr>
          <w:rFonts w:ascii="Times New Roman" w:hAnsi="Times New Roman" w:cs="Times New Roman" w:eastAsia="Times New Roman" w:hint="default"/>
        </w:rPr>
        <w:t>2006</w:t>
      </w:r>
      <w:r>
        <w:rPr>
          <w:rFonts w:ascii="Times New Roman" w:hAnsi="Times New Roman" w:cs="Times New Roman" w:eastAsia="Times New Roman" w:hint="default"/>
          <w:spacing w:val="-8"/>
        </w:rPr>
        <w:t> </w:t>
      </w:r>
      <w:r>
        <w:rPr/>
        <w:t>年至</w:t>
      </w:r>
      <w:r>
        <w:rPr>
          <w:spacing w:val="-68"/>
        </w:rPr>
        <w:t> </w:t>
      </w:r>
      <w:r>
        <w:rPr>
          <w:rFonts w:ascii="Times New Roman" w:hAnsi="Times New Roman" w:cs="Times New Roman" w:eastAsia="Times New Roman" w:hint="default"/>
        </w:rPr>
        <w:t>2009</w:t>
      </w:r>
    </w:p>
    <w:p>
      <w:pPr>
        <w:spacing w:after="0" w:line="343" w:lineRule="auto"/>
        <w:jc w:val="both"/>
        <w:rPr>
          <w:rFonts w:ascii="Times New Roman" w:hAnsi="Times New Roman" w:cs="Times New Roman" w:eastAsia="Times New Roman" w:hint="default"/>
        </w:rPr>
        <w:sectPr>
          <w:pgSz w:w="12240" w:h="15840"/>
          <w:pgMar w:header="0" w:footer="688" w:top="1400" w:bottom="880" w:left="1680" w:right="1560"/>
        </w:sectPr>
      </w:pPr>
    </w:p>
    <w:p>
      <w:pPr>
        <w:pStyle w:val="BodyText"/>
        <w:spacing w:line="338" w:lineRule="auto" w:before="1"/>
        <w:ind w:left="119" w:right="239"/>
        <w:jc w:val="both"/>
      </w:pPr>
      <w:r>
        <w:rPr/>
        <w:t>年、任厦门瑞盟环保科技有限公司总经理；</w:t>
      </w:r>
      <w:r>
        <w:rPr>
          <w:rFonts w:ascii="Times New Roman" w:hAnsi="Times New Roman" w:cs="Times New Roman" w:eastAsia="Times New Roman" w:hint="default"/>
        </w:rPr>
        <w:t>2009 </w:t>
      </w:r>
      <w:r>
        <w:rPr/>
        <w:t>年至 </w:t>
      </w:r>
      <w:r>
        <w:rPr>
          <w:rFonts w:ascii="Times New Roman" w:hAnsi="Times New Roman" w:cs="Times New Roman" w:eastAsia="Times New Roman" w:hint="default"/>
        </w:rPr>
        <w:t>2010</w:t>
      </w:r>
      <w:r>
        <w:rPr>
          <w:rFonts w:ascii="Times New Roman" w:hAnsi="Times New Roman" w:cs="Times New Roman" w:eastAsia="Times New Roman" w:hint="default"/>
          <w:spacing w:val="-3"/>
        </w:rPr>
        <w:t> </w:t>
      </w:r>
      <w:r>
        <w:rPr/>
        <w:t>年，担任多家公司管理 </w:t>
      </w:r>
      <w:r>
        <w:rPr>
          <w:spacing w:val="-3"/>
        </w:rPr>
        <w:t>顾问，提供财务、法律及内部管理咨询服务。</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月至今，任厦门市美亚柏科 信息股份有限公司审计机构负责人。现任公司董事会秘书、副总经理。</w:t>
      </w:r>
    </w:p>
    <w:p>
      <w:pPr>
        <w:spacing w:line="240" w:lineRule="auto" w:before="3"/>
        <w:rPr>
          <w:rFonts w:ascii="宋体" w:hAnsi="宋体" w:cs="宋体" w:eastAsia="宋体" w:hint="default"/>
          <w:sz w:val="35"/>
          <w:szCs w:val="35"/>
        </w:rPr>
      </w:pPr>
    </w:p>
    <w:p>
      <w:pPr>
        <w:pStyle w:val="Heading3"/>
        <w:spacing w:line="276" w:lineRule="auto"/>
        <w:ind w:left="120" w:right="221" w:firstLine="482"/>
        <w:jc w:val="left"/>
        <w:rPr>
          <w:b w:val="0"/>
          <w:bCs w:val="0"/>
        </w:rPr>
      </w:pPr>
      <w:r>
        <w:rPr>
          <w:spacing w:val="-4"/>
          <w:w w:val="95"/>
        </w:rPr>
        <w:t>（三）报告期内被选举或离任的董事和监事、聘任或解聘的高级管理人员姓名，</w:t>
      </w:r>
      <w:r>
        <w:rPr>
          <w:w w:val="99"/>
        </w:rPr>
        <w:t> </w:t>
      </w:r>
      <w:r>
        <w:rPr/>
        <w:t>及董事、监事离任和高级管理人员解聘原因</w:t>
      </w:r>
      <w:r>
        <w:rPr>
          <w:b w:val="0"/>
          <w:bCs w:val="0"/>
        </w:rPr>
      </w:r>
    </w:p>
    <w:p>
      <w:pPr>
        <w:pStyle w:val="BodyText"/>
        <w:spacing w:line="240" w:lineRule="auto" w:before="203"/>
        <w:ind w:left="600" w:right="221"/>
        <w:jc w:val="left"/>
      </w:pPr>
      <w:r>
        <w:rPr>
          <w:rFonts w:ascii="Times New Roman" w:hAnsi="Times New Roman" w:cs="Times New Roman" w:eastAsia="Times New Roman" w:hint="default"/>
        </w:rPr>
        <w:t>1</w:t>
      </w:r>
      <w:r>
        <w:rPr/>
        <w:t>、报告期内，公司董事无变动。</w:t>
      </w:r>
    </w:p>
    <w:p>
      <w:pPr>
        <w:spacing w:line="240" w:lineRule="auto" w:before="6"/>
        <w:rPr>
          <w:rFonts w:ascii="宋体" w:hAnsi="宋体" w:cs="宋体" w:eastAsia="宋体" w:hint="default"/>
          <w:sz w:val="19"/>
          <w:szCs w:val="19"/>
        </w:rPr>
      </w:pPr>
    </w:p>
    <w:p>
      <w:pPr>
        <w:pStyle w:val="BodyText"/>
        <w:spacing w:line="240" w:lineRule="auto"/>
        <w:ind w:left="600" w:right="105"/>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04</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日公司原监事会主席、职工监事兰邦胜先生辞职；</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p>
    <w:p>
      <w:pPr>
        <w:pStyle w:val="BodyText"/>
        <w:spacing w:line="240" w:lineRule="auto" w:before="134"/>
        <w:ind w:left="120" w:right="0"/>
        <w:jc w:val="both"/>
      </w:pPr>
      <w:r>
        <w:rPr>
          <w:rFonts w:ascii="Times New Roman" w:hAnsi="Times New Roman" w:cs="Times New Roman" w:eastAsia="Times New Roman" w:hint="default"/>
        </w:rPr>
        <w:t>4  </w:t>
      </w:r>
      <w:r>
        <w:rPr/>
        <w:t>月 </w:t>
      </w:r>
      <w:r>
        <w:rPr>
          <w:rFonts w:ascii="Times New Roman" w:hAnsi="Times New Roman" w:cs="Times New Roman" w:eastAsia="Times New Roman" w:hint="default"/>
        </w:rPr>
        <w:t>25  </w:t>
      </w:r>
      <w:r>
        <w:rPr/>
        <w:t>日公司召开了职工代表大会选举仲丽华女士接任第一届监事会职工代表监</w:t>
      </w:r>
    </w:p>
    <w:p>
      <w:pPr>
        <w:pStyle w:val="BodyText"/>
        <w:spacing w:line="350" w:lineRule="auto" w:before="134"/>
        <w:ind w:left="120" w:right="236"/>
        <w:jc w:val="both"/>
      </w:pPr>
      <w:r>
        <w:rPr>
          <w:spacing w:val="-7"/>
        </w:rPr>
        <w:t>事，任期与本届监事会任期一致；</w:t>
      </w:r>
      <w:r>
        <w:rPr>
          <w:rFonts w:ascii="Times New Roman" w:hAnsi="Times New Roman" w:cs="Times New Roman" w:eastAsia="Times New Roman" w:hint="default"/>
          <w:spacing w:val="-7"/>
        </w:rPr>
        <w:t>2011</w:t>
      </w:r>
      <w:r>
        <w:rPr>
          <w:rFonts w:ascii="Times New Roman" w:hAnsi="Times New Roman" w:cs="Times New Roman" w:eastAsia="Times New Roman" w:hint="default"/>
          <w:spacing w:val="1"/>
        </w:rPr>
        <w:t> </w:t>
      </w:r>
      <w:r>
        <w:rPr/>
        <w:t>年</w:t>
      </w:r>
      <w:r>
        <w:rPr>
          <w:spacing w:val="3"/>
        </w:rPr>
        <w:t> </w:t>
      </w:r>
      <w:r>
        <w:rPr>
          <w:rFonts w:ascii="Times New Roman" w:hAnsi="Times New Roman" w:cs="Times New Roman" w:eastAsia="Times New Roman" w:hint="default"/>
        </w:rPr>
        <w:t>06</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22</w:t>
      </w:r>
      <w:r>
        <w:rPr>
          <w:rFonts w:ascii="Times New Roman" w:hAnsi="Times New Roman" w:cs="Times New Roman" w:eastAsia="Times New Roman" w:hint="default"/>
          <w:spacing w:val="1"/>
        </w:rPr>
        <w:t> </w:t>
      </w:r>
      <w:r>
        <w:rPr/>
        <w:t>日公司第一届监事会第七次会议 </w:t>
      </w:r>
      <w:r>
        <w:rPr>
          <w:spacing w:val="-7"/>
        </w:rPr>
        <w:t>审议通过了《关于选举公司监事会主席的议案》，会议选举仲丽华女士接任第一届监</w:t>
      </w:r>
      <w:r>
        <w:rPr>
          <w:spacing w:val="-101"/>
        </w:rPr>
        <w:t> </w:t>
      </w:r>
      <w:r>
        <w:rPr>
          <w:spacing w:val="-101"/>
        </w:rPr>
      </w:r>
      <w:r>
        <w:rPr/>
        <w:t>事会主席，任期与本届监事会任期一致。相关公告已在中国证监会指定创业板信息 披露网站公告。</w:t>
      </w:r>
    </w:p>
    <w:p>
      <w:pPr>
        <w:pStyle w:val="BodyText"/>
        <w:spacing w:line="348" w:lineRule="auto" w:before="162"/>
        <w:ind w:left="120" w:right="239" w:firstLine="480"/>
        <w:jc w:val="both"/>
      </w:pPr>
      <w:r>
        <w:rPr>
          <w:rFonts w:ascii="Times New Roman" w:hAnsi="Times New Roman" w:cs="Times New Roman" w:eastAsia="Times New Roman" w:hint="default"/>
          <w:spacing w:val="-4"/>
        </w:rPr>
        <w:t>3</w:t>
      </w:r>
      <w:r>
        <w:rPr>
          <w:spacing w:val="-4"/>
        </w:rPr>
        <w:t>、</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4</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6"/>
        </w:rPr>
        <w:t> </w:t>
      </w:r>
      <w:r>
        <w:rPr/>
        <w:t>日，公司第一届董事会第十次会议审议通过了《关于提请聘 </w:t>
      </w:r>
      <w:r>
        <w:rPr>
          <w:spacing w:val="-7"/>
        </w:rPr>
        <w:t>任吴世雄、栾江霞为副总经理的议案》，选举吴世雄先生和栾江霞女士为公司副总经</w:t>
      </w:r>
      <w:r>
        <w:rPr>
          <w:spacing w:val="-101"/>
        </w:rPr>
        <w:t> </w:t>
      </w:r>
      <w:r>
        <w:rPr>
          <w:spacing w:val="-101"/>
        </w:rPr>
      </w:r>
      <w:r>
        <w:rPr/>
        <w:t>理。相关公告已在中国证监会指定创业板信息披露网站公告。</w:t>
      </w:r>
    </w:p>
    <w:p>
      <w:pPr>
        <w:pStyle w:val="BodyText"/>
        <w:spacing w:line="348" w:lineRule="auto" w:before="164"/>
        <w:ind w:left="120" w:right="236" w:firstLine="480"/>
        <w:jc w:val="both"/>
      </w:pPr>
      <w:r>
        <w:rPr>
          <w:rFonts w:ascii="Times New Roman" w:hAnsi="Times New Roman" w:cs="Times New Roman" w:eastAsia="Times New Roman" w:hint="default"/>
          <w:spacing w:val="-5"/>
        </w:rPr>
        <w:t>4</w:t>
      </w:r>
      <w:r>
        <w:rPr>
          <w:spacing w:val="-5"/>
        </w:rPr>
        <w:t>、</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6"/>
        </w:rPr>
        <w:t> </w:t>
      </w:r>
      <w:r>
        <w:rPr/>
        <w:t>年</w:t>
      </w:r>
      <w:r>
        <w:rPr>
          <w:spacing w:val="-68"/>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10</w:t>
      </w:r>
      <w:r>
        <w:rPr>
          <w:rFonts w:ascii="Times New Roman" w:hAnsi="Times New Roman" w:cs="Times New Roman" w:eastAsia="Times New Roman" w:hint="default"/>
          <w:spacing w:val="-6"/>
        </w:rPr>
        <w:t> </w:t>
      </w:r>
      <w:r>
        <w:rPr/>
        <w:t>日，公司第一届董事会第十三次会议审议通过了《关于提请 </w:t>
      </w:r>
      <w:r>
        <w:rPr>
          <w:spacing w:val="-7"/>
        </w:rPr>
        <w:t>聘任王斌为董事长助理（副总经理级别）的议案》，聘任王斌先生为公司的董事长助</w:t>
      </w:r>
      <w:r>
        <w:rPr>
          <w:spacing w:val="-101"/>
        </w:rPr>
        <w:t> </w:t>
      </w:r>
      <w:r>
        <w:rPr>
          <w:spacing w:val="-101"/>
        </w:rPr>
      </w:r>
      <w:r>
        <w:rPr>
          <w:spacing w:val="-4"/>
        </w:rPr>
        <w:t>理（副总经理级别）。相关公告已在中国证监会指定创业板信息披露网站公告。</w:t>
      </w:r>
    </w:p>
    <w:p>
      <w:pPr>
        <w:pStyle w:val="BodyText"/>
        <w:spacing w:line="348" w:lineRule="auto" w:before="164"/>
        <w:ind w:left="120" w:right="239" w:firstLine="480"/>
        <w:jc w:val="both"/>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16</w:t>
      </w:r>
      <w:r>
        <w:rPr/>
        <w:t>日公司原副总经理兼董事会秘书杨爱国先生因工作需要向董事 </w:t>
      </w:r>
      <w:r>
        <w:rPr>
          <w:spacing w:val="-3"/>
        </w:rPr>
        <w:t>会提出辞去董事会秘书职务的申请，经董事会同意，杨爱国先生于</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9</w:t>
      </w:r>
      <w:r>
        <w:rPr>
          <w:spacing w:val="-3"/>
        </w:rPr>
        <w:t>月</w:t>
      </w:r>
      <w:r>
        <w:rPr>
          <w:rFonts w:ascii="Times New Roman" w:hAnsi="Times New Roman" w:cs="Times New Roman" w:eastAsia="Times New Roman" w:hint="default"/>
          <w:spacing w:val="-3"/>
        </w:rPr>
        <w:t>16</w:t>
      </w:r>
      <w:r>
        <w:rPr>
          <w:spacing w:val="-3"/>
        </w:rPr>
        <w:t>日起</w:t>
      </w:r>
      <w:r>
        <w:rPr/>
        <w:t> 不再兼任公司董事会秘书的职务，仍然担任公司副总经理的职务；在公司聘任新的 董事会秘书之前，公司董事会指定公司董事长助理（副总经理）王斌先生代为履行 董事会秘书职责。</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29</w:t>
      </w:r>
      <w:r>
        <w:rPr/>
        <w:t>日公司原副总经理杨爱国先生因个人原因申请辞去 公司副总经理职务，至此，杨爱国先生不再担任公司任何职务。相关公告已在中国 证监会指定创业板信息披露网站公告。</w:t>
      </w:r>
    </w:p>
    <w:p>
      <w:pPr>
        <w:spacing w:after="0" w:line="348" w:lineRule="auto"/>
        <w:jc w:val="both"/>
        <w:sectPr>
          <w:pgSz w:w="12240" w:h="15840"/>
          <w:pgMar w:header="0" w:footer="688" w:top="1400" w:bottom="880" w:left="1680" w:right="1560"/>
        </w:sectPr>
      </w:pPr>
    </w:p>
    <w:p>
      <w:pPr>
        <w:pStyle w:val="BodyText"/>
        <w:spacing w:line="352" w:lineRule="auto" w:before="1"/>
        <w:ind w:left="240" w:right="0" w:firstLine="480"/>
        <w:jc w:val="left"/>
      </w:pPr>
      <w:r>
        <w:rPr>
          <w:rFonts w:ascii="Times New Roman" w:hAnsi="Times New Roman" w:cs="Times New Roman" w:eastAsia="Times New Roman" w:hint="default"/>
          <w:spacing w:val="-4"/>
        </w:rPr>
        <w:t>6</w:t>
      </w:r>
      <w:r>
        <w:rPr>
          <w:spacing w:val="-4"/>
        </w:rPr>
        <w:t>、</w:t>
      </w: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13</w:t>
      </w:r>
      <w:r>
        <w:rPr>
          <w:spacing w:val="-4"/>
        </w:rPr>
        <w:t>日，公司第一届董事会第十五次会议审议通过了《关于聘任公</w:t>
      </w:r>
      <w:r>
        <w:rPr/>
        <w:t> 司董事会秘书、副总经理的议案》。经公司董事长刘祥南先生提名，第一届董事会 提名委员会审核，董事会决议聘任王斌先生为公司董事会秘书；同时经公司总经理 </w:t>
      </w:r>
      <w:r>
        <w:rPr>
          <w:spacing w:val="-4"/>
        </w:rPr>
        <w:t>滕达先生提名，董事会提名委员会审核，董事会决议聘任王斌先生为公司副总经理，</w:t>
      </w:r>
      <w:r>
        <w:rPr>
          <w:spacing w:val="-92"/>
        </w:rPr>
        <w:t> </w:t>
      </w:r>
      <w:r>
        <w:rPr>
          <w:spacing w:val="-92"/>
        </w:rPr>
      </w:r>
      <w:r>
        <w:rPr/>
        <w:t>王斌先生作为董事会秘书、副总经理的任期自董事会本次会议通过之日起至第一届 董事会届满之日止。相关公告已在中国证监会指定创业板信息披露网站公告。</w:t>
      </w:r>
    </w:p>
    <w:p>
      <w:pPr>
        <w:spacing w:line="240" w:lineRule="auto" w:before="7"/>
        <w:rPr>
          <w:rFonts w:ascii="宋体" w:hAnsi="宋体" w:cs="宋体" w:eastAsia="宋体" w:hint="default"/>
          <w:sz w:val="33"/>
          <w:szCs w:val="33"/>
        </w:rPr>
      </w:pPr>
    </w:p>
    <w:p>
      <w:pPr>
        <w:pStyle w:val="Heading2"/>
        <w:spacing w:line="360" w:lineRule="exact"/>
        <w:ind w:left="239" w:right="133" w:firstLine="561"/>
        <w:jc w:val="left"/>
        <w:rPr>
          <w:b w:val="0"/>
          <w:bCs w:val="0"/>
        </w:rPr>
      </w:pPr>
      <w:r>
        <w:rPr>
          <w:spacing w:val="-2"/>
          <w:w w:val="95"/>
        </w:rPr>
        <w:t>二、核心技术团队或关键人员变动情况（非董事、监事、高级管理</w:t>
      </w:r>
      <w:r>
        <w:rPr>
          <w:spacing w:val="1"/>
          <w:w w:val="99"/>
        </w:rPr>
        <w:t> </w:t>
      </w:r>
      <w:r>
        <w:rPr/>
        <w:t>人员）</w:t>
      </w:r>
      <w:r>
        <w:rPr>
          <w:b w:val="0"/>
          <w:bCs w:val="0"/>
        </w:rPr>
      </w:r>
    </w:p>
    <w:p>
      <w:pPr>
        <w:pStyle w:val="BodyText"/>
        <w:spacing w:line="357" w:lineRule="auto" w:before="200"/>
        <w:ind w:left="240" w:right="220" w:firstLine="480"/>
        <w:jc w:val="left"/>
      </w:pPr>
      <w:r>
        <w:rPr/>
        <w:t>报告期内，公司核心技术团队或关键人员（非董事、监事、高级管理人员）无 重大变化。</w:t>
      </w:r>
    </w:p>
    <w:p>
      <w:pPr>
        <w:spacing w:line="240" w:lineRule="auto" w:before="4"/>
        <w:rPr>
          <w:rFonts w:ascii="宋体" w:hAnsi="宋体" w:cs="宋体" w:eastAsia="宋体" w:hint="default"/>
          <w:sz w:val="30"/>
          <w:szCs w:val="30"/>
        </w:rPr>
      </w:pPr>
    </w:p>
    <w:p>
      <w:pPr>
        <w:pStyle w:val="Heading2"/>
        <w:spacing w:line="240" w:lineRule="auto"/>
        <w:ind w:left="801" w:right="133"/>
        <w:jc w:val="left"/>
        <w:rPr>
          <w:b w:val="0"/>
          <w:bCs w:val="0"/>
        </w:rPr>
      </w:pPr>
      <w:r>
        <w:rPr/>
        <w:t>三、公司员工情况</w:t>
      </w:r>
      <w:r>
        <w:rPr>
          <w:b w:val="0"/>
          <w:bCs w:val="0"/>
        </w:rPr>
      </w:r>
    </w:p>
    <w:p>
      <w:pPr>
        <w:pStyle w:val="BodyText"/>
        <w:spacing w:line="240" w:lineRule="auto" w:before="233"/>
        <w:ind w:left="720" w:right="133"/>
        <w:jc w:val="left"/>
      </w:pPr>
      <w:r>
        <w:rPr/>
        <w:t>截至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日，公司共有员工</w:t>
      </w:r>
      <w:r>
        <w:rPr>
          <w:rFonts w:ascii="Times New Roman" w:hAnsi="Times New Roman" w:cs="Times New Roman" w:eastAsia="Times New Roman" w:hint="default"/>
        </w:rPr>
        <w:t>641</w:t>
      </w:r>
      <w:r>
        <w:rPr/>
        <w:t>人，员工构成情况如下：</w:t>
      </w:r>
    </w:p>
    <w:p>
      <w:pPr>
        <w:spacing w:line="240" w:lineRule="auto" w:before="8"/>
        <w:rPr>
          <w:rFonts w:ascii="宋体" w:hAnsi="宋体" w:cs="宋体" w:eastAsia="宋体" w:hint="default"/>
          <w:sz w:val="28"/>
          <w:szCs w:val="28"/>
        </w:rPr>
      </w:pPr>
    </w:p>
    <w:p>
      <w:pPr>
        <w:pStyle w:val="Heading3"/>
        <w:spacing w:line="240" w:lineRule="auto"/>
        <w:ind w:left="722" w:right="133"/>
        <w:jc w:val="left"/>
        <w:rPr>
          <w:b w:val="0"/>
          <w:bCs w:val="0"/>
        </w:rPr>
      </w:pPr>
      <w:r>
        <w:rPr>
          <w:rFonts w:ascii="Times New Roman" w:hAnsi="Times New Roman" w:cs="Times New Roman" w:eastAsia="Times New Roman" w:hint="default"/>
        </w:rPr>
        <w:t>1</w:t>
      </w:r>
      <w:r>
        <w:rPr/>
        <w:t>、专业结构</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1"/>
          <w:szCs w:val="11"/>
        </w:rPr>
      </w:pPr>
    </w:p>
    <w:tbl>
      <w:tblPr>
        <w:tblW w:w="0" w:type="auto"/>
        <w:jc w:val="left"/>
        <w:tblInd w:w="116" w:type="dxa"/>
        <w:tblLayout w:type="fixed"/>
        <w:tblCellMar>
          <w:top w:w="0" w:type="dxa"/>
          <w:left w:w="0" w:type="dxa"/>
          <w:bottom w:w="0" w:type="dxa"/>
          <w:right w:w="0" w:type="dxa"/>
        </w:tblCellMar>
        <w:tblLook w:val="01E0"/>
      </w:tblPr>
      <w:tblGrid>
        <w:gridCol w:w="2878"/>
        <w:gridCol w:w="2496"/>
        <w:gridCol w:w="3482"/>
      </w:tblGrid>
      <w:tr>
        <w:trPr>
          <w:trHeight w:val="511" w:hRule="exact"/>
        </w:trPr>
        <w:tc>
          <w:tcPr>
            <w:tcW w:w="2878"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6"/>
              <w:ind w:right="5"/>
              <w:jc w:val="center"/>
              <w:rPr>
                <w:rFonts w:ascii="宋体" w:hAnsi="宋体" w:cs="宋体" w:eastAsia="宋体" w:hint="default"/>
                <w:sz w:val="21"/>
                <w:szCs w:val="21"/>
              </w:rPr>
            </w:pPr>
            <w:r>
              <w:rPr>
                <w:rFonts w:ascii="宋体" w:hAnsi="宋体" w:cs="宋体" w:eastAsia="宋体" w:hint="default"/>
                <w:sz w:val="21"/>
                <w:szCs w:val="21"/>
              </w:rPr>
              <w:t>人员类型</w:t>
            </w:r>
          </w:p>
        </w:tc>
        <w:tc>
          <w:tcPr>
            <w:tcW w:w="2496"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6"/>
              <w:ind w:right="1"/>
              <w:jc w:val="center"/>
              <w:rPr>
                <w:rFonts w:ascii="宋体" w:hAnsi="宋体" w:cs="宋体" w:eastAsia="宋体" w:hint="default"/>
                <w:sz w:val="21"/>
                <w:szCs w:val="21"/>
              </w:rPr>
            </w:pPr>
            <w:r>
              <w:rPr>
                <w:rFonts w:ascii="宋体" w:hAnsi="宋体" w:cs="宋体" w:eastAsia="宋体" w:hint="default"/>
                <w:sz w:val="21"/>
                <w:szCs w:val="21"/>
              </w:rPr>
              <w:t>人数（人）</w:t>
            </w:r>
          </w:p>
        </w:tc>
        <w:tc>
          <w:tcPr>
            <w:tcW w:w="3482"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6"/>
              <w:ind w:left="8" w:right="0"/>
              <w:jc w:val="center"/>
              <w:rPr>
                <w:rFonts w:ascii="宋体" w:hAnsi="宋体" w:cs="宋体" w:eastAsia="宋体" w:hint="default"/>
                <w:sz w:val="21"/>
                <w:szCs w:val="21"/>
              </w:rPr>
            </w:pPr>
            <w:r>
              <w:rPr>
                <w:rFonts w:ascii="宋体" w:hAnsi="宋体" w:cs="宋体" w:eastAsia="宋体" w:hint="default"/>
                <w:sz w:val="21"/>
                <w:szCs w:val="21"/>
              </w:rPr>
              <w:t>占员工总数的比例</w:t>
            </w:r>
          </w:p>
        </w:tc>
      </w:tr>
      <w:tr>
        <w:trPr>
          <w:trHeight w:val="412" w:hRule="exact"/>
        </w:trPr>
        <w:tc>
          <w:tcPr>
            <w:tcW w:w="28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sz w:val="21"/>
                <w:szCs w:val="21"/>
              </w:rPr>
              <w:t>研发及技术支持人员</w:t>
            </w:r>
          </w:p>
        </w:tc>
        <w:tc>
          <w:tcPr>
            <w:tcW w:w="2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420</w:t>
            </w:r>
          </w:p>
        </w:tc>
        <w:tc>
          <w:tcPr>
            <w:tcW w:w="34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65.52</w:t>
            </w:r>
            <w:r>
              <w:rPr>
                <w:rFonts w:ascii="宋体" w:hAnsi="宋体" w:cs="宋体" w:eastAsia="宋体" w:hint="default"/>
                <w:sz w:val="21"/>
                <w:szCs w:val="21"/>
              </w:rPr>
              <w:t>％</w:t>
            </w:r>
          </w:p>
        </w:tc>
      </w:tr>
      <w:tr>
        <w:trPr>
          <w:trHeight w:val="412" w:hRule="exact"/>
        </w:trPr>
        <w:tc>
          <w:tcPr>
            <w:tcW w:w="28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sz w:val="21"/>
                <w:szCs w:val="21"/>
              </w:rPr>
              <w:t>市场、营销人员</w:t>
            </w:r>
          </w:p>
        </w:tc>
        <w:tc>
          <w:tcPr>
            <w:tcW w:w="2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129</w:t>
            </w:r>
          </w:p>
        </w:tc>
        <w:tc>
          <w:tcPr>
            <w:tcW w:w="34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宋体" w:hAnsi="宋体" w:cs="宋体" w:eastAsia="宋体" w:hint="default"/>
                <w:sz w:val="21"/>
                <w:szCs w:val="21"/>
              </w:rPr>
              <w:t>％</w:t>
            </w:r>
          </w:p>
        </w:tc>
      </w:tr>
      <w:tr>
        <w:trPr>
          <w:trHeight w:val="413" w:hRule="exact"/>
        </w:trPr>
        <w:tc>
          <w:tcPr>
            <w:tcW w:w="28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2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48</w:t>
            </w:r>
          </w:p>
        </w:tc>
        <w:tc>
          <w:tcPr>
            <w:tcW w:w="34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7.49</w:t>
            </w:r>
            <w:r>
              <w:rPr>
                <w:rFonts w:ascii="宋体" w:hAnsi="宋体" w:cs="宋体" w:eastAsia="宋体" w:hint="default"/>
                <w:sz w:val="21"/>
                <w:szCs w:val="21"/>
              </w:rPr>
              <w:t>％</w:t>
            </w:r>
          </w:p>
        </w:tc>
      </w:tr>
      <w:tr>
        <w:trPr>
          <w:trHeight w:val="412" w:hRule="exact"/>
        </w:trPr>
        <w:tc>
          <w:tcPr>
            <w:tcW w:w="28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14</w:t>
            </w:r>
          </w:p>
        </w:tc>
        <w:tc>
          <w:tcPr>
            <w:tcW w:w="34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2.18</w:t>
            </w:r>
            <w:r>
              <w:rPr>
                <w:rFonts w:ascii="宋体" w:hAnsi="宋体" w:cs="宋体" w:eastAsia="宋体" w:hint="default"/>
                <w:sz w:val="21"/>
                <w:szCs w:val="21"/>
              </w:rPr>
              <w:t>％</w:t>
            </w:r>
          </w:p>
        </w:tc>
      </w:tr>
      <w:tr>
        <w:trPr>
          <w:trHeight w:val="412" w:hRule="exact"/>
        </w:trPr>
        <w:tc>
          <w:tcPr>
            <w:tcW w:w="287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30</w:t>
            </w:r>
          </w:p>
        </w:tc>
        <w:tc>
          <w:tcPr>
            <w:tcW w:w="348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4.68</w:t>
            </w:r>
            <w:r>
              <w:rPr>
                <w:rFonts w:ascii="宋体" w:hAnsi="宋体" w:cs="宋体" w:eastAsia="宋体" w:hint="default"/>
                <w:sz w:val="21"/>
                <w:szCs w:val="21"/>
              </w:rPr>
              <w:t>％</w:t>
            </w:r>
          </w:p>
        </w:tc>
      </w:tr>
      <w:tr>
        <w:trPr>
          <w:trHeight w:val="421" w:hRule="exact"/>
        </w:trPr>
        <w:tc>
          <w:tcPr>
            <w:tcW w:w="287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合 计</w:t>
            </w:r>
          </w:p>
        </w:tc>
        <w:tc>
          <w:tcPr>
            <w:tcW w:w="24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641</w:t>
            </w:r>
          </w:p>
        </w:tc>
        <w:tc>
          <w:tcPr>
            <w:tcW w:w="348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tc>
      </w:tr>
    </w:tbl>
    <w:p>
      <w:pPr>
        <w:spacing w:line="240" w:lineRule="auto" w:before="5"/>
        <w:rPr>
          <w:rFonts w:ascii="宋体" w:hAnsi="宋体" w:cs="宋体" w:eastAsia="宋体" w:hint="default"/>
          <w:b/>
          <w:bCs/>
          <w:sz w:val="13"/>
          <w:szCs w:val="13"/>
        </w:rPr>
      </w:pPr>
    </w:p>
    <w:p>
      <w:pPr>
        <w:spacing w:before="26"/>
        <w:ind w:left="722" w:right="13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、受教育程度分布</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1"/>
          <w:szCs w:val="11"/>
        </w:rPr>
      </w:pPr>
    </w:p>
    <w:tbl>
      <w:tblPr>
        <w:tblW w:w="0" w:type="auto"/>
        <w:jc w:val="left"/>
        <w:tblInd w:w="116" w:type="dxa"/>
        <w:tblLayout w:type="fixed"/>
        <w:tblCellMar>
          <w:top w:w="0" w:type="dxa"/>
          <w:left w:w="0" w:type="dxa"/>
          <w:bottom w:w="0" w:type="dxa"/>
          <w:right w:w="0" w:type="dxa"/>
        </w:tblCellMar>
        <w:tblLook w:val="01E0"/>
      </w:tblPr>
      <w:tblGrid>
        <w:gridCol w:w="2881"/>
        <w:gridCol w:w="2221"/>
        <w:gridCol w:w="3754"/>
      </w:tblGrid>
      <w:tr>
        <w:trPr>
          <w:trHeight w:val="511" w:hRule="exact"/>
        </w:trPr>
        <w:tc>
          <w:tcPr>
            <w:tcW w:w="2881"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6"/>
              <w:ind w:right="5"/>
              <w:jc w:val="center"/>
              <w:rPr>
                <w:rFonts w:ascii="宋体" w:hAnsi="宋体" w:cs="宋体" w:eastAsia="宋体" w:hint="default"/>
                <w:sz w:val="21"/>
                <w:szCs w:val="21"/>
              </w:rPr>
            </w:pPr>
            <w:r>
              <w:rPr>
                <w:rFonts w:ascii="宋体" w:hAnsi="宋体" w:cs="宋体" w:eastAsia="宋体" w:hint="default"/>
                <w:sz w:val="21"/>
                <w:szCs w:val="21"/>
              </w:rPr>
              <w:t>学历</w:t>
            </w:r>
          </w:p>
        </w:tc>
        <w:tc>
          <w:tcPr>
            <w:tcW w:w="2221"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人数（人）</w:t>
            </w:r>
          </w:p>
        </w:tc>
        <w:tc>
          <w:tcPr>
            <w:tcW w:w="3754"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6"/>
              <w:ind w:left="7" w:right="0"/>
              <w:jc w:val="center"/>
              <w:rPr>
                <w:rFonts w:ascii="宋体" w:hAnsi="宋体" w:cs="宋体" w:eastAsia="宋体" w:hint="default"/>
                <w:sz w:val="21"/>
                <w:szCs w:val="21"/>
              </w:rPr>
            </w:pPr>
            <w:r>
              <w:rPr>
                <w:rFonts w:ascii="宋体" w:hAnsi="宋体" w:cs="宋体" w:eastAsia="宋体" w:hint="default"/>
                <w:sz w:val="21"/>
                <w:szCs w:val="21"/>
              </w:rPr>
              <w:t>占员工总数的比例</w:t>
            </w:r>
          </w:p>
        </w:tc>
      </w:tr>
      <w:tr>
        <w:trPr>
          <w:trHeight w:val="412"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sz w:val="21"/>
                <w:szCs w:val="21"/>
              </w:rPr>
              <w:t>硕士及以上学历</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58</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9.05</w:t>
            </w:r>
            <w:r>
              <w:rPr>
                <w:rFonts w:ascii="宋体" w:hAnsi="宋体" w:cs="宋体" w:eastAsia="宋体" w:hint="default"/>
                <w:sz w:val="21"/>
                <w:szCs w:val="21"/>
              </w:rPr>
              <w:t>％</w:t>
            </w:r>
          </w:p>
        </w:tc>
      </w:tr>
      <w:tr>
        <w:trPr>
          <w:trHeight w:val="412"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本科</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387</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60.37</w:t>
            </w:r>
            <w:r>
              <w:rPr>
                <w:rFonts w:ascii="宋体" w:hAnsi="宋体" w:cs="宋体" w:eastAsia="宋体" w:hint="default"/>
                <w:sz w:val="21"/>
                <w:szCs w:val="21"/>
              </w:rPr>
              <w:t>％</w:t>
            </w:r>
          </w:p>
        </w:tc>
      </w:tr>
    </w:tbl>
    <w:p>
      <w:pPr>
        <w:spacing w:after="0" w:line="240" w:lineRule="auto"/>
        <w:jc w:val="center"/>
        <w:rPr>
          <w:rFonts w:ascii="宋体" w:hAnsi="宋体" w:cs="宋体" w:eastAsia="宋体" w:hint="default"/>
          <w:sz w:val="21"/>
          <w:szCs w:val="21"/>
        </w:rPr>
        <w:sectPr>
          <w:pgSz w:w="12240" w:h="15840"/>
          <w:pgMar w:header="0" w:footer="688" w:top="1400" w:bottom="880" w:left="1560" w:right="1560"/>
        </w:sectPr>
      </w:pPr>
    </w:p>
    <w:p>
      <w:pPr>
        <w:spacing w:line="240" w:lineRule="auto" w:before="1"/>
        <w:rPr>
          <w:rFonts w:ascii="宋体" w:hAnsi="宋体" w:cs="宋体" w:eastAsia="宋体" w:hint="default"/>
          <w:b/>
          <w:bCs/>
          <w:sz w:val="6"/>
          <w:szCs w:val="6"/>
        </w:rPr>
      </w:pPr>
    </w:p>
    <w:tbl>
      <w:tblPr>
        <w:tblW w:w="0" w:type="auto"/>
        <w:jc w:val="left"/>
        <w:tblInd w:w="116" w:type="dxa"/>
        <w:tblLayout w:type="fixed"/>
        <w:tblCellMar>
          <w:top w:w="0" w:type="dxa"/>
          <w:left w:w="0" w:type="dxa"/>
          <w:bottom w:w="0" w:type="dxa"/>
          <w:right w:w="0" w:type="dxa"/>
        </w:tblCellMar>
        <w:tblLook w:val="01E0"/>
      </w:tblPr>
      <w:tblGrid>
        <w:gridCol w:w="2881"/>
        <w:gridCol w:w="2221"/>
        <w:gridCol w:w="3754"/>
      </w:tblGrid>
      <w:tr>
        <w:trPr>
          <w:trHeight w:val="412"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大专</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945" w:right="0"/>
              <w:jc w:val="left"/>
              <w:rPr>
                <w:rFonts w:ascii="Times New Roman" w:hAnsi="Times New Roman" w:cs="Times New Roman" w:eastAsia="Times New Roman" w:hint="default"/>
                <w:sz w:val="21"/>
                <w:szCs w:val="21"/>
              </w:rPr>
            </w:pPr>
            <w:r>
              <w:rPr>
                <w:rFonts w:ascii="Times New Roman"/>
                <w:sz w:val="21"/>
              </w:rPr>
              <w:t>152</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23.71</w:t>
            </w:r>
            <w:r>
              <w:rPr>
                <w:rFonts w:ascii="宋体" w:hAnsi="宋体" w:cs="宋体" w:eastAsia="宋体" w:hint="default"/>
                <w:sz w:val="21"/>
                <w:szCs w:val="21"/>
              </w:rPr>
              <w:t>％</w:t>
            </w:r>
          </w:p>
        </w:tc>
      </w:tr>
      <w:tr>
        <w:trPr>
          <w:trHeight w:val="413"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997" w:right="0"/>
              <w:jc w:val="left"/>
              <w:rPr>
                <w:rFonts w:ascii="Times New Roman" w:hAnsi="Times New Roman" w:cs="Times New Roman" w:eastAsia="Times New Roman" w:hint="default"/>
                <w:sz w:val="21"/>
                <w:szCs w:val="21"/>
              </w:rPr>
            </w:pPr>
            <w:r>
              <w:rPr>
                <w:rFonts w:ascii="Times New Roman"/>
                <w:sz w:val="21"/>
              </w:rPr>
              <w:t>44</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6.86</w:t>
            </w:r>
            <w:r>
              <w:rPr>
                <w:rFonts w:ascii="宋体" w:hAnsi="宋体" w:cs="宋体" w:eastAsia="宋体" w:hint="default"/>
                <w:sz w:val="21"/>
                <w:szCs w:val="21"/>
              </w:rPr>
              <w:t>％</w:t>
            </w:r>
          </w:p>
        </w:tc>
      </w:tr>
      <w:tr>
        <w:trPr>
          <w:trHeight w:val="419" w:hRule="exact"/>
        </w:trPr>
        <w:tc>
          <w:tcPr>
            <w:tcW w:w="28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22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6"/>
              <w:ind w:left="945" w:right="0"/>
              <w:jc w:val="left"/>
              <w:rPr>
                <w:rFonts w:ascii="Times New Roman" w:hAnsi="Times New Roman" w:cs="Times New Roman" w:eastAsia="Times New Roman" w:hint="default"/>
                <w:sz w:val="21"/>
                <w:szCs w:val="21"/>
              </w:rPr>
            </w:pPr>
            <w:r>
              <w:rPr>
                <w:rFonts w:ascii="Times New Roman"/>
                <w:sz w:val="21"/>
              </w:rPr>
              <w:t>641</w:t>
            </w:r>
          </w:p>
        </w:tc>
        <w:tc>
          <w:tcPr>
            <w:tcW w:w="375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tc>
      </w:tr>
    </w:tbl>
    <w:p>
      <w:pPr>
        <w:spacing w:line="240" w:lineRule="auto" w:before="5"/>
        <w:rPr>
          <w:rFonts w:ascii="宋体" w:hAnsi="宋体" w:cs="宋体" w:eastAsia="宋体" w:hint="default"/>
          <w:b/>
          <w:bCs/>
          <w:sz w:val="13"/>
          <w:szCs w:val="13"/>
        </w:rPr>
      </w:pPr>
    </w:p>
    <w:p>
      <w:pPr>
        <w:spacing w:before="26"/>
        <w:ind w:left="722" w:right="133"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、年龄分布</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1"/>
          <w:szCs w:val="11"/>
        </w:rPr>
      </w:pPr>
    </w:p>
    <w:tbl>
      <w:tblPr>
        <w:tblW w:w="0" w:type="auto"/>
        <w:jc w:val="left"/>
        <w:tblInd w:w="116" w:type="dxa"/>
        <w:tblLayout w:type="fixed"/>
        <w:tblCellMar>
          <w:top w:w="0" w:type="dxa"/>
          <w:left w:w="0" w:type="dxa"/>
          <w:bottom w:w="0" w:type="dxa"/>
          <w:right w:w="0" w:type="dxa"/>
        </w:tblCellMar>
        <w:tblLook w:val="01E0"/>
      </w:tblPr>
      <w:tblGrid>
        <w:gridCol w:w="2881"/>
        <w:gridCol w:w="2221"/>
        <w:gridCol w:w="3754"/>
      </w:tblGrid>
      <w:tr>
        <w:trPr>
          <w:trHeight w:val="511" w:hRule="exact"/>
        </w:trPr>
        <w:tc>
          <w:tcPr>
            <w:tcW w:w="2881" w:type="dxa"/>
            <w:tcBorders>
              <w:top w:val="single" w:sz="12" w:space="0" w:color="000000"/>
              <w:left w:val="single" w:sz="12" w:space="0" w:color="000000"/>
              <w:bottom w:val="single" w:sz="6" w:space="0" w:color="000000"/>
              <w:right w:val="single" w:sz="6" w:space="0" w:color="000000"/>
            </w:tcBorders>
            <w:shd w:val="clear" w:color="auto" w:fill="CCCCCC"/>
          </w:tcPr>
          <w:p>
            <w:pPr>
              <w:pStyle w:val="TableParagraph"/>
              <w:spacing w:line="240" w:lineRule="auto" w:before="6"/>
              <w:ind w:right="5"/>
              <w:jc w:val="center"/>
              <w:rPr>
                <w:rFonts w:ascii="宋体" w:hAnsi="宋体" w:cs="宋体" w:eastAsia="宋体" w:hint="default"/>
                <w:sz w:val="21"/>
                <w:szCs w:val="21"/>
              </w:rPr>
            </w:pPr>
            <w:r>
              <w:rPr>
                <w:rFonts w:ascii="宋体" w:hAnsi="宋体" w:cs="宋体" w:eastAsia="宋体" w:hint="default"/>
                <w:sz w:val="21"/>
                <w:szCs w:val="21"/>
              </w:rPr>
              <w:t>年龄区间</w:t>
            </w:r>
          </w:p>
        </w:tc>
        <w:tc>
          <w:tcPr>
            <w:tcW w:w="2221" w:type="dxa"/>
            <w:tcBorders>
              <w:top w:val="single" w:sz="12" w:space="0" w:color="000000"/>
              <w:left w:val="single" w:sz="6" w:space="0" w:color="000000"/>
              <w:bottom w:val="single" w:sz="6" w:space="0" w:color="000000"/>
              <w:right w:val="single" w:sz="6" w:space="0" w:color="000000"/>
            </w:tcBorders>
            <w:shd w:val="clear" w:color="auto" w:fill="CCCCCC"/>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人数（人）</w:t>
            </w:r>
          </w:p>
        </w:tc>
        <w:tc>
          <w:tcPr>
            <w:tcW w:w="3754" w:type="dxa"/>
            <w:tcBorders>
              <w:top w:val="single" w:sz="12" w:space="0" w:color="000000"/>
              <w:left w:val="single" w:sz="6" w:space="0" w:color="000000"/>
              <w:bottom w:val="single" w:sz="6" w:space="0" w:color="000000"/>
              <w:right w:val="single" w:sz="12" w:space="0" w:color="000000"/>
            </w:tcBorders>
            <w:shd w:val="clear" w:color="auto" w:fill="CCCCCC"/>
          </w:tcPr>
          <w:p>
            <w:pPr>
              <w:pStyle w:val="TableParagraph"/>
              <w:spacing w:line="240" w:lineRule="auto" w:before="6"/>
              <w:ind w:left="7" w:right="0"/>
              <w:jc w:val="center"/>
              <w:rPr>
                <w:rFonts w:ascii="宋体" w:hAnsi="宋体" w:cs="宋体" w:eastAsia="宋体" w:hint="default"/>
                <w:sz w:val="21"/>
                <w:szCs w:val="21"/>
              </w:rPr>
            </w:pPr>
            <w:r>
              <w:rPr>
                <w:rFonts w:ascii="宋体" w:hAnsi="宋体" w:cs="宋体" w:eastAsia="宋体" w:hint="default"/>
                <w:sz w:val="21"/>
                <w:szCs w:val="21"/>
              </w:rPr>
              <w:t>占员工总数的比例</w:t>
            </w:r>
          </w:p>
        </w:tc>
      </w:tr>
      <w:tr>
        <w:trPr>
          <w:trHeight w:val="412"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宋体" w:hAnsi="宋体" w:cs="宋体" w:eastAsia="宋体" w:hint="default"/>
                <w:sz w:val="21"/>
                <w:szCs w:val="21"/>
              </w:rPr>
              <w:t>岁以下</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456</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71.14</w:t>
            </w:r>
            <w:r>
              <w:rPr>
                <w:rFonts w:ascii="宋体" w:hAnsi="宋体" w:cs="宋体" w:eastAsia="宋体" w:hint="default"/>
                <w:sz w:val="21"/>
                <w:szCs w:val="21"/>
              </w:rPr>
              <w:t>％</w:t>
            </w:r>
          </w:p>
        </w:tc>
      </w:tr>
      <w:tr>
        <w:trPr>
          <w:trHeight w:val="413"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9"/>
              <w:ind w:right="5"/>
              <w:jc w:val="center"/>
              <w:rPr>
                <w:rFonts w:ascii="宋体" w:hAnsi="宋体" w:cs="宋体" w:eastAsia="宋体" w:hint="default"/>
                <w:sz w:val="21"/>
                <w:szCs w:val="21"/>
              </w:rPr>
            </w:pPr>
            <w:r>
              <w:rPr>
                <w:rFonts w:ascii="Times New Roman" w:hAnsi="Times New Roman" w:cs="Times New Roman" w:eastAsia="Times New Roman" w:hint="default"/>
                <w:sz w:val="21"/>
                <w:szCs w:val="21"/>
              </w:rPr>
              <w:t>31-40</w:t>
            </w:r>
            <w:r>
              <w:rPr>
                <w:rFonts w:ascii="宋体" w:hAnsi="宋体" w:cs="宋体" w:eastAsia="宋体" w:hint="default"/>
                <w:sz w:val="21"/>
                <w:szCs w:val="21"/>
              </w:rPr>
              <w:t>岁</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161</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9"/>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25.12</w:t>
            </w:r>
            <w:r>
              <w:rPr>
                <w:rFonts w:ascii="宋体" w:hAnsi="宋体" w:cs="宋体" w:eastAsia="宋体" w:hint="default"/>
                <w:sz w:val="21"/>
                <w:szCs w:val="21"/>
              </w:rPr>
              <w:t>％</w:t>
            </w:r>
          </w:p>
        </w:tc>
      </w:tr>
      <w:tr>
        <w:trPr>
          <w:trHeight w:val="412" w:hRule="exact"/>
        </w:trPr>
        <w:tc>
          <w:tcPr>
            <w:tcW w:w="28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Times New Roman" w:hAnsi="Times New Roman" w:cs="Times New Roman" w:eastAsia="Times New Roman" w:hint="default"/>
                <w:sz w:val="21"/>
                <w:szCs w:val="21"/>
              </w:rPr>
              <w:t>41</w:t>
            </w:r>
            <w:r>
              <w:rPr>
                <w:rFonts w:ascii="宋体" w:hAnsi="宋体" w:cs="宋体" w:eastAsia="宋体" w:hint="default"/>
                <w:sz w:val="21"/>
                <w:szCs w:val="21"/>
              </w:rPr>
              <w:t>岁以上</w:t>
            </w:r>
          </w:p>
        </w:tc>
        <w:tc>
          <w:tcPr>
            <w:tcW w:w="2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24</w:t>
            </w:r>
          </w:p>
        </w:tc>
        <w:tc>
          <w:tcPr>
            <w:tcW w:w="3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3.74</w:t>
            </w:r>
            <w:r>
              <w:rPr>
                <w:rFonts w:ascii="宋体" w:hAnsi="宋体" w:cs="宋体" w:eastAsia="宋体" w:hint="default"/>
                <w:sz w:val="21"/>
                <w:szCs w:val="21"/>
              </w:rPr>
              <w:t>％</w:t>
            </w:r>
          </w:p>
        </w:tc>
      </w:tr>
      <w:tr>
        <w:trPr>
          <w:trHeight w:val="421" w:hRule="exact"/>
        </w:trPr>
        <w:tc>
          <w:tcPr>
            <w:tcW w:w="28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hAnsi="宋体" w:cs="宋体" w:eastAsia="宋体" w:hint="default"/>
                <w:sz w:val="21"/>
                <w:szCs w:val="21"/>
              </w:rPr>
              <w:t>合计</w:t>
            </w:r>
          </w:p>
        </w:tc>
        <w:tc>
          <w:tcPr>
            <w:tcW w:w="22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641</w:t>
            </w:r>
          </w:p>
        </w:tc>
        <w:tc>
          <w:tcPr>
            <w:tcW w:w="375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w:t>
            </w:r>
          </w:p>
        </w:tc>
      </w:tr>
    </w:tbl>
    <w:p>
      <w:pPr>
        <w:pStyle w:val="BodyText"/>
        <w:spacing w:line="240" w:lineRule="auto" w:before="81"/>
        <w:ind w:left="720" w:right="133"/>
        <w:jc w:val="left"/>
      </w:pPr>
      <w:r>
        <w:rPr/>
        <w:t>公司没有需要承担费用的离退休人员。</w:t>
      </w:r>
    </w:p>
    <w:p>
      <w:pPr>
        <w:spacing w:after="0" w:line="240" w:lineRule="auto"/>
        <w:jc w:val="left"/>
        <w:sectPr>
          <w:pgSz w:w="12240" w:h="15840"/>
          <w:pgMar w:header="0" w:footer="688" w:top="1360" w:bottom="880" w:left="1560" w:right="1560"/>
        </w:sectPr>
      </w:pPr>
    </w:p>
    <w:p>
      <w:pPr>
        <w:pStyle w:val="Heading1"/>
        <w:tabs>
          <w:tab w:pos="1285" w:val="left" w:leader="none"/>
        </w:tabs>
        <w:spacing w:line="240" w:lineRule="auto" w:before="94"/>
        <w:ind w:right="137"/>
        <w:jc w:val="center"/>
        <w:rPr>
          <w:b w:val="0"/>
          <w:bCs w:val="0"/>
        </w:rPr>
      </w:pPr>
      <w:bookmarkStart w:name="_bookmark6" w:id="7"/>
      <w:bookmarkEnd w:id="7"/>
      <w:r>
        <w:rPr>
          <w:b w:val="0"/>
          <w:bCs w:val="0"/>
        </w:rPr>
      </w:r>
      <w:r>
        <w:rPr>
          <w:w w:val="95"/>
        </w:rPr>
        <w:t>第七节</w:t>
        <w:tab/>
      </w:r>
      <w:r>
        <w:rPr/>
        <w:t>公司治理结构</w:t>
      </w:r>
      <w:r>
        <w:rPr>
          <w:b w:val="0"/>
          <w:bCs w:val="0"/>
        </w:rPr>
      </w:r>
    </w:p>
    <w:p>
      <w:pPr>
        <w:spacing w:line="240" w:lineRule="auto" w:before="8"/>
        <w:rPr>
          <w:rFonts w:ascii="黑体" w:hAnsi="黑体" w:cs="黑体" w:eastAsia="黑体" w:hint="default"/>
          <w:b/>
          <w:bCs/>
          <w:sz w:val="26"/>
          <w:szCs w:val="26"/>
        </w:rPr>
      </w:pPr>
    </w:p>
    <w:p>
      <w:pPr>
        <w:pStyle w:val="Heading2"/>
        <w:spacing w:line="240" w:lineRule="auto"/>
        <w:ind w:left="661" w:right="114"/>
        <w:jc w:val="left"/>
        <w:rPr>
          <w:b w:val="0"/>
          <w:bCs w:val="0"/>
        </w:rPr>
      </w:pPr>
      <w:r>
        <w:rPr/>
        <w:t>一、公司治理情况</w:t>
      </w:r>
      <w:r>
        <w:rPr>
          <w:b w:val="0"/>
          <w:bCs w:val="0"/>
        </w:rPr>
      </w:r>
    </w:p>
    <w:p>
      <w:pPr>
        <w:pStyle w:val="BodyText"/>
        <w:spacing w:line="357" w:lineRule="auto" w:before="233"/>
        <w:ind w:right="239" w:firstLine="480"/>
        <w:jc w:val="both"/>
      </w:pPr>
      <w:r>
        <w:rPr>
          <w:spacing w:val="-7"/>
        </w:rPr>
        <w:t>根据《公司法》、《证券法》等相关法律法规及规范性文件的要求，公司已建立</w:t>
      </w:r>
      <w:r>
        <w:rPr/>
        <w:t> 了由股东大会、董事会、监事会组成的治理结构，公司股东大会、董事会、监事会 分别为公司的最高权力机构、主要决策机构和监督机构，三者与公司高级管理层共 同构建了分工明确、相互配合、相互制衡的运行机制。</w:t>
      </w:r>
    </w:p>
    <w:p>
      <w:pPr>
        <w:pStyle w:val="BodyText"/>
        <w:spacing w:line="357" w:lineRule="auto" w:before="155"/>
        <w:ind w:right="239" w:firstLine="480"/>
        <w:jc w:val="both"/>
      </w:pPr>
      <w:r>
        <w:rPr/>
        <w:t>截至本报告期末，公司股东大会、董事会、监事会按照《公司法》及《公司章 程》的要求履行各自的权利和义务，公司重大生产经营决策、投资决策及重要财务 决策严格按照《公司章程》规定的程序与规则进行，未出现违法违规现象，功能不 断得到完善。</w:t>
      </w:r>
    </w:p>
    <w:p>
      <w:pPr>
        <w:pStyle w:val="BodyText"/>
        <w:spacing w:line="357" w:lineRule="auto" w:before="156"/>
        <w:ind w:right="119" w:firstLine="480"/>
        <w:jc w:val="both"/>
      </w:pPr>
      <w:r>
        <w:rPr/>
        <w:t>为了更好地维护股东权益，确保股东、董事、监事职权的有效履行，规范股东 </w:t>
      </w:r>
      <w:r>
        <w:rPr>
          <w:spacing w:val="-7"/>
        </w:rPr>
        <w:t>大会、董事会及监事会的组织和行为，提高决策效率，根据《公司法》、《证券法》</w:t>
      </w:r>
      <w:r>
        <w:rPr>
          <w:spacing w:val="-101"/>
        </w:rPr>
        <w:t> </w:t>
      </w:r>
      <w:r>
        <w:rPr>
          <w:spacing w:val="-101"/>
        </w:rPr>
      </w:r>
      <w:r>
        <w:rPr>
          <w:spacing w:val="-10"/>
        </w:rPr>
        <w:t>等法律法规的要求，公司加强了内部控制管理制度和体系建设，完善了《公司章程》、</w:t>
      </w:r>
    </w:p>
    <w:p>
      <w:pPr>
        <w:pStyle w:val="BodyText"/>
        <w:spacing w:line="357" w:lineRule="auto" w:before="35"/>
        <w:ind w:right="119"/>
        <w:jc w:val="both"/>
      </w:pPr>
      <w:r>
        <w:rPr/>
        <w:t>《董事、监事和高级管理人员内部问责制度</w:t>
      </w:r>
      <w:r>
        <w:rPr>
          <w:spacing w:val="-120"/>
        </w:rPr>
        <w:t>》、</w:t>
      </w:r>
      <w:r>
        <w:rPr/>
        <w:t>《董事、监事和高级管理人员所持本</w:t>
      </w:r>
      <w:r>
        <w:rPr/>
        <w:t> 公司股份及其变动管理制度</w:t>
      </w:r>
      <w:r>
        <w:rPr>
          <w:spacing w:val="-120"/>
        </w:rPr>
        <w:t>》、</w:t>
      </w:r>
      <w:r>
        <w:rPr/>
        <w:t>《控股股东和实际控制人行为规范管理办法</w:t>
      </w:r>
      <w:r>
        <w:rPr>
          <w:spacing w:val="-120"/>
        </w:rPr>
        <w:t>》、</w:t>
      </w:r>
      <w:r>
        <w:rPr/>
        <w:t>《内幕</w:t>
      </w:r>
      <w:r>
        <w:rPr/>
        <w:t> 信息知情人登记制度</w:t>
      </w:r>
      <w:r>
        <w:rPr>
          <w:spacing w:val="-120"/>
        </w:rPr>
        <w:t>》、</w:t>
      </w:r>
      <w:r>
        <w:rPr/>
        <w:t>《年报信息重大差错责任追究制度</w:t>
      </w:r>
      <w:r>
        <w:rPr>
          <w:spacing w:val="-120"/>
        </w:rPr>
        <w:t>》、</w:t>
      </w:r>
      <w:r>
        <w:rPr/>
        <w:t>《突发事件处理制度</w:t>
      </w:r>
      <w:r>
        <w:rPr>
          <w:spacing w:val="-120"/>
        </w:rPr>
        <w:t>》</w:t>
      </w:r>
      <w:r>
        <w:rPr/>
        <w:t>、</w:t>
      </w:r>
    </w:p>
    <w:p>
      <w:pPr>
        <w:pStyle w:val="BodyText"/>
        <w:spacing w:line="357" w:lineRule="auto" w:before="35"/>
        <w:ind w:right="239"/>
        <w:jc w:val="both"/>
      </w:pPr>
      <w:r>
        <w:rPr>
          <w:spacing w:val="-25"/>
        </w:rPr>
        <w:t>《外部信息报送和使用管理制度》、《对外担保管理制度》、《对外投资管理制度》、《关</w:t>
      </w:r>
      <w:r>
        <w:rPr>
          <w:spacing w:val="-83"/>
        </w:rPr>
        <w:t> </w:t>
      </w:r>
      <w:r>
        <w:rPr>
          <w:spacing w:val="-83"/>
        </w:rPr>
      </w:r>
      <w:r>
        <w:rPr>
          <w:spacing w:val="-19"/>
        </w:rPr>
        <w:t>联交易管理制度》、《信息披露管理制度》、《控股子公司管理制度》、《对外捐赠管理</w:t>
      </w:r>
      <w:r>
        <w:rPr>
          <w:spacing w:val="-99"/>
        </w:rPr>
        <w:t> </w:t>
      </w:r>
      <w:r>
        <w:rPr>
          <w:spacing w:val="-99"/>
        </w:rPr>
      </w:r>
      <w:r>
        <w:rPr/>
        <w:t>制度》等公司治理的基础制度。</w:t>
      </w:r>
    </w:p>
    <w:p>
      <w:pPr>
        <w:spacing w:line="240" w:lineRule="auto" w:before="10"/>
        <w:rPr>
          <w:rFonts w:ascii="宋体" w:hAnsi="宋体" w:cs="宋体" w:eastAsia="宋体" w:hint="default"/>
          <w:sz w:val="33"/>
          <w:szCs w:val="33"/>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（一）股东大会制度运行情况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公司的股东大会由全体股东组成。自设立以来，公司股东大会一直严格按照有</w:t>
      </w:r>
    </w:p>
    <w:p>
      <w:pPr>
        <w:pStyle w:val="BodyText"/>
        <w:spacing w:line="284" w:lineRule="exact"/>
        <w:ind w:right="0"/>
        <w:jc w:val="both"/>
      </w:pPr>
      <w:r>
        <w:rPr/>
        <w:t>关法律</w:t>
      </w:r>
      <w:r>
        <w:rPr>
          <w:spacing w:val="-21"/>
        </w:rPr>
        <w:t>、</w:t>
      </w:r>
      <w:r>
        <w:rPr/>
        <w:t>行政法规</w:t>
      </w:r>
      <w:r>
        <w:rPr>
          <w:spacing w:val="-141"/>
        </w:rPr>
        <w:t>、</w:t>
      </w:r>
      <w:r>
        <w:rPr/>
        <w:t>《公司章程</w:t>
      </w:r>
      <w:r>
        <w:rPr>
          <w:spacing w:val="-21"/>
        </w:rPr>
        <w:t>》及</w:t>
      </w:r>
      <w:r>
        <w:rPr/>
        <w:t>《股东大会议事规则</w:t>
      </w:r>
      <w:r>
        <w:rPr>
          <w:spacing w:val="-21"/>
        </w:rPr>
        <w:t>》</w:t>
      </w:r>
      <w:r>
        <w:rPr/>
        <w:t>的规定规范运作</w:t>
      </w:r>
      <w:r>
        <w:rPr>
          <w:spacing w:val="-21"/>
        </w:rPr>
        <w:t>。</w:t>
      </w:r>
      <w:r>
        <w:rPr/>
        <w:t>报告期</w:t>
      </w:r>
    </w:p>
    <w:p>
      <w:pPr>
        <w:pStyle w:val="BodyText"/>
        <w:spacing w:line="338" w:lineRule="auto" w:before="152"/>
        <w:ind w:right="119"/>
        <w:jc w:val="both"/>
      </w:pPr>
      <w:r>
        <w:rPr>
          <w:spacing w:val="-5"/>
        </w:rPr>
        <w:t>内，公司共召开 </w:t>
      </w:r>
      <w:r>
        <w:rPr>
          <w:rFonts w:ascii="Times New Roman" w:hAnsi="Times New Roman" w:cs="Times New Roman" w:eastAsia="Times New Roman" w:hint="default"/>
        </w:rPr>
        <w:t>2</w:t>
      </w:r>
      <w:r>
        <w:rPr>
          <w:rFonts w:ascii="Times New Roman" w:hAnsi="Times New Roman" w:cs="Times New Roman" w:eastAsia="Times New Roman" w:hint="default"/>
          <w:spacing w:val="-25"/>
        </w:rPr>
        <w:t> </w:t>
      </w:r>
      <w:r>
        <w:rPr>
          <w:spacing w:val="-4"/>
        </w:rPr>
        <w:t>次股东大会，历次股东大会的召开、决议内容及签署合法、合规、</w:t>
      </w:r>
      <w:r>
        <w:rPr/>
        <w:t> 真实、有效。</w:t>
      </w:r>
    </w:p>
    <w:p>
      <w:pPr>
        <w:spacing w:after="0" w:line="338" w:lineRule="auto"/>
        <w:jc w:val="both"/>
        <w:sectPr>
          <w:pgSz w:w="12240" w:h="15840"/>
          <w:pgMar w:header="0" w:footer="688" w:top="1500" w:bottom="880" w:left="1700" w:right="1560"/>
        </w:sectPr>
      </w:pPr>
    </w:p>
    <w:p>
      <w:pPr>
        <w:spacing w:line="422" w:lineRule="auto" w:before="7"/>
        <w:ind w:left="580" w:right="100" w:firstLine="2"/>
        <w:jc w:val="left"/>
        <w:rPr>
          <w:rFonts w:ascii="宋体" w:hAnsi="宋体" w:cs="宋体" w:eastAsia="宋体" w:hint="default"/>
          <w:sz w:val="24"/>
          <w:szCs w:val="24"/>
        </w:rPr>
      </w:pPr>
      <w:r>
        <w:rPr>
          <w:rFonts w:ascii="宋体" w:hAnsi="宋体" w:cs="宋体" w:eastAsia="宋体" w:hint="default"/>
          <w:b/>
          <w:bCs/>
          <w:sz w:val="24"/>
          <w:szCs w:val="24"/>
        </w:rPr>
        <w:t>（二）控股股东情况</w:t>
      </w:r>
      <w:r>
        <w:rPr>
          <w:rFonts w:ascii="宋体" w:hAnsi="宋体" w:cs="宋体" w:eastAsia="宋体" w:hint="default"/>
          <w:b/>
          <w:bCs/>
          <w:spacing w:val="1"/>
          <w:w w:val="99"/>
          <w:sz w:val="24"/>
          <w:szCs w:val="24"/>
        </w:rPr>
        <w:t> </w:t>
      </w:r>
      <w:r>
        <w:rPr>
          <w:rFonts w:ascii="宋体" w:hAnsi="宋体" w:cs="宋体" w:eastAsia="宋体" w:hint="default"/>
          <w:spacing w:val="-14"/>
          <w:sz w:val="24"/>
          <w:szCs w:val="24"/>
        </w:rPr>
        <w:t>截至本报告期末，公司严格按照《公司法》、《证券法》等有关法律、法规和《公</w:t>
      </w:r>
      <w:r>
        <w:rPr>
          <w:rFonts w:ascii="宋体" w:hAnsi="宋体" w:cs="宋体" w:eastAsia="宋体" w:hint="default"/>
          <w:sz w:val="24"/>
          <w:szCs w:val="24"/>
        </w:rPr>
      </w:r>
    </w:p>
    <w:p>
      <w:pPr>
        <w:pStyle w:val="BodyText"/>
        <w:spacing w:line="284" w:lineRule="exact"/>
        <w:ind w:right="0"/>
        <w:jc w:val="both"/>
      </w:pPr>
      <w:r>
        <w:rPr/>
        <w:t>司章程》的要求规范运作，在业务、资产、人员、机构和财务等方面与公司股东保</w:t>
      </w:r>
    </w:p>
    <w:p>
      <w:pPr>
        <w:pStyle w:val="BodyText"/>
        <w:spacing w:line="357" w:lineRule="auto" w:before="152"/>
        <w:ind w:right="119"/>
        <w:jc w:val="both"/>
      </w:pPr>
      <w:r>
        <w:rPr/>
        <w:t>持独立。公司控股股东严格遵守相关法律法规，严格规范自己的行为，没有发生超 越股东大会直接或间接干预公司的经营活动和公司决策的情况。</w:t>
      </w:r>
    </w:p>
    <w:p>
      <w:pPr>
        <w:spacing w:line="240" w:lineRule="auto" w:before="10"/>
        <w:rPr>
          <w:rFonts w:ascii="宋体" w:hAnsi="宋体" w:cs="宋体" w:eastAsia="宋体" w:hint="default"/>
          <w:sz w:val="33"/>
          <w:szCs w:val="33"/>
        </w:rPr>
      </w:pPr>
    </w:p>
    <w:p>
      <w:pPr>
        <w:pStyle w:val="Heading3"/>
        <w:spacing w:line="240" w:lineRule="auto"/>
        <w:ind w:left="582" w:right="100"/>
        <w:jc w:val="left"/>
        <w:rPr>
          <w:b w:val="0"/>
          <w:bCs w:val="0"/>
        </w:rPr>
      </w:pPr>
      <w:r>
        <w:rPr/>
        <w:t>（三）董事会制度运行情况</w:t>
      </w:r>
      <w:r>
        <w:rPr>
          <w:b w:val="0"/>
          <w:bCs w:val="0"/>
        </w:rPr>
      </w:r>
    </w:p>
    <w:p>
      <w:pPr>
        <w:spacing w:line="240" w:lineRule="auto" w:before="4"/>
        <w:rPr>
          <w:rFonts w:ascii="宋体" w:hAnsi="宋体" w:cs="宋体" w:eastAsia="宋体" w:hint="default"/>
          <w:b/>
          <w:bCs/>
          <w:sz w:val="18"/>
          <w:szCs w:val="18"/>
        </w:rPr>
      </w:pPr>
    </w:p>
    <w:p>
      <w:pPr>
        <w:pStyle w:val="BodyText"/>
        <w:spacing w:line="348" w:lineRule="auto"/>
        <w:ind w:right="116" w:firstLine="480"/>
        <w:jc w:val="both"/>
      </w:pPr>
      <w:r>
        <w:rPr/>
        <w:t>公司董事会由</w:t>
      </w:r>
      <w:r>
        <w:rPr>
          <w:spacing w:val="-60"/>
        </w:rPr>
        <w:t> </w:t>
      </w:r>
      <w:r>
        <w:rPr>
          <w:rFonts w:ascii="Times New Roman" w:hAnsi="Times New Roman" w:cs="Times New Roman" w:eastAsia="Times New Roman" w:hint="default"/>
        </w:rPr>
        <w:t>7 </w:t>
      </w:r>
      <w:r>
        <w:rPr/>
        <w:t>名董事组成，其中独立董事</w:t>
      </w:r>
      <w:r>
        <w:rPr>
          <w:spacing w:val="-60"/>
        </w:rPr>
        <w:t> </w:t>
      </w:r>
      <w:r>
        <w:rPr>
          <w:rFonts w:ascii="Times New Roman" w:hAnsi="Times New Roman" w:cs="Times New Roman" w:eastAsia="Times New Roman" w:hint="default"/>
        </w:rPr>
        <w:t>3 </w:t>
      </w:r>
      <w:r>
        <w:rPr/>
        <w:t>名，董事会的人数及人员构成符 合法律、法规和《公司章程》的要求；董事会下设战略委员会、审计委员会、提名 委员会及薪酬与考核委员会</w:t>
      </w:r>
      <w:r>
        <w:rPr>
          <w:spacing w:val="-60"/>
        </w:rPr>
        <w:t> </w:t>
      </w:r>
      <w:r>
        <w:rPr>
          <w:rFonts w:ascii="Times New Roman" w:hAnsi="Times New Roman" w:cs="Times New Roman" w:eastAsia="Times New Roman" w:hint="default"/>
        </w:rPr>
        <w:t>4 </w:t>
      </w:r>
      <w:r>
        <w:rPr>
          <w:spacing w:val="-10"/>
        </w:rPr>
        <w:t>个专门委员会。公司制定了《董事会议事规则》，董事</w:t>
      </w:r>
      <w:r>
        <w:rPr/>
        <w:t> 会规范运行。报告期内，公司共召开</w:t>
      </w:r>
      <w:r>
        <w:rPr>
          <w:spacing w:val="-60"/>
        </w:rPr>
        <w:t> </w:t>
      </w:r>
      <w:r>
        <w:rPr>
          <w:rFonts w:ascii="Times New Roman" w:hAnsi="Times New Roman" w:cs="Times New Roman" w:eastAsia="Times New Roman" w:hint="default"/>
        </w:rPr>
        <w:t>7 </w:t>
      </w:r>
      <w:r>
        <w:rPr/>
        <w:t>次董事会，会议的召开、决议内容及签署合 </w:t>
      </w:r>
      <w:r>
        <w:rPr>
          <w:spacing w:val="-7"/>
        </w:rPr>
        <w:t>法、合规、真实、有效。各位董事能够依据《董事会议事规则》、《独立董事工作制</w:t>
      </w:r>
      <w:r>
        <w:rPr>
          <w:spacing w:val="-101"/>
        </w:rPr>
        <w:t> </w:t>
      </w:r>
      <w:r>
        <w:rPr>
          <w:spacing w:val="-101"/>
        </w:rPr>
      </w:r>
      <w:r>
        <w:rPr>
          <w:spacing w:val="-7"/>
        </w:rPr>
        <w:t>度》、《深圳证券交易所创业板上市公司规范运作指引》等开展工作，出席董事会和</w:t>
      </w:r>
      <w:r>
        <w:rPr>
          <w:spacing w:val="-101"/>
        </w:rPr>
        <w:t> </w:t>
      </w:r>
      <w:r>
        <w:rPr>
          <w:spacing w:val="-101"/>
        </w:rPr>
      </w:r>
      <w:r>
        <w:rPr/>
        <w:t>股东大会，勤勉尽责地履行职务和义务。</w:t>
      </w:r>
    </w:p>
    <w:p>
      <w:pPr>
        <w:spacing w:line="240" w:lineRule="auto" w:before="7"/>
        <w:rPr>
          <w:rFonts w:ascii="宋体" w:hAnsi="宋体" w:cs="宋体" w:eastAsia="宋体" w:hint="default"/>
          <w:sz w:val="34"/>
          <w:szCs w:val="34"/>
        </w:rPr>
      </w:pPr>
    </w:p>
    <w:p>
      <w:pPr>
        <w:pStyle w:val="Heading3"/>
        <w:spacing w:line="240" w:lineRule="auto"/>
        <w:ind w:left="582" w:right="100"/>
        <w:jc w:val="left"/>
        <w:rPr>
          <w:b w:val="0"/>
          <w:bCs w:val="0"/>
        </w:rPr>
      </w:pPr>
      <w:r>
        <w:rPr/>
        <w:t>（四）监事会制度运行情况</w:t>
      </w:r>
      <w:r>
        <w:rPr>
          <w:b w:val="0"/>
          <w:bCs w:val="0"/>
        </w:rPr>
      </w:r>
    </w:p>
    <w:p>
      <w:pPr>
        <w:spacing w:line="240" w:lineRule="auto" w:before="4"/>
        <w:rPr>
          <w:rFonts w:ascii="宋体" w:hAnsi="宋体" w:cs="宋体" w:eastAsia="宋体" w:hint="default"/>
          <w:b/>
          <w:bCs/>
          <w:sz w:val="18"/>
          <w:szCs w:val="18"/>
        </w:rPr>
      </w:pPr>
    </w:p>
    <w:p>
      <w:pPr>
        <w:pStyle w:val="BodyText"/>
        <w:spacing w:line="240" w:lineRule="auto"/>
        <w:ind w:left="580" w:right="0"/>
        <w:jc w:val="left"/>
        <w:rPr>
          <w:rFonts w:ascii="Times New Roman" w:hAnsi="Times New Roman" w:cs="Times New Roman" w:eastAsia="Times New Roman" w:hint="default"/>
        </w:rPr>
      </w:pPr>
      <w:r>
        <w:rPr/>
        <w:t>公司监事会由</w:t>
      </w:r>
      <w:r>
        <w:rPr>
          <w:spacing w:val="-48"/>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名监事组成，其中职工代表监事</w:t>
      </w:r>
      <w:r>
        <w:rPr>
          <w:spacing w:val="-48"/>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名，监事会设监事会主席</w:t>
      </w:r>
      <w:r>
        <w:rPr>
          <w:spacing w:val="-48"/>
        </w:rPr>
        <w:t> </w:t>
      </w:r>
      <w:r>
        <w:rPr>
          <w:rFonts w:ascii="Times New Roman" w:hAnsi="Times New Roman" w:cs="Times New Roman" w:eastAsia="Times New Roman" w:hint="default"/>
        </w:rPr>
        <w:t>1</w:t>
      </w:r>
    </w:p>
    <w:p>
      <w:pPr>
        <w:pStyle w:val="BodyText"/>
        <w:spacing w:line="350" w:lineRule="auto" w:before="134"/>
        <w:ind w:right="119"/>
        <w:jc w:val="both"/>
      </w:pPr>
      <w:r>
        <w:rPr>
          <w:spacing w:val="-4"/>
        </w:rPr>
        <w:t>名。报告期内，公司共召开</w:t>
      </w:r>
      <w:r>
        <w:rPr>
          <w:spacing w:val="-60"/>
        </w:rPr>
        <w:t> </w:t>
      </w:r>
      <w:r>
        <w:rPr>
          <w:rFonts w:ascii="Times New Roman" w:hAnsi="Times New Roman" w:cs="Times New Roman" w:eastAsia="Times New Roman" w:hint="default"/>
        </w:rPr>
        <w:t>6 </w:t>
      </w:r>
      <w:r>
        <w:rPr>
          <w:spacing w:val="-8"/>
        </w:rPr>
        <w:t>次监事会会议。公司制定了《监事会议事规则》，监事</w:t>
      </w:r>
      <w:r>
        <w:rPr/>
        <w:t> 会会议的召开、决议内容及签署合法、合规、真实、有效。各位监事能够按照《监 事会议事规则》的要求，认真履行自己的职责，对公司的重大交易、关联交易、财 务状况以及董事、高级管理人员履行职责的合法合规性进行监督。</w:t>
      </w:r>
    </w:p>
    <w:p>
      <w:pPr>
        <w:spacing w:line="240" w:lineRule="auto" w:before="4"/>
        <w:rPr>
          <w:rFonts w:ascii="宋体" w:hAnsi="宋体" w:cs="宋体" w:eastAsia="宋体" w:hint="default"/>
          <w:sz w:val="34"/>
          <w:szCs w:val="34"/>
        </w:rPr>
      </w:pPr>
    </w:p>
    <w:p>
      <w:pPr>
        <w:spacing w:line="422" w:lineRule="auto" w:before="0"/>
        <w:ind w:left="580" w:right="105" w:firstLine="2"/>
        <w:jc w:val="left"/>
        <w:rPr>
          <w:rFonts w:ascii="宋体" w:hAnsi="宋体" w:cs="宋体" w:eastAsia="宋体" w:hint="default"/>
          <w:sz w:val="24"/>
          <w:szCs w:val="24"/>
        </w:rPr>
      </w:pPr>
      <w:r>
        <w:rPr>
          <w:rFonts w:ascii="宋体" w:hAnsi="宋体" w:cs="宋体" w:eastAsia="宋体" w:hint="default"/>
          <w:b/>
          <w:bCs/>
          <w:sz w:val="24"/>
          <w:szCs w:val="24"/>
        </w:rPr>
        <w:t>（五）独立董事制度运行情况</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报告期内，公司独立董事严格按照有关的法律、法规、《公司章程》和《独立董</w:t>
      </w:r>
    </w:p>
    <w:p>
      <w:pPr>
        <w:pStyle w:val="BodyText"/>
        <w:spacing w:line="284" w:lineRule="exact"/>
        <w:ind w:right="0"/>
        <w:jc w:val="both"/>
      </w:pPr>
      <w:r>
        <w:rPr/>
        <w:t>事制度》勤勉尽职地履行职责，对需要独立董事发表意见的事项发表了独立意见，</w:t>
      </w:r>
    </w:p>
    <w:p>
      <w:pPr>
        <w:pStyle w:val="BodyText"/>
        <w:spacing w:line="357" w:lineRule="auto" w:before="152"/>
        <w:ind w:right="119"/>
        <w:jc w:val="both"/>
      </w:pPr>
      <w:r>
        <w:rPr/>
        <w:t>对公司内部控制管理及公司发展提出了许多宝贵的意见和建议，对完善公司治理结 构、规范公司运作发挥了积极作用。</w:t>
      </w:r>
    </w:p>
    <w:p>
      <w:pPr>
        <w:spacing w:after="0" w:line="357" w:lineRule="auto"/>
        <w:jc w:val="both"/>
        <w:sectPr>
          <w:pgSz w:w="12240" w:h="15840"/>
          <w:pgMar w:header="0" w:footer="688" w:top="1440" w:bottom="880" w:left="1700" w:right="1680"/>
        </w:sectPr>
      </w:pPr>
    </w:p>
    <w:p>
      <w:pPr>
        <w:spacing w:line="422" w:lineRule="auto" w:before="7"/>
        <w:ind w:left="580" w:right="225" w:firstLine="2"/>
        <w:jc w:val="left"/>
        <w:rPr>
          <w:rFonts w:ascii="宋体" w:hAnsi="宋体" w:cs="宋体" w:eastAsia="宋体" w:hint="default"/>
          <w:sz w:val="24"/>
          <w:szCs w:val="24"/>
        </w:rPr>
      </w:pPr>
      <w:r>
        <w:rPr>
          <w:rFonts w:ascii="宋体" w:hAnsi="宋体" w:cs="宋体" w:eastAsia="宋体" w:hint="default"/>
          <w:b/>
          <w:bCs/>
          <w:sz w:val="24"/>
          <w:szCs w:val="24"/>
        </w:rPr>
        <w:t>（六）董事会秘书制度运行情况</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报告期内，公司董事会秘书按照有关法律、法规、《公司章程》和《董事会秘书</w:t>
      </w:r>
    </w:p>
    <w:p>
      <w:pPr>
        <w:pStyle w:val="BodyText"/>
        <w:spacing w:line="284" w:lineRule="exact"/>
        <w:ind w:right="114"/>
        <w:jc w:val="left"/>
      </w:pPr>
      <w:r>
        <w:rPr/>
        <w:t>工作细则》的规定完成了董事会秘书离任和新任董事会秘书的聘任工作，两任董事</w:t>
      </w:r>
    </w:p>
    <w:p>
      <w:pPr>
        <w:pStyle w:val="BodyText"/>
        <w:spacing w:line="357" w:lineRule="auto" w:before="152"/>
        <w:ind w:right="220"/>
        <w:jc w:val="left"/>
      </w:pPr>
      <w:r>
        <w:rPr/>
        <w:t>会秘书均能认真履行其职责，做好信息披露及投资者关系管理工作，同时，积极参 加深交所组织的各类相关培训，及时学习相关法律法规。</w:t>
      </w:r>
    </w:p>
    <w:p>
      <w:pPr>
        <w:spacing w:line="240" w:lineRule="auto" w:before="10"/>
        <w:rPr>
          <w:rFonts w:ascii="宋体" w:hAnsi="宋体" w:cs="宋体" w:eastAsia="宋体" w:hint="default"/>
          <w:sz w:val="33"/>
          <w:szCs w:val="33"/>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（七）内幕信息知情人管理制度运行情况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公司投资者关系管理部是公司信息披露、内幕信息登记备案的日常办事机构，</w:t>
      </w:r>
    </w:p>
    <w:p>
      <w:pPr>
        <w:pStyle w:val="BodyText"/>
        <w:spacing w:line="284" w:lineRule="exact"/>
        <w:ind w:right="114"/>
        <w:jc w:val="left"/>
      </w:pPr>
      <w:r>
        <w:rPr/>
        <w:t>负责对公司内幕信息知情人进行及时登记，并根据证券监管部门的要求及时报送内</w:t>
      </w:r>
    </w:p>
    <w:p>
      <w:pPr>
        <w:pStyle w:val="BodyText"/>
        <w:spacing w:line="357" w:lineRule="auto" w:before="152"/>
        <w:ind w:right="114"/>
        <w:jc w:val="left"/>
      </w:pPr>
      <w:r>
        <w:rPr>
          <w:spacing w:val="-4"/>
        </w:rPr>
        <w:t>幕信息知情人登记表。报告期内，公司为进一步加强对内部信息知情人的监督管理，</w:t>
      </w:r>
      <w:r>
        <w:rPr>
          <w:spacing w:val="-92"/>
        </w:rPr>
        <w:t> </w:t>
      </w:r>
      <w:r>
        <w:rPr>
          <w:spacing w:val="-92"/>
        </w:rPr>
      </w:r>
      <w:r>
        <w:rPr/>
        <w:t>维护公司及全体股东的合法权益，公司完善了《内幕信息知情人登记制度》、《外 部信息报送和使用管理制度》等制度，对防范内幕交易、提高相关人员的内幕信息 保密意识起到积极作用。</w:t>
      </w:r>
    </w:p>
    <w:p>
      <w:pPr>
        <w:spacing w:line="240" w:lineRule="auto" w:before="10"/>
        <w:rPr>
          <w:rFonts w:ascii="宋体" w:hAnsi="宋体" w:cs="宋体" w:eastAsia="宋体" w:hint="default"/>
          <w:sz w:val="33"/>
          <w:szCs w:val="33"/>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（八）信息披露工作</w:t>
      </w:r>
      <w:r>
        <w:rPr>
          <w:rFonts w:ascii="宋体" w:hAnsi="宋体" w:cs="宋体" w:eastAsia="宋体" w:hint="default"/>
          <w:b/>
          <w:bCs/>
          <w:spacing w:val="1"/>
          <w:w w:val="99"/>
          <w:sz w:val="24"/>
          <w:szCs w:val="24"/>
        </w:rPr>
        <w:t> </w:t>
      </w:r>
      <w:r>
        <w:rPr>
          <w:rFonts w:ascii="宋体" w:hAnsi="宋体" w:cs="宋体" w:eastAsia="宋体" w:hint="default"/>
          <w:sz w:val="24"/>
          <w:szCs w:val="24"/>
        </w:rPr>
        <w:t>公司董事会秘书负责公司的信息披露工作，开展投资者关系管理活动，回复投</w:t>
      </w:r>
    </w:p>
    <w:p>
      <w:pPr>
        <w:pStyle w:val="BodyText"/>
        <w:spacing w:line="284" w:lineRule="exact"/>
        <w:ind w:right="114"/>
        <w:jc w:val="left"/>
      </w:pPr>
      <w:r>
        <w:rPr/>
        <w:t>资者的问询，接待投资者调研。报告期内，公司严格按照《上市公司信息披露管理</w:t>
      </w:r>
    </w:p>
    <w:p>
      <w:pPr>
        <w:pStyle w:val="BodyText"/>
        <w:spacing w:line="357" w:lineRule="auto" w:before="152"/>
        <w:ind w:right="239"/>
        <w:jc w:val="both"/>
      </w:pPr>
      <w:r>
        <w:rPr/>
        <w:t>办法》、《深圳证券交易所创业板上市公司规范运作指引》、公司的《信息披露管 理制度》等相关法律、法规和规范性文件的要求，真实、准确、完整、公平、及时 地在中国证监会指定创业板信息披露网站上披露有关信息，并指定《证券时报》、</w:t>
      </w:r>
    </w:p>
    <w:p>
      <w:pPr>
        <w:pStyle w:val="BodyText"/>
        <w:spacing w:line="357" w:lineRule="auto" w:before="35"/>
        <w:ind w:right="114"/>
        <w:jc w:val="left"/>
      </w:pPr>
      <w:r>
        <w:rPr>
          <w:spacing w:val="-5"/>
        </w:rPr>
        <w:t>《中国证券报》、《证券日报》、《上海证券报》为公司定期报告披露的指定报刊，</w:t>
      </w:r>
      <w:r>
        <w:rPr>
          <w:spacing w:val="-87"/>
        </w:rPr>
        <w:t> </w:t>
      </w:r>
      <w:r>
        <w:rPr>
          <w:spacing w:val="-87"/>
        </w:rPr>
      </w:r>
      <w:r>
        <w:rPr/>
        <w:t>确保公司所有投资者能够平等地获得信息。</w:t>
      </w:r>
    </w:p>
    <w:p>
      <w:pPr>
        <w:spacing w:line="240" w:lineRule="auto" w:before="10"/>
        <w:rPr>
          <w:rFonts w:ascii="宋体" w:hAnsi="宋体" w:cs="宋体" w:eastAsia="宋体" w:hint="default"/>
          <w:sz w:val="33"/>
          <w:szCs w:val="33"/>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（九）投资者关系管理工作</w:t>
      </w:r>
      <w:r>
        <w:rPr>
          <w:rFonts w:ascii="宋体" w:hAnsi="宋体" w:cs="宋体" w:eastAsia="宋体" w:hint="default"/>
          <w:b/>
          <w:bCs/>
          <w:spacing w:val="1"/>
          <w:w w:val="99"/>
          <w:sz w:val="24"/>
          <w:szCs w:val="24"/>
        </w:rPr>
        <w:t> </w:t>
      </w:r>
      <w:r>
        <w:rPr>
          <w:rFonts w:ascii="宋体" w:hAnsi="宋体" w:cs="宋体" w:eastAsia="宋体" w:hint="default"/>
          <w:sz w:val="24"/>
          <w:szCs w:val="24"/>
        </w:rPr>
        <w:t>公司指定董事会秘书为投资者关系管理工作第一责任人，投资者关系管理部为</w:t>
      </w:r>
    </w:p>
    <w:p>
      <w:pPr>
        <w:pStyle w:val="BodyText"/>
        <w:spacing w:line="284" w:lineRule="exact"/>
        <w:ind w:right="114"/>
        <w:jc w:val="left"/>
      </w:pPr>
      <w:r>
        <w:rPr/>
        <w:t>开展投资者关系工作的日常办事机构。公司开设了投资者互动平台、电话、传真和</w:t>
      </w:r>
    </w:p>
    <w:p>
      <w:pPr>
        <w:pStyle w:val="BodyText"/>
        <w:spacing w:line="240" w:lineRule="auto" w:before="152"/>
        <w:ind w:right="114"/>
        <w:jc w:val="left"/>
      </w:pPr>
      <w:r>
        <w:rPr/>
        <w:t>电子邮箱，由董事会秘书组织有关人员及时回复投资者的询问。</w:t>
      </w:r>
    </w:p>
    <w:p>
      <w:pPr>
        <w:spacing w:after="0" w:line="240" w:lineRule="auto"/>
        <w:jc w:val="left"/>
        <w:sectPr>
          <w:pgSz w:w="12240" w:h="15840"/>
          <w:pgMar w:header="0" w:footer="688" w:top="1440" w:bottom="880" w:left="1700" w:right="1560"/>
        </w:sectPr>
      </w:pPr>
    </w:p>
    <w:p>
      <w:pPr>
        <w:pStyle w:val="BodyText"/>
        <w:spacing w:line="240" w:lineRule="auto" w:before="1"/>
        <w:ind w:left="700" w:right="0"/>
        <w:jc w:val="left"/>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10</w:t>
      </w:r>
      <w:r>
        <w:rPr>
          <w:spacing w:val="2"/>
        </w:rPr>
        <w:t>日，公司在深圳证券信息有限公司提供的网上互动平台上举行了</w:t>
      </w:r>
      <w:r>
        <w:rPr/>
      </w:r>
    </w:p>
    <w:p>
      <w:pPr>
        <w:pStyle w:val="BodyText"/>
        <w:spacing w:line="348" w:lineRule="auto" w:before="134"/>
        <w:ind w:left="220" w:right="239"/>
        <w:jc w:val="both"/>
      </w:pPr>
      <w:r>
        <w:rPr>
          <w:rFonts w:ascii="Times New Roman" w:hAnsi="Times New Roman" w:cs="Times New Roman" w:eastAsia="Times New Roman" w:hint="default"/>
        </w:rPr>
        <w:t>2010</w:t>
      </w:r>
      <w:r>
        <w:rPr/>
        <w:t>年度网上业绩说明会，公司董事长、总经理、财务总监、独立董事代表、董事 会秘书、保荐代表人等出席了本次业绩说明会，与投资者就公司治理、经营情况、 未来发展规划等投资者关心的问题进行了深入交流。</w:t>
      </w:r>
    </w:p>
    <w:p>
      <w:pPr>
        <w:pStyle w:val="BodyText"/>
        <w:spacing w:line="348" w:lineRule="auto" w:before="164"/>
        <w:ind w:left="220" w:right="236" w:firstLine="480"/>
        <w:jc w:val="both"/>
      </w:pPr>
      <w:r>
        <w:rPr>
          <w:rFonts w:ascii="Times New Roman" w:hAnsi="Times New Roman" w:cs="Times New Roman" w:eastAsia="Times New Roman" w:hint="default"/>
          <w:spacing w:val="-4"/>
        </w:rPr>
        <w:t>2011</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22</w:t>
      </w:r>
      <w:r>
        <w:rPr>
          <w:spacing w:val="-4"/>
        </w:rPr>
        <w:t>日，公司参加了厦门上市公司集体接待日活动，公司董事长、董事</w:t>
      </w:r>
      <w:r>
        <w:rPr/>
        <w:t> 会秘书、财务总监均出席了活动，通过深圳证券信息有限公司提供的网上互动平台 与投资者进行了互动交流。</w:t>
      </w:r>
    </w:p>
    <w:p>
      <w:pPr>
        <w:pStyle w:val="BodyText"/>
        <w:spacing w:line="357" w:lineRule="auto" w:before="164"/>
        <w:ind w:left="220" w:right="239" w:firstLine="480"/>
        <w:jc w:val="both"/>
      </w:pPr>
      <w:r>
        <w:rPr/>
        <w:t>此外，为满足广大投资者对公司生产经营情况深入了解的需求，公司积极开展 投资者实地调研活动。在调研活动中，公司严格按照有关法律、法规的要求，对来 访调研人员进行登记，并要求调研人员签署承诺书，做好调研记录，及时报监管部 门备案。</w:t>
      </w:r>
    </w:p>
    <w:p>
      <w:pPr>
        <w:pStyle w:val="BodyText"/>
        <w:spacing w:line="338" w:lineRule="auto" w:before="155"/>
        <w:ind w:left="220" w:right="239" w:firstLine="480"/>
        <w:jc w:val="both"/>
      </w:pPr>
      <w:r>
        <w:rPr>
          <w:spacing w:val="-4"/>
        </w:rPr>
        <w:t>报告期内，公司接待实地调研、采访等活动共</w:t>
      </w:r>
      <w:r>
        <w:rPr>
          <w:rFonts w:ascii="Times New Roman" w:hAnsi="Times New Roman" w:cs="Times New Roman" w:eastAsia="Times New Roman" w:hint="default"/>
          <w:spacing w:val="-4"/>
        </w:rPr>
        <w:t>25</w:t>
      </w:r>
      <w:r>
        <w:rPr>
          <w:spacing w:val="-4"/>
        </w:rPr>
        <w:t>批，</w:t>
      </w:r>
      <w:r>
        <w:rPr>
          <w:rFonts w:ascii="Times New Roman" w:hAnsi="Times New Roman" w:cs="Times New Roman" w:eastAsia="Times New Roman" w:hint="default"/>
          <w:spacing w:val="-4"/>
        </w:rPr>
        <w:t>140</w:t>
      </w:r>
      <w:r>
        <w:rPr>
          <w:spacing w:val="-4"/>
        </w:rPr>
        <w:t>人次，调研人员有机构</w:t>
      </w:r>
      <w:r>
        <w:rPr/>
        <w:t> 投资者、自然人股东和新闻记者等。</w:t>
      </w:r>
    </w:p>
    <w:p>
      <w:pPr>
        <w:spacing w:line="240" w:lineRule="auto" w:before="9"/>
        <w:rPr>
          <w:rFonts w:ascii="宋体" w:hAnsi="宋体" w:cs="宋体" w:eastAsia="宋体" w:hint="default"/>
          <w:sz w:val="31"/>
          <w:szCs w:val="31"/>
        </w:rPr>
      </w:pPr>
    </w:p>
    <w:p>
      <w:pPr>
        <w:pStyle w:val="Heading2"/>
        <w:spacing w:line="240" w:lineRule="auto"/>
        <w:ind w:left="781" w:right="0"/>
        <w:jc w:val="left"/>
        <w:rPr>
          <w:b w:val="0"/>
          <w:bCs w:val="0"/>
        </w:rPr>
      </w:pPr>
      <w:r>
        <w:rPr/>
        <w:t>二、公司董事履职情况</w:t>
      </w:r>
      <w:r>
        <w:rPr>
          <w:b w:val="0"/>
          <w:bCs w:val="0"/>
        </w:rPr>
      </w:r>
    </w:p>
    <w:p>
      <w:pPr>
        <w:pStyle w:val="BodyText"/>
        <w:spacing w:line="357" w:lineRule="auto" w:before="233"/>
        <w:ind w:left="220" w:right="239" w:firstLine="480"/>
        <w:jc w:val="both"/>
      </w:pPr>
      <w:r>
        <w:rPr/>
        <w:t>报告期内，公司全体董事严格按照《公司法》、《证券法》、《深圳证券交易 所创业板上市公司规范运作指引》、《上市公司治理准则》、以及《公司章程》、</w:t>
      </w:r>
    </w:p>
    <w:p>
      <w:pPr>
        <w:pStyle w:val="BodyText"/>
        <w:spacing w:line="357" w:lineRule="auto" w:before="35"/>
        <w:ind w:left="220" w:right="239"/>
        <w:jc w:val="both"/>
      </w:pPr>
      <w:r>
        <w:rPr/>
        <w:t>《独立董事制度》、《董事会议事规则》等法律、法规及规章制度的规定和要求， 认真履行董事职责，遵守董事行为规范，审慎决策，切实保护公司和股东特别是中 小股东的利益。</w:t>
      </w:r>
    </w:p>
    <w:p>
      <w:pPr>
        <w:pStyle w:val="BodyText"/>
        <w:spacing w:line="240" w:lineRule="auto" w:before="155"/>
        <w:ind w:left="700" w:right="0"/>
        <w:jc w:val="left"/>
      </w:pPr>
      <w:r>
        <w:rPr/>
        <w:t>报告期内</w:t>
      </w:r>
      <w:r>
        <w:rPr>
          <w:spacing w:val="-120"/>
        </w:rPr>
        <w:t>，</w:t>
      </w:r>
      <w:r>
        <w:rPr/>
        <w:t>公司共召开了7次董事会</w:t>
      </w:r>
      <w:r>
        <w:rPr>
          <w:spacing w:val="-120"/>
        </w:rPr>
        <w:t>。</w:t>
      </w:r>
      <w:r>
        <w:rPr/>
        <w:t>公司各董事应参加董事会及出席情况如下：</w:t>
      </w:r>
    </w:p>
    <w:p>
      <w:pPr>
        <w:spacing w:line="240" w:lineRule="auto" w:before="11"/>
        <w:rPr>
          <w:rFonts w:ascii="宋体" w:hAnsi="宋体" w:cs="宋体" w:eastAsia="宋体" w:hint="default"/>
          <w:sz w:val="23"/>
          <w:szCs w:val="23"/>
        </w:rPr>
      </w:pPr>
    </w:p>
    <w:tbl>
      <w:tblPr>
        <w:tblW w:w="0" w:type="auto"/>
        <w:jc w:val="left"/>
        <w:tblInd w:w="104" w:type="dxa"/>
        <w:tblLayout w:type="fixed"/>
        <w:tblCellMar>
          <w:top w:w="0" w:type="dxa"/>
          <w:left w:w="0" w:type="dxa"/>
          <w:bottom w:w="0" w:type="dxa"/>
          <w:right w:w="0" w:type="dxa"/>
        </w:tblCellMar>
        <w:tblLook w:val="01E0"/>
      </w:tblPr>
      <w:tblGrid>
        <w:gridCol w:w="1217"/>
        <w:gridCol w:w="1217"/>
        <w:gridCol w:w="1218"/>
        <w:gridCol w:w="1217"/>
        <w:gridCol w:w="1218"/>
        <w:gridCol w:w="1218"/>
        <w:gridCol w:w="1218"/>
      </w:tblGrid>
      <w:tr>
        <w:trPr>
          <w:trHeight w:val="909" w:hRule="exact"/>
        </w:trPr>
        <w:tc>
          <w:tcPr>
            <w:tcW w:w="1217"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217"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218"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69"/>
              <w:ind w:left="288" w:right="182" w:hanging="105"/>
              <w:jc w:val="left"/>
              <w:rPr>
                <w:rFonts w:ascii="宋体" w:hAnsi="宋体" w:cs="宋体" w:eastAsia="宋体" w:hint="default"/>
                <w:sz w:val="21"/>
                <w:szCs w:val="21"/>
              </w:rPr>
            </w:pPr>
            <w:r>
              <w:rPr>
                <w:rFonts w:ascii="宋体" w:hAnsi="宋体" w:cs="宋体" w:eastAsia="宋体" w:hint="default"/>
                <w:sz w:val="21"/>
                <w:szCs w:val="21"/>
              </w:rPr>
              <w:t>应参加会 议次数</w:t>
            </w:r>
          </w:p>
        </w:tc>
        <w:tc>
          <w:tcPr>
            <w:tcW w:w="1217"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69"/>
              <w:ind w:left="183" w:right="181"/>
              <w:jc w:val="left"/>
              <w:rPr>
                <w:rFonts w:ascii="宋体" w:hAnsi="宋体" w:cs="宋体" w:eastAsia="宋体" w:hint="default"/>
                <w:sz w:val="21"/>
                <w:szCs w:val="21"/>
              </w:rPr>
            </w:pPr>
            <w:r>
              <w:rPr>
                <w:rFonts w:ascii="宋体" w:hAnsi="宋体" w:cs="宋体" w:eastAsia="宋体" w:hint="default"/>
                <w:sz w:val="21"/>
                <w:szCs w:val="21"/>
              </w:rPr>
              <w:t>亲自出席 会议次数</w:t>
            </w:r>
          </w:p>
        </w:tc>
        <w:tc>
          <w:tcPr>
            <w:tcW w:w="1218"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69"/>
              <w:ind w:left="183" w:right="182"/>
              <w:jc w:val="left"/>
              <w:rPr>
                <w:rFonts w:ascii="宋体" w:hAnsi="宋体" w:cs="宋体" w:eastAsia="宋体" w:hint="default"/>
                <w:sz w:val="21"/>
                <w:szCs w:val="21"/>
              </w:rPr>
            </w:pPr>
            <w:r>
              <w:rPr>
                <w:rFonts w:ascii="宋体" w:hAnsi="宋体" w:cs="宋体" w:eastAsia="宋体" w:hint="default"/>
                <w:sz w:val="21"/>
                <w:szCs w:val="21"/>
              </w:rPr>
              <w:t>委托出席 会议次数</w:t>
            </w:r>
          </w:p>
        </w:tc>
        <w:tc>
          <w:tcPr>
            <w:tcW w:w="1218"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2" w:lineRule="exact" w:before="169"/>
              <w:ind w:left="393" w:right="182" w:hanging="210"/>
              <w:jc w:val="left"/>
              <w:rPr>
                <w:rFonts w:ascii="宋体" w:hAnsi="宋体" w:cs="宋体" w:eastAsia="宋体" w:hint="default"/>
                <w:sz w:val="21"/>
                <w:szCs w:val="21"/>
              </w:rPr>
            </w:pPr>
            <w:r>
              <w:rPr>
                <w:rFonts w:ascii="宋体" w:hAnsi="宋体" w:cs="宋体" w:eastAsia="宋体" w:hint="default"/>
                <w:sz w:val="21"/>
                <w:szCs w:val="21"/>
              </w:rPr>
              <w:t>缺席会议 次数</w:t>
            </w:r>
          </w:p>
        </w:tc>
        <w:tc>
          <w:tcPr>
            <w:tcW w:w="1218"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37" w:lineRule="auto" w:before="8"/>
              <w:ind w:left="183" w:right="180"/>
              <w:jc w:val="both"/>
              <w:rPr>
                <w:rFonts w:ascii="宋体" w:hAnsi="宋体" w:cs="宋体" w:eastAsia="宋体" w:hint="default"/>
                <w:sz w:val="21"/>
                <w:szCs w:val="21"/>
              </w:rPr>
            </w:pPr>
            <w:r>
              <w:rPr>
                <w:rFonts w:ascii="宋体" w:hAnsi="宋体" w:cs="宋体" w:eastAsia="宋体" w:hint="default"/>
                <w:sz w:val="21"/>
                <w:szCs w:val="21"/>
              </w:rPr>
              <w:t>是否连续 两次未亲 自出席</w:t>
            </w:r>
          </w:p>
        </w:tc>
      </w:tr>
      <w:tr>
        <w:trPr>
          <w:trHeight w:val="407" w:hRule="exact"/>
        </w:trPr>
        <w:tc>
          <w:tcPr>
            <w:tcW w:w="1217"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刘祥南</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8" w:hRule="exact"/>
        </w:trPr>
        <w:tc>
          <w:tcPr>
            <w:tcW w:w="1217"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7"/>
              <w:ind w:right="1"/>
              <w:jc w:val="center"/>
              <w:rPr>
                <w:rFonts w:ascii="宋体" w:hAnsi="宋体" w:cs="宋体" w:eastAsia="宋体" w:hint="default"/>
                <w:sz w:val="21"/>
                <w:szCs w:val="21"/>
              </w:rPr>
            </w:pPr>
            <w:r>
              <w:rPr>
                <w:rFonts w:ascii="宋体" w:hAnsi="宋体" w:cs="宋体" w:eastAsia="宋体" w:hint="default"/>
                <w:sz w:val="21"/>
                <w:szCs w:val="21"/>
              </w:rPr>
              <w:t>郭永芳</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8" w:hRule="exact"/>
        </w:trPr>
        <w:tc>
          <w:tcPr>
            <w:tcW w:w="1217"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滕达</w:t>
            </w:r>
          </w:p>
        </w:tc>
        <w:tc>
          <w:tcPr>
            <w:tcW w:w="1217"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center"/>
        <w:rPr>
          <w:rFonts w:ascii="宋体" w:hAnsi="宋体" w:cs="宋体" w:eastAsia="宋体" w:hint="default"/>
          <w:sz w:val="21"/>
          <w:szCs w:val="21"/>
        </w:rPr>
        <w:sectPr>
          <w:pgSz w:w="12240" w:h="15840"/>
          <w:pgMar w:header="0" w:footer="688" w:top="1400" w:bottom="880" w:left="1580" w:right="15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217"/>
        <w:gridCol w:w="1217"/>
        <w:gridCol w:w="1218"/>
        <w:gridCol w:w="1217"/>
        <w:gridCol w:w="1218"/>
        <w:gridCol w:w="1218"/>
        <w:gridCol w:w="1218"/>
      </w:tblGrid>
      <w:tr>
        <w:trPr>
          <w:trHeight w:val="409" w:hRule="exact"/>
        </w:trPr>
        <w:tc>
          <w:tcPr>
            <w:tcW w:w="1217"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28"/>
              <w:ind w:right="287"/>
              <w:jc w:val="right"/>
              <w:rPr>
                <w:rFonts w:ascii="宋体" w:hAnsi="宋体" w:cs="宋体" w:eastAsia="宋体" w:hint="default"/>
                <w:sz w:val="21"/>
                <w:szCs w:val="21"/>
              </w:rPr>
            </w:pPr>
            <w:r>
              <w:rPr>
                <w:rFonts w:ascii="宋体" w:hAnsi="宋体" w:cs="宋体" w:eastAsia="宋体" w:hint="default"/>
                <w:sz w:val="21"/>
                <w:szCs w:val="21"/>
              </w:rPr>
              <w:t>李国林</w:t>
            </w:r>
          </w:p>
        </w:tc>
        <w:tc>
          <w:tcPr>
            <w:tcW w:w="12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12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6"/>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6"/>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8" w:hRule="exact"/>
        </w:trPr>
        <w:tc>
          <w:tcPr>
            <w:tcW w:w="1217"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7"/>
              <w:ind w:right="287"/>
              <w:jc w:val="right"/>
              <w:rPr>
                <w:rFonts w:ascii="宋体" w:hAnsi="宋体" w:cs="宋体" w:eastAsia="宋体" w:hint="default"/>
                <w:sz w:val="21"/>
                <w:szCs w:val="21"/>
              </w:rPr>
            </w:pPr>
            <w:r>
              <w:rPr>
                <w:rFonts w:ascii="宋体" w:hAnsi="宋体" w:cs="宋体" w:eastAsia="宋体" w:hint="default"/>
                <w:sz w:val="21"/>
                <w:szCs w:val="21"/>
              </w:rPr>
              <w:t>郭东辉</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7" w:hRule="exact"/>
        </w:trPr>
        <w:tc>
          <w:tcPr>
            <w:tcW w:w="1217"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7"/>
              <w:ind w:right="287"/>
              <w:jc w:val="right"/>
              <w:rPr>
                <w:rFonts w:ascii="宋体" w:hAnsi="宋体" w:cs="宋体" w:eastAsia="宋体" w:hint="default"/>
                <w:sz w:val="21"/>
                <w:szCs w:val="21"/>
              </w:rPr>
            </w:pPr>
            <w:r>
              <w:rPr>
                <w:rFonts w:ascii="宋体" w:hAnsi="宋体" w:cs="宋体" w:eastAsia="宋体" w:hint="default"/>
                <w:sz w:val="21"/>
                <w:szCs w:val="21"/>
              </w:rPr>
              <w:t>陈汉文</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08" w:hRule="exact"/>
        </w:trPr>
        <w:tc>
          <w:tcPr>
            <w:tcW w:w="1217"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27"/>
              <w:ind w:right="287"/>
              <w:jc w:val="right"/>
              <w:rPr>
                <w:rFonts w:ascii="宋体" w:hAnsi="宋体" w:cs="宋体" w:eastAsia="宋体" w:hint="default"/>
                <w:sz w:val="21"/>
                <w:szCs w:val="21"/>
              </w:rPr>
            </w:pPr>
            <w:r>
              <w:rPr>
                <w:rFonts w:ascii="宋体" w:hAnsi="宋体" w:cs="宋体" w:eastAsia="宋体" w:hint="default"/>
                <w:sz w:val="21"/>
                <w:szCs w:val="21"/>
              </w:rPr>
              <w:t>陈少华</w:t>
            </w:r>
          </w:p>
        </w:tc>
        <w:tc>
          <w:tcPr>
            <w:tcW w:w="1217"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7</w:t>
            </w:r>
          </w:p>
        </w:tc>
        <w:tc>
          <w:tcPr>
            <w:tcW w:w="1217"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1"/>
                <w:szCs w:val="21"/>
              </w:rPr>
            </w:pPr>
            <w:r>
              <w:rPr>
                <w:rFonts w:ascii="Times New Roman"/>
                <w:sz w:val="21"/>
              </w:rPr>
              <w:t>7</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5"/>
              <w:ind w:right="1"/>
              <w:jc w:val="center"/>
              <w:rPr>
                <w:rFonts w:ascii="Times New Roman" w:hAnsi="Times New Roman" w:cs="Times New Roman" w:eastAsia="Times New Roman" w:hint="default"/>
                <w:sz w:val="21"/>
                <w:szCs w:val="21"/>
              </w:rPr>
            </w:pPr>
            <w:r>
              <w:rPr>
                <w:rFonts w:ascii="Times New Roman"/>
                <w:sz w:val="21"/>
              </w:rPr>
              <w:t>0</w:t>
            </w:r>
          </w:p>
        </w:tc>
        <w:tc>
          <w:tcPr>
            <w:tcW w:w="1218"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27"/>
              <w:ind w:left="2"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pStyle w:val="BodyText"/>
        <w:spacing w:line="338" w:lineRule="auto" w:before="82"/>
        <w:ind w:left="220" w:right="0" w:firstLine="480"/>
        <w:jc w:val="left"/>
      </w:pPr>
      <w:r>
        <w:rPr>
          <w:spacing w:val="-4"/>
        </w:rPr>
        <w:t>报告期内，公司</w:t>
      </w:r>
      <w:r>
        <w:rPr>
          <w:rFonts w:ascii="Times New Roman" w:hAnsi="Times New Roman" w:cs="Times New Roman" w:eastAsia="Times New Roman" w:hint="default"/>
          <w:spacing w:val="-4"/>
        </w:rPr>
        <w:t>3</w:t>
      </w:r>
      <w:r>
        <w:rPr>
          <w:spacing w:val="-4"/>
        </w:rPr>
        <w:t>名独立董事郭东辉先生、陈汉文先生、陈少华先生对公司董事</w:t>
      </w:r>
      <w:r>
        <w:rPr/>
        <w:t> 会的议案及公司其他事项均没有提出异议。</w:t>
      </w:r>
    </w:p>
    <w:p>
      <w:pPr>
        <w:spacing w:line="240" w:lineRule="auto" w:before="9"/>
        <w:rPr>
          <w:rFonts w:ascii="宋体" w:hAnsi="宋体" w:cs="宋体" w:eastAsia="宋体" w:hint="default"/>
          <w:sz w:val="31"/>
          <w:szCs w:val="31"/>
        </w:rPr>
      </w:pPr>
    </w:p>
    <w:p>
      <w:pPr>
        <w:pStyle w:val="Heading2"/>
        <w:spacing w:line="240" w:lineRule="auto"/>
        <w:ind w:left="781" w:right="0"/>
        <w:jc w:val="left"/>
        <w:rPr>
          <w:b w:val="0"/>
          <w:bCs w:val="0"/>
        </w:rPr>
      </w:pPr>
      <w:r>
        <w:rPr/>
        <w:t>三、股东大会、董事会召开情况</w:t>
      </w:r>
      <w:r>
        <w:rPr>
          <w:b w:val="0"/>
          <w:bCs w:val="0"/>
        </w:rPr>
      </w:r>
    </w:p>
    <w:p>
      <w:pPr>
        <w:spacing w:line="240" w:lineRule="auto" w:before="8"/>
        <w:rPr>
          <w:rFonts w:ascii="宋体" w:hAnsi="宋体" w:cs="宋体" w:eastAsia="宋体" w:hint="default"/>
          <w:b/>
          <w:bCs/>
          <w:sz w:val="30"/>
          <w:szCs w:val="30"/>
        </w:rPr>
      </w:pPr>
    </w:p>
    <w:p>
      <w:pPr>
        <w:spacing w:line="422" w:lineRule="auto" w:before="0"/>
        <w:ind w:left="700" w:right="0" w:firstLine="2"/>
        <w:jc w:val="left"/>
        <w:rPr>
          <w:rFonts w:ascii="宋体" w:hAnsi="宋体" w:cs="宋体" w:eastAsia="宋体" w:hint="default"/>
          <w:sz w:val="24"/>
          <w:szCs w:val="24"/>
        </w:rPr>
      </w:pPr>
      <w:r>
        <w:rPr>
          <w:rFonts w:ascii="宋体" w:hAnsi="宋体" w:cs="宋体" w:eastAsia="宋体" w:hint="default"/>
          <w:b/>
          <w:bCs/>
          <w:sz w:val="24"/>
          <w:szCs w:val="24"/>
        </w:rPr>
        <w:t>（一）股东大会召开情况</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报告期内，公司共召开股东大会</w:t>
      </w:r>
      <w:r>
        <w:rPr>
          <w:rFonts w:ascii="Times New Roman" w:hAnsi="Times New Roman" w:cs="Times New Roman" w:eastAsia="Times New Roman" w:hint="default"/>
          <w:spacing w:val="-4"/>
          <w:sz w:val="24"/>
          <w:szCs w:val="24"/>
        </w:rPr>
        <w:t>2</w:t>
      </w:r>
      <w:r>
        <w:rPr>
          <w:rFonts w:ascii="宋体" w:hAnsi="宋体" w:cs="宋体" w:eastAsia="宋体" w:hint="default"/>
          <w:spacing w:val="-4"/>
          <w:sz w:val="24"/>
          <w:szCs w:val="24"/>
        </w:rPr>
        <w:t>次，会议的召集、召开程序、出席会议人员资</w:t>
      </w:r>
    </w:p>
    <w:p>
      <w:pPr>
        <w:pStyle w:val="BodyText"/>
        <w:spacing w:line="248" w:lineRule="exact"/>
        <w:ind w:left="220" w:right="0"/>
        <w:jc w:val="left"/>
      </w:pPr>
      <w:r>
        <w:rPr/>
        <w:t>格及表决程序均符</w:t>
      </w:r>
      <w:r>
        <w:rPr>
          <w:spacing w:val="-72"/>
        </w:rPr>
        <w:t>合</w:t>
      </w:r>
      <w:r>
        <w:rPr/>
        <w:t>《公司法</w:t>
      </w:r>
      <w:r>
        <w:rPr>
          <w:spacing w:val="-72"/>
        </w:rPr>
        <w:t>》</w:t>
      </w:r>
      <w:r>
        <w:rPr>
          <w:spacing w:val="-144"/>
        </w:rPr>
        <w:t>、</w:t>
      </w:r>
      <w:r>
        <w:rPr/>
        <w:t>《深圳证券交易所创业板上市公司规范运作指引</w:t>
      </w:r>
      <w:r>
        <w:rPr>
          <w:spacing w:val="-72"/>
        </w:rPr>
        <w:t>》</w:t>
      </w:r>
      <w:r>
        <w:rPr/>
        <w:t>、</w:t>
      </w:r>
    </w:p>
    <w:p>
      <w:pPr>
        <w:pStyle w:val="BodyText"/>
        <w:spacing w:line="357" w:lineRule="auto" w:before="152"/>
        <w:ind w:left="220" w:right="220"/>
        <w:jc w:val="left"/>
      </w:pPr>
      <w:r>
        <w:rPr/>
        <w:t>《上市公司股东大会规则》等法律、法规、规范性文件和《公司章程》、《股东大 会议事规则》的规定。会议召开时间及审议事项如下：</w:t>
      </w:r>
    </w:p>
    <w:p>
      <w:pPr>
        <w:spacing w:line="240" w:lineRule="auto" w:before="2"/>
        <w:rPr>
          <w:rFonts w:ascii="宋体" w:hAnsi="宋体" w:cs="宋体" w:eastAsia="宋体"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2088"/>
        <w:gridCol w:w="1766"/>
        <w:gridCol w:w="5002"/>
      </w:tblGrid>
      <w:tr>
        <w:trPr>
          <w:trHeight w:val="379" w:hRule="exact"/>
        </w:trPr>
        <w:tc>
          <w:tcPr>
            <w:tcW w:w="2088"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73" w:lineRule="exact"/>
              <w:ind w:left="616"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766"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907" w:hRule="exact"/>
        </w:trPr>
        <w:tc>
          <w:tcPr>
            <w:tcW w:w="2088"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before="168"/>
              <w:ind w:left="616" w:right="202" w:hanging="417"/>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年第一次临时 股东大会</w:t>
            </w:r>
          </w:p>
        </w:tc>
        <w:tc>
          <w:tcPr>
            <w:tcW w:w="17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10</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30" w:lineRule="auto" w:before="15"/>
              <w:ind w:left="103" w:right="89"/>
              <w:jc w:val="both"/>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．《关于延长</w:t>
            </w:r>
            <w:r>
              <w:rPr>
                <w:rFonts w:ascii="Times New Roman" w:hAnsi="Times New Roman" w:cs="Times New Roman" w:eastAsia="Times New Roman" w:hint="default"/>
                <w:spacing w:val="-6"/>
                <w:sz w:val="21"/>
                <w:szCs w:val="21"/>
              </w:rPr>
              <w:t>2010</w:t>
            </w:r>
            <w:r>
              <w:rPr>
                <w:rFonts w:ascii="宋体" w:hAnsi="宋体" w:cs="宋体" w:eastAsia="宋体" w:hint="default"/>
                <w:spacing w:val="-6"/>
                <w:sz w:val="21"/>
                <w:szCs w:val="21"/>
              </w:rPr>
              <w:t>年第一次临时股东大会审议通过的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7"/>
                <w:sz w:val="21"/>
                <w:szCs w:val="21"/>
              </w:rPr>
              <w:t>首次公开发行股票并在创业板上市相关议案有效期</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21"/>
                <w:sz w:val="21"/>
                <w:szCs w:val="21"/>
              </w:rPr>
              <w:t>的议案》。</w:t>
            </w:r>
          </w:p>
        </w:tc>
      </w:tr>
      <w:tr>
        <w:trPr>
          <w:trHeight w:val="3136" w:hRule="exact"/>
        </w:trPr>
        <w:tc>
          <w:tcPr>
            <w:tcW w:w="2088"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272" w:lineRule="exact"/>
              <w:ind w:left="931" w:right="197" w:hanging="735"/>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宋体" w:hAnsi="宋体" w:cs="宋体" w:eastAsia="宋体" w:hint="default"/>
                <w:sz w:val="21"/>
                <w:szCs w:val="21"/>
              </w:rPr>
              <w:t>年年度股东大 会</w:t>
            </w:r>
          </w:p>
        </w:tc>
        <w:tc>
          <w:tcPr>
            <w:tcW w:w="1766"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5</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度董事会工作报告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度监事会工作报告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度财务决算报告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度财务预算报告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度利润分配的预案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0"/>
              <w:ind w:left="103" w:right="-5"/>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pacing w:val="-149"/>
                <w:sz w:val="21"/>
                <w:szCs w:val="21"/>
              </w:rPr>
              <w:t>．</w:t>
            </w:r>
            <w:r>
              <w:rPr>
                <w:rFonts w:ascii="宋体" w:hAnsi="宋体" w:cs="宋体" w:eastAsia="宋体" w:hint="default"/>
                <w:sz w:val="21"/>
                <w:szCs w:val="21"/>
              </w:rPr>
              <w:t>《关于继</w:t>
            </w:r>
            <w:r>
              <w:rPr>
                <w:rFonts w:ascii="宋体" w:hAnsi="宋体" w:cs="宋体" w:eastAsia="宋体" w:hint="default"/>
                <w:spacing w:val="-2"/>
                <w:sz w:val="21"/>
                <w:szCs w:val="21"/>
              </w:rPr>
              <w:t>续</w:t>
            </w:r>
            <w:r>
              <w:rPr>
                <w:rFonts w:ascii="宋体" w:hAnsi="宋体" w:cs="宋体" w:eastAsia="宋体" w:hint="default"/>
                <w:sz w:val="21"/>
                <w:szCs w:val="21"/>
              </w:rPr>
              <w:t>聘请天健正信会计师事务所为公司审计</w:t>
            </w:r>
            <w:r>
              <w:rPr>
                <w:rFonts w:ascii="宋体" w:hAnsi="宋体" w:cs="宋体" w:eastAsia="宋体" w:hint="default"/>
                <w:sz w:val="21"/>
                <w:szCs w:val="21"/>
              </w:rPr>
              <w:t> 机构的议案</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8</w:t>
            </w:r>
            <w:r>
              <w:rPr>
                <w:rFonts w:ascii="宋体" w:hAnsi="宋体" w:cs="宋体" w:eastAsia="宋体" w:hint="default"/>
                <w:spacing w:val="-149"/>
                <w:sz w:val="21"/>
                <w:szCs w:val="21"/>
              </w:rPr>
              <w:t>．</w:t>
            </w:r>
            <w:r>
              <w:rPr>
                <w:rFonts w:ascii="宋体" w:hAnsi="宋体" w:cs="宋体" w:eastAsia="宋体" w:hint="default"/>
                <w:sz w:val="21"/>
                <w:szCs w:val="21"/>
              </w:rPr>
              <w:t>《关于调</w:t>
            </w:r>
            <w:r>
              <w:rPr>
                <w:rFonts w:ascii="宋体" w:hAnsi="宋体" w:cs="宋体" w:eastAsia="宋体" w:hint="default"/>
                <w:spacing w:val="-2"/>
                <w:sz w:val="21"/>
                <w:szCs w:val="21"/>
              </w:rPr>
              <w:t>整</w:t>
            </w:r>
            <w:r>
              <w:rPr>
                <w:rFonts w:ascii="宋体" w:hAnsi="宋体" w:cs="宋体" w:eastAsia="宋体" w:hint="default"/>
                <w:sz w:val="21"/>
                <w:szCs w:val="21"/>
              </w:rPr>
              <w:t>公司独立董事及外部监事津贴的议案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修</w:t>
            </w:r>
            <w:r>
              <w:rPr>
                <w:rFonts w:ascii="宋体" w:hAnsi="宋体" w:cs="宋体" w:eastAsia="宋体" w:hint="default"/>
                <w:sz w:val="21"/>
                <w:szCs w:val="21"/>
              </w:rPr>
              <w:t>订</w:t>
            </w:r>
            <w:r>
              <w:rPr>
                <w:rFonts w:ascii="Times New Roman" w:hAnsi="Times New Roman" w:cs="Times New Roman" w:eastAsia="Times New Roman" w:hint="default"/>
                <w:sz w:val="21"/>
                <w:szCs w:val="21"/>
              </w:rPr>
              <w:t>&lt;</w:t>
            </w:r>
            <w:r>
              <w:rPr>
                <w:rFonts w:ascii="宋体" w:hAnsi="宋体" w:cs="宋体" w:eastAsia="宋体" w:hint="default"/>
                <w:sz w:val="21"/>
                <w:szCs w:val="21"/>
              </w:rPr>
              <w:t>公司章程（草案）</w:t>
            </w:r>
            <w:r>
              <w:rPr>
                <w:rFonts w:ascii="Times New Roman" w:hAnsi="Times New Roman" w:cs="Times New Roman" w:eastAsia="Times New Roman" w:hint="default"/>
                <w:sz w:val="21"/>
                <w:szCs w:val="21"/>
              </w:rPr>
              <w:t>&gt;</w:t>
            </w:r>
            <w:r>
              <w:rPr>
                <w:rFonts w:ascii="宋体" w:hAnsi="宋体" w:cs="宋体" w:eastAsia="宋体" w:hint="default"/>
                <w:sz w:val="21"/>
                <w:szCs w:val="21"/>
              </w:rPr>
              <w:t>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line="240" w:lineRule="auto" w:before="3"/>
        <w:rPr>
          <w:rFonts w:ascii="宋体" w:hAnsi="宋体" w:cs="宋体" w:eastAsia="宋体" w:hint="default"/>
          <w:sz w:val="26"/>
          <w:szCs w:val="26"/>
        </w:rPr>
      </w:pPr>
    </w:p>
    <w:p>
      <w:pPr>
        <w:spacing w:line="422" w:lineRule="auto" w:before="26"/>
        <w:ind w:left="700" w:right="0" w:firstLine="2"/>
        <w:jc w:val="left"/>
        <w:rPr>
          <w:rFonts w:ascii="宋体" w:hAnsi="宋体" w:cs="宋体" w:eastAsia="宋体" w:hint="default"/>
          <w:sz w:val="24"/>
          <w:szCs w:val="24"/>
        </w:rPr>
      </w:pPr>
      <w:r>
        <w:rPr>
          <w:rFonts w:ascii="宋体" w:hAnsi="宋体" w:cs="宋体" w:eastAsia="宋体" w:hint="default"/>
          <w:b/>
          <w:bCs/>
          <w:sz w:val="24"/>
          <w:szCs w:val="24"/>
        </w:rPr>
        <w:t>（二）董事会召开情况</w:t>
      </w:r>
      <w:r>
        <w:rPr>
          <w:rFonts w:ascii="宋体" w:hAnsi="宋体" w:cs="宋体" w:eastAsia="宋体" w:hint="default"/>
          <w:b/>
          <w:bCs/>
          <w:w w:val="99"/>
          <w:sz w:val="24"/>
          <w:szCs w:val="24"/>
        </w:rPr>
        <w:t> </w:t>
      </w:r>
      <w:r>
        <w:rPr>
          <w:rFonts w:ascii="宋体" w:hAnsi="宋体" w:cs="宋体" w:eastAsia="宋体" w:hint="default"/>
          <w:spacing w:val="-4"/>
          <w:sz w:val="24"/>
          <w:szCs w:val="24"/>
        </w:rPr>
        <w:t>报告期内，公司共召开董事会</w:t>
      </w:r>
      <w:r>
        <w:rPr>
          <w:rFonts w:ascii="Times New Roman" w:hAnsi="Times New Roman" w:cs="Times New Roman" w:eastAsia="Times New Roman" w:hint="default"/>
          <w:spacing w:val="-4"/>
          <w:sz w:val="24"/>
          <w:szCs w:val="24"/>
        </w:rPr>
        <w:t>7</w:t>
      </w:r>
      <w:r>
        <w:rPr>
          <w:rFonts w:ascii="宋体" w:hAnsi="宋体" w:cs="宋体" w:eastAsia="宋体" w:hint="default"/>
          <w:spacing w:val="-4"/>
          <w:sz w:val="24"/>
          <w:szCs w:val="24"/>
        </w:rPr>
        <w:t>次，会议的召集、召开程序、出席会议人员资格</w:t>
      </w:r>
    </w:p>
    <w:p>
      <w:pPr>
        <w:pStyle w:val="BodyText"/>
        <w:spacing w:line="247" w:lineRule="exact"/>
        <w:ind w:left="220" w:right="0"/>
        <w:jc w:val="left"/>
      </w:pPr>
      <w:r>
        <w:rPr/>
        <w:t>及表决程序均符合《公司法》、《深圳证券交易所创业板上市公司规范运作指引》</w:t>
      </w:r>
    </w:p>
    <w:p>
      <w:pPr>
        <w:spacing w:after="0" w:line="247" w:lineRule="exact"/>
        <w:jc w:val="left"/>
        <w:sectPr>
          <w:pgSz w:w="12240" w:h="15840"/>
          <w:pgMar w:header="0" w:footer="688" w:top="1360" w:bottom="880" w:left="1580" w:right="1560"/>
        </w:sectPr>
      </w:pPr>
    </w:p>
    <w:p>
      <w:pPr>
        <w:pStyle w:val="BodyText"/>
        <w:spacing w:line="357" w:lineRule="auto" w:before="1"/>
        <w:ind w:left="220" w:right="220"/>
        <w:jc w:val="left"/>
      </w:pPr>
      <w:r>
        <w:rPr/>
        <w:t>等法律、法规、规范性文件和《公司章程》、《董事会议事规则》的规定。会议召 开时间及审议事项如下：</w:t>
      </w:r>
    </w:p>
    <w:p>
      <w:pPr>
        <w:spacing w:line="240" w:lineRule="auto" w:before="2"/>
        <w:rPr>
          <w:rFonts w:ascii="宋体" w:hAnsi="宋体" w:cs="宋体" w:eastAsia="宋体" w:hint="default"/>
          <w:sz w:val="17"/>
          <w:szCs w:val="17"/>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368" w:hRule="exact"/>
        </w:trPr>
        <w:tc>
          <w:tcPr>
            <w:tcW w:w="1982"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73" w:lineRule="exact"/>
              <w:ind w:left="56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72"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2712" w:hRule="exact"/>
        </w:trPr>
        <w:tc>
          <w:tcPr>
            <w:tcW w:w="1982" w:type="dxa"/>
            <w:tcBorders>
              <w:top w:val="single" w:sz="9" w:space="0" w:color="CCCCCC"/>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第一届董事会第九 次会议</w:t>
            </w:r>
          </w:p>
        </w:tc>
        <w:tc>
          <w:tcPr>
            <w:tcW w:w="1872" w:type="dxa"/>
            <w:tcBorders>
              <w:top w:val="single" w:sz="9" w:space="0" w:color="CCCCCC"/>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26</w:t>
            </w:r>
            <w:r>
              <w:rPr>
                <w:rFonts w:ascii="宋体" w:hAnsi="宋体" w:cs="宋体" w:eastAsia="宋体" w:hint="default"/>
                <w:sz w:val="21"/>
                <w:szCs w:val="21"/>
              </w:rPr>
              <w:t>日</w:t>
            </w:r>
          </w:p>
        </w:tc>
        <w:tc>
          <w:tcPr>
            <w:tcW w:w="5002" w:type="dxa"/>
            <w:tcBorders>
              <w:top w:val="single" w:sz="9" w:space="0" w:color="CCCCCC"/>
              <w:left w:val="single" w:sz="4" w:space="0" w:color="000000"/>
              <w:bottom w:val="single" w:sz="4" w:space="0" w:color="000000"/>
              <w:right w:val="single" w:sz="6" w:space="0" w:color="000000"/>
            </w:tcBorders>
          </w:tcPr>
          <w:p>
            <w:pPr>
              <w:pStyle w:val="TableParagraph"/>
              <w:spacing w:line="232" w:lineRule="auto" w:before="17"/>
              <w:ind w:left="103" w:right="89"/>
              <w:jc w:val="both"/>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．《关于延长</w:t>
            </w:r>
            <w:r>
              <w:rPr>
                <w:rFonts w:ascii="Times New Roman" w:hAnsi="Times New Roman" w:cs="Times New Roman" w:eastAsia="Times New Roman" w:hint="default"/>
                <w:spacing w:val="-6"/>
                <w:sz w:val="21"/>
                <w:szCs w:val="21"/>
              </w:rPr>
              <w:t>2010</w:t>
            </w:r>
            <w:r>
              <w:rPr>
                <w:rFonts w:ascii="宋体" w:hAnsi="宋体" w:cs="宋体" w:eastAsia="宋体" w:hint="default"/>
                <w:spacing w:val="-6"/>
                <w:sz w:val="21"/>
                <w:szCs w:val="21"/>
              </w:rPr>
              <w:t>年第一次临时股东大会审议通过的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7"/>
                <w:sz w:val="21"/>
                <w:szCs w:val="21"/>
              </w:rPr>
              <w:t>首次公开发行股票并在创业板上市相关议案有效期</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21"/>
                <w:sz w:val="21"/>
                <w:szCs w:val="21"/>
              </w:rPr>
              <w:t>的议案》；</w:t>
            </w:r>
          </w:p>
          <w:p>
            <w:pPr>
              <w:pStyle w:val="TableParagraph"/>
              <w:spacing w:line="249" w:lineRule="auto" w:before="37"/>
              <w:ind w:left="103" w:right="98"/>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49"/>
                <w:sz w:val="21"/>
                <w:szCs w:val="21"/>
              </w:rPr>
              <w:t>．</w:t>
            </w:r>
            <w:r>
              <w:rPr>
                <w:rFonts w:ascii="宋体" w:hAnsi="宋体" w:cs="宋体" w:eastAsia="宋体" w:hint="default"/>
                <w:sz w:val="21"/>
                <w:szCs w:val="21"/>
              </w:rPr>
              <w:t>《厦门市</w:t>
            </w:r>
            <w:r>
              <w:rPr>
                <w:rFonts w:ascii="宋体" w:hAnsi="宋体" w:cs="宋体" w:eastAsia="宋体" w:hint="default"/>
                <w:spacing w:val="-2"/>
                <w:sz w:val="21"/>
                <w:szCs w:val="21"/>
              </w:rPr>
              <w:t>美</w:t>
            </w:r>
            <w:r>
              <w:rPr>
                <w:rFonts w:ascii="宋体" w:hAnsi="宋体" w:cs="宋体" w:eastAsia="宋体" w:hint="default"/>
                <w:sz w:val="21"/>
                <w:szCs w:val="21"/>
              </w:rPr>
              <w:t>亚柏科信息股份有限公司</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财务</w:t>
            </w:r>
            <w:r>
              <w:rPr>
                <w:rFonts w:ascii="宋体" w:hAnsi="宋体" w:cs="宋体" w:eastAsia="宋体" w:hint="default"/>
                <w:sz w:val="21"/>
                <w:szCs w:val="21"/>
              </w:rPr>
              <w:t> 报表的审计报告</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3</w:t>
            </w:r>
            <w:r>
              <w:rPr>
                <w:rFonts w:ascii="宋体" w:hAnsi="宋体" w:cs="宋体" w:eastAsia="宋体" w:hint="default"/>
                <w:spacing w:val="-149"/>
                <w:sz w:val="21"/>
                <w:szCs w:val="21"/>
              </w:rPr>
              <w:t>．</w:t>
            </w:r>
            <w:r>
              <w:rPr>
                <w:rFonts w:ascii="宋体" w:hAnsi="宋体" w:cs="宋体" w:eastAsia="宋体" w:hint="default"/>
                <w:sz w:val="21"/>
                <w:szCs w:val="21"/>
              </w:rPr>
              <w:t>《关于申</w:t>
            </w:r>
            <w:r>
              <w:rPr>
                <w:rFonts w:ascii="宋体" w:hAnsi="宋体" w:cs="宋体" w:eastAsia="宋体" w:hint="default"/>
                <w:spacing w:val="-2"/>
                <w:sz w:val="21"/>
                <w:szCs w:val="21"/>
              </w:rPr>
              <w:t>请</w:t>
            </w:r>
            <w:r>
              <w:rPr>
                <w:rFonts w:ascii="宋体" w:hAnsi="宋体" w:cs="宋体" w:eastAsia="宋体" w:hint="default"/>
                <w:sz w:val="21"/>
                <w:szCs w:val="21"/>
              </w:rPr>
              <w:t>按揭贷款购置研发大楼抵押权变更登记</w:t>
            </w:r>
          </w:p>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37"/>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向</w:t>
            </w:r>
            <w:r>
              <w:rPr>
                <w:rFonts w:ascii="宋体" w:hAnsi="宋体" w:cs="宋体" w:eastAsia="宋体" w:hint="default"/>
                <w:sz w:val="21"/>
                <w:szCs w:val="21"/>
              </w:rPr>
              <w:t>银行申请授信额度的议案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召</w:t>
            </w:r>
            <w:r>
              <w:rPr>
                <w:rFonts w:ascii="宋体" w:hAnsi="宋体" w:cs="宋体" w:eastAsia="宋体" w:hint="default"/>
                <w:sz w:val="21"/>
                <w:szCs w:val="21"/>
              </w:rPr>
              <w:t>开</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z w:val="21"/>
                <w:szCs w:val="21"/>
              </w:rPr>
              <w:t>年</w:t>
            </w:r>
            <w:r>
              <w:rPr>
                <w:rFonts w:ascii="宋体" w:hAnsi="宋体" w:cs="宋体" w:eastAsia="宋体" w:hint="default"/>
                <w:spacing w:val="-2"/>
                <w:sz w:val="21"/>
                <w:szCs w:val="21"/>
              </w:rPr>
              <w:t>第</w:t>
            </w:r>
            <w:r>
              <w:rPr>
                <w:rFonts w:ascii="宋体" w:hAnsi="宋体" w:cs="宋体" w:eastAsia="宋体" w:hint="default"/>
                <w:sz w:val="21"/>
                <w:szCs w:val="21"/>
              </w:rPr>
              <w:t>一次临时股东大会的议案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5280"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第一届董事会第十 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61"/>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度总经理工作报告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度财务决算报告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度财务预算报告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度内部控制的自我评价报告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度利润分配的预案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度董事会工作报告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1"/>
              <w:ind w:left="103" w:right="-5"/>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pacing w:val="-149"/>
                <w:sz w:val="21"/>
                <w:szCs w:val="21"/>
              </w:rPr>
              <w:t>．</w:t>
            </w:r>
            <w:r>
              <w:rPr>
                <w:rFonts w:ascii="宋体" w:hAnsi="宋体" w:cs="宋体" w:eastAsia="宋体" w:hint="default"/>
                <w:sz w:val="21"/>
                <w:szCs w:val="21"/>
              </w:rPr>
              <w:t>《关于继</w:t>
            </w:r>
            <w:r>
              <w:rPr>
                <w:rFonts w:ascii="宋体" w:hAnsi="宋体" w:cs="宋体" w:eastAsia="宋体" w:hint="default"/>
                <w:spacing w:val="-2"/>
                <w:sz w:val="21"/>
                <w:szCs w:val="21"/>
              </w:rPr>
              <w:t>续</w:t>
            </w:r>
            <w:r>
              <w:rPr>
                <w:rFonts w:ascii="宋体" w:hAnsi="宋体" w:cs="宋体" w:eastAsia="宋体" w:hint="default"/>
                <w:sz w:val="21"/>
                <w:szCs w:val="21"/>
              </w:rPr>
              <w:t>聘请天健正信会计师事务所为公司审计</w:t>
            </w:r>
            <w:r>
              <w:rPr>
                <w:rFonts w:ascii="宋体" w:hAnsi="宋体" w:cs="宋体" w:eastAsia="宋体" w:hint="default"/>
                <w:sz w:val="21"/>
                <w:szCs w:val="21"/>
              </w:rPr>
              <w:t> 机构的议案</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9</w:t>
            </w:r>
            <w:r>
              <w:rPr>
                <w:rFonts w:ascii="宋体" w:hAnsi="宋体" w:cs="宋体" w:eastAsia="宋体" w:hint="default"/>
                <w:spacing w:val="-149"/>
                <w:sz w:val="21"/>
                <w:szCs w:val="21"/>
              </w:rPr>
              <w:t>．</w:t>
            </w:r>
            <w:r>
              <w:rPr>
                <w:rFonts w:ascii="宋体" w:hAnsi="宋体" w:cs="宋体" w:eastAsia="宋体" w:hint="default"/>
                <w:sz w:val="21"/>
                <w:szCs w:val="21"/>
              </w:rPr>
              <w:t>《关于调</w:t>
            </w:r>
            <w:r>
              <w:rPr>
                <w:rFonts w:ascii="宋体" w:hAnsi="宋体" w:cs="宋体" w:eastAsia="宋体" w:hint="default"/>
                <w:spacing w:val="-2"/>
                <w:sz w:val="21"/>
                <w:szCs w:val="21"/>
              </w:rPr>
              <w:t>整</w:t>
            </w:r>
            <w:r>
              <w:rPr>
                <w:rFonts w:ascii="宋体" w:hAnsi="宋体" w:cs="宋体" w:eastAsia="宋体" w:hint="default"/>
                <w:sz w:val="21"/>
                <w:szCs w:val="21"/>
              </w:rPr>
              <w:t>公司独立董事及外部监事津贴的议案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修</w:t>
            </w:r>
            <w:r>
              <w:rPr>
                <w:rFonts w:ascii="宋体" w:hAnsi="宋体" w:cs="宋体" w:eastAsia="宋体" w:hint="default"/>
                <w:sz w:val="21"/>
                <w:szCs w:val="21"/>
              </w:rPr>
              <w:t>订</w:t>
            </w:r>
            <w:r>
              <w:rPr>
                <w:rFonts w:ascii="Times New Roman" w:hAnsi="Times New Roman" w:cs="Times New Roman" w:eastAsia="Times New Roman" w:hint="default"/>
                <w:sz w:val="21"/>
                <w:szCs w:val="21"/>
              </w:rPr>
              <w:t>&lt;</w:t>
            </w:r>
            <w:r>
              <w:rPr>
                <w:rFonts w:ascii="宋体" w:hAnsi="宋体" w:cs="宋体" w:eastAsia="宋体" w:hint="default"/>
                <w:sz w:val="21"/>
                <w:szCs w:val="21"/>
              </w:rPr>
              <w:t>公司章程（草案）</w:t>
            </w:r>
            <w:r>
              <w:rPr>
                <w:rFonts w:ascii="Times New Roman" w:hAnsi="Times New Roman" w:cs="Times New Roman" w:eastAsia="Times New Roman" w:hint="default"/>
                <w:sz w:val="21"/>
                <w:szCs w:val="21"/>
              </w:rPr>
              <w:t>&gt;</w:t>
            </w:r>
            <w:r>
              <w:rPr>
                <w:rFonts w:ascii="宋体" w:hAnsi="宋体" w:cs="宋体" w:eastAsia="宋体" w:hint="default"/>
                <w:sz w:val="21"/>
                <w:szCs w:val="21"/>
              </w:rPr>
              <w:t>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向</w:t>
            </w:r>
            <w:r>
              <w:rPr>
                <w:rFonts w:ascii="宋体" w:hAnsi="宋体" w:cs="宋体" w:eastAsia="宋体" w:hint="default"/>
                <w:sz w:val="21"/>
                <w:szCs w:val="21"/>
              </w:rPr>
              <w:t>两个全资子公司增资的议案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实</w:t>
            </w:r>
            <w:r>
              <w:rPr>
                <w:rFonts w:ascii="宋体" w:hAnsi="宋体" w:cs="宋体" w:eastAsia="宋体" w:hint="default"/>
                <w:sz w:val="21"/>
                <w:szCs w:val="21"/>
              </w:rPr>
              <w:t>施企业年金的议案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0"/>
              <w:ind w:left="103" w:right="54"/>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3</w:t>
            </w:r>
            <w:r>
              <w:rPr>
                <w:rFonts w:ascii="宋体" w:hAnsi="宋体" w:cs="宋体" w:eastAsia="宋体" w:hint="default"/>
                <w:spacing w:val="-103"/>
                <w:sz w:val="21"/>
                <w:szCs w:val="21"/>
              </w:rPr>
              <w:t>．</w:t>
            </w:r>
            <w:r>
              <w:rPr>
                <w:rFonts w:ascii="宋体" w:hAnsi="宋体" w:cs="宋体" w:eastAsia="宋体" w:hint="default"/>
                <w:spacing w:val="2"/>
                <w:sz w:val="21"/>
                <w:szCs w:val="21"/>
              </w:rPr>
              <w:t>《关于提请聘任</w:t>
            </w:r>
            <w:r>
              <w:rPr>
                <w:rFonts w:ascii="宋体" w:hAnsi="宋体" w:cs="宋体" w:eastAsia="宋体" w:hint="default"/>
                <w:spacing w:val="3"/>
                <w:sz w:val="21"/>
                <w:szCs w:val="21"/>
              </w:rPr>
              <w:t>吴世</w:t>
            </w:r>
            <w:r>
              <w:rPr>
                <w:rFonts w:ascii="宋体" w:hAnsi="宋体" w:cs="宋体" w:eastAsia="宋体" w:hint="default"/>
                <w:spacing w:val="2"/>
                <w:sz w:val="21"/>
                <w:szCs w:val="21"/>
              </w:rPr>
              <w:t>雄、栾</w:t>
            </w:r>
            <w:r>
              <w:rPr>
                <w:rFonts w:ascii="宋体" w:hAnsi="宋体" w:cs="宋体" w:eastAsia="宋体" w:hint="default"/>
                <w:spacing w:val="3"/>
                <w:sz w:val="21"/>
                <w:szCs w:val="21"/>
              </w:rPr>
              <w:t>江霞</w:t>
            </w:r>
            <w:r>
              <w:rPr>
                <w:rFonts w:ascii="宋体" w:hAnsi="宋体" w:cs="宋体" w:eastAsia="宋体" w:hint="default"/>
                <w:spacing w:val="2"/>
                <w:sz w:val="21"/>
                <w:szCs w:val="21"/>
              </w:rPr>
              <w:t>为副总</w:t>
            </w:r>
            <w:r>
              <w:rPr>
                <w:rFonts w:ascii="宋体" w:hAnsi="宋体" w:cs="宋体" w:eastAsia="宋体" w:hint="default"/>
                <w:spacing w:val="3"/>
                <w:sz w:val="21"/>
                <w:szCs w:val="21"/>
              </w:rPr>
              <w:t>经理</w:t>
            </w:r>
            <w:r>
              <w:rPr>
                <w:rFonts w:ascii="宋体" w:hAnsi="宋体" w:cs="宋体" w:eastAsia="宋体" w:hint="default"/>
                <w:spacing w:val="2"/>
                <w:sz w:val="21"/>
                <w:szCs w:val="21"/>
              </w:rPr>
              <w:t>的议</w:t>
            </w:r>
            <w:r>
              <w:rPr>
                <w:rFonts w:ascii="宋体" w:hAnsi="宋体" w:cs="宋体" w:eastAsia="宋体" w:hint="default"/>
                <w:spacing w:val="2"/>
                <w:sz w:val="21"/>
                <w:szCs w:val="21"/>
              </w:rPr>
              <w:t> </w:t>
            </w:r>
            <w:r>
              <w:rPr>
                <w:rFonts w:ascii="宋体" w:hAnsi="宋体" w:cs="宋体" w:eastAsia="宋体" w:hint="default"/>
                <w:sz w:val="21"/>
                <w:szCs w:val="21"/>
              </w:rPr>
              <w:t>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提</w:t>
            </w:r>
            <w:r>
              <w:rPr>
                <w:rFonts w:ascii="宋体" w:hAnsi="宋体" w:cs="宋体" w:eastAsia="宋体" w:hint="default"/>
                <w:sz w:val="21"/>
                <w:szCs w:val="21"/>
              </w:rPr>
              <w:t>请聘任王斌为内审中心负责人的议案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1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5</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召</w:t>
            </w:r>
            <w:r>
              <w:rPr>
                <w:rFonts w:ascii="宋体" w:hAnsi="宋体" w:cs="宋体" w:eastAsia="宋体" w:hint="default"/>
                <w:sz w:val="21"/>
                <w:szCs w:val="21"/>
              </w:rPr>
              <w:t>开</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股东大会的议案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5"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
              <w:ind w:left="564" w:right="144" w:hanging="420"/>
              <w:jc w:val="left"/>
              <w:rPr>
                <w:rFonts w:ascii="宋体" w:hAnsi="宋体" w:cs="宋体" w:eastAsia="宋体" w:hint="default"/>
                <w:sz w:val="21"/>
                <w:szCs w:val="21"/>
              </w:rPr>
            </w:pPr>
            <w:r>
              <w:rPr>
                <w:rFonts w:ascii="宋体" w:hAnsi="宋体" w:cs="宋体" w:eastAsia="宋体" w:hint="default"/>
                <w:sz w:val="21"/>
                <w:szCs w:val="21"/>
              </w:rPr>
              <w:t>第一届董事会第十 一次会议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第一季度报告全文及正文</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2783"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72" w:lineRule="exact"/>
              <w:ind w:left="564" w:right="144" w:hanging="420"/>
              <w:jc w:val="left"/>
              <w:rPr>
                <w:rFonts w:ascii="宋体" w:hAnsi="宋体" w:cs="宋体" w:eastAsia="宋体" w:hint="default"/>
                <w:sz w:val="21"/>
                <w:szCs w:val="21"/>
              </w:rPr>
            </w:pPr>
            <w:r>
              <w:rPr>
                <w:rFonts w:ascii="宋体" w:hAnsi="宋体" w:cs="宋体" w:eastAsia="宋体" w:hint="default"/>
                <w:sz w:val="21"/>
                <w:szCs w:val="21"/>
              </w:rPr>
              <w:t>第一届董事会第十 二次会议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72" w:lineRule="exact" w:before="33"/>
              <w:ind w:left="103" w:right="98"/>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49"/>
                <w:sz w:val="21"/>
                <w:szCs w:val="21"/>
              </w:rPr>
              <w:t>．</w:t>
            </w:r>
            <w:r>
              <w:rPr>
                <w:rFonts w:ascii="宋体" w:hAnsi="宋体" w:cs="宋体" w:eastAsia="宋体" w:hint="default"/>
                <w:sz w:val="21"/>
                <w:szCs w:val="21"/>
              </w:rPr>
              <w:t>《关于使</w:t>
            </w:r>
            <w:r>
              <w:rPr>
                <w:rFonts w:ascii="宋体" w:hAnsi="宋体" w:cs="宋体" w:eastAsia="宋体" w:hint="default"/>
                <w:spacing w:val="-2"/>
                <w:sz w:val="21"/>
                <w:szCs w:val="21"/>
              </w:rPr>
              <w:t>用</w:t>
            </w:r>
            <w:r>
              <w:rPr>
                <w:rFonts w:ascii="宋体" w:hAnsi="宋体" w:cs="宋体" w:eastAsia="宋体" w:hint="default"/>
                <w:sz w:val="21"/>
                <w:szCs w:val="21"/>
              </w:rPr>
              <w:t>募集资金置换先期投入募集资金投资项</w:t>
            </w:r>
            <w:r>
              <w:rPr>
                <w:rFonts w:ascii="宋体" w:hAnsi="宋体" w:cs="宋体" w:eastAsia="宋体" w:hint="default"/>
                <w:sz w:val="21"/>
                <w:szCs w:val="21"/>
              </w:rPr>
              <w:t> 目的自筹资金的议案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1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《董事</w:t>
            </w:r>
            <w:r>
              <w:rPr>
                <w:rFonts w:ascii="宋体" w:hAnsi="宋体" w:cs="宋体" w:eastAsia="宋体" w:hint="default"/>
                <w:spacing w:val="-2"/>
                <w:sz w:val="21"/>
                <w:szCs w:val="21"/>
              </w:rPr>
              <w:t>、</w:t>
            </w:r>
            <w:r>
              <w:rPr>
                <w:rFonts w:ascii="宋体" w:hAnsi="宋体" w:cs="宋体" w:eastAsia="宋体" w:hint="default"/>
                <w:sz w:val="21"/>
                <w:szCs w:val="21"/>
              </w:rPr>
              <w:t>监事和高级管理人员内部问责制度</w:t>
            </w:r>
            <w:r>
              <w:rPr>
                <w:rFonts w:ascii="宋体" w:hAnsi="宋体" w:cs="宋体" w:eastAsia="宋体" w:hint="default"/>
                <w:spacing w:val="-106"/>
                <w:sz w:val="21"/>
                <w:szCs w:val="21"/>
              </w:rPr>
              <w:t>》</w:t>
            </w:r>
            <w:r>
              <w:rPr>
                <w:rFonts w:ascii="宋体" w:hAnsi="宋体" w:cs="宋体" w:eastAsia="宋体" w:hint="default"/>
                <w:sz w:val="21"/>
                <w:szCs w:val="21"/>
              </w:rPr>
              <w:t>；</w:t>
            </w:r>
          </w:p>
          <w:p>
            <w:pPr>
              <w:pStyle w:val="TableParagraph"/>
              <w:spacing w:line="249" w:lineRule="auto" w:before="20"/>
              <w:ind w:left="103" w:right="98"/>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26"/>
                <w:sz w:val="21"/>
                <w:szCs w:val="21"/>
              </w:rPr>
              <w:t>．</w:t>
            </w:r>
            <w:r>
              <w:rPr>
                <w:rFonts w:ascii="宋体" w:hAnsi="宋体" w:cs="宋体" w:eastAsia="宋体" w:hint="default"/>
                <w:sz w:val="21"/>
                <w:szCs w:val="21"/>
              </w:rPr>
              <w:t>《董</w:t>
            </w:r>
            <w:r>
              <w:rPr>
                <w:rFonts w:ascii="宋体" w:hAnsi="宋体" w:cs="宋体" w:eastAsia="宋体" w:hint="default"/>
                <w:spacing w:val="-2"/>
                <w:sz w:val="21"/>
                <w:szCs w:val="21"/>
              </w:rPr>
              <w:t>事</w:t>
            </w:r>
            <w:r>
              <w:rPr>
                <w:rFonts w:ascii="宋体" w:hAnsi="宋体" w:cs="宋体" w:eastAsia="宋体" w:hint="default"/>
                <w:spacing w:val="-22"/>
                <w:sz w:val="21"/>
                <w:szCs w:val="21"/>
              </w:rPr>
              <w:t>、</w:t>
            </w:r>
            <w:r>
              <w:rPr>
                <w:rFonts w:ascii="宋体" w:hAnsi="宋体" w:cs="宋体" w:eastAsia="宋体" w:hint="default"/>
                <w:spacing w:val="-2"/>
                <w:sz w:val="21"/>
                <w:szCs w:val="21"/>
              </w:rPr>
              <w:t>监</w:t>
            </w:r>
            <w:r>
              <w:rPr>
                <w:rFonts w:ascii="宋体" w:hAnsi="宋体" w:cs="宋体" w:eastAsia="宋体" w:hint="default"/>
                <w:sz w:val="21"/>
                <w:szCs w:val="21"/>
              </w:rPr>
              <w:t>事和高级管理人员所持本公司股份及其</w:t>
            </w:r>
            <w:r>
              <w:rPr>
                <w:rFonts w:ascii="宋体" w:hAnsi="宋体" w:cs="宋体" w:eastAsia="宋体" w:hint="default"/>
                <w:sz w:val="21"/>
                <w:szCs w:val="21"/>
              </w:rPr>
              <w:t> 变动管理制度</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《控股</w:t>
            </w:r>
            <w:r>
              <w:rPr>
                <w:rFonts w:ascii="宋体" w:hAnsi="宋体" w:cs="宋体" w:eastAsia="宋体" w:hint="default"/>
                <w:spacing w:val="-2"/>
                <w:sz w:val="21"/>
                <w:szCs w:val="21"/>
              </w:rPr>
              <w:t>股</w:t>
            </w:r>
            <w:r>
              <w:rPr>
                <w:rFonts w:ascii="宋体" w:hAnsi="宋体" w:cs="宋体" w:eastAsia="宋体" w:hint="default"/>
                <w:sz w:val="21"/>
                <w:szCs w:val="21"/>
              </w:rPr>
              <w:t>东和实际控制人行为规范管理办法</w:t>
            </w:r>
            <w:r>
              <w:rPr>
                <w:rFonts w:ascii="宋体" w:hAnsi="宋体" w:cs="宋体" w:eastAsia="宋体" w:hint="default"/>
                <w:spacing w:val="-106"/>
                <w:sz w:val="21"/>
                <w:szCs w:val="21"/>
              </w:rPr>
              <w:t>》</w:t>
            </w:r>
            <w:r>
              <w:rPr>
                <w:rFonts w:ascii="宋体" w:hAnsi="宋体" w:cs="宋体" w:eastAsia="宋体" w:hint="default"/>
                <w:sz w:val="21"/>
                <w:szCs w:val="21"/>
              </w:rPr>
              <w:t>；</w:t>
            </w:r>
          </w:p>
          <w:p>
            <w:pPr>
              <w:pStyle w:val="TableParagraph"/>
              <w:spacing w:line="240" w:lineRule="auto" w:before="13"/>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z w:val="21"/>
                <w:szCs w:val="21"/>
              </w:rPr>
              <w:t>《内幕</w:t>
            </w:r>
            <w:r>
              <w:rPr>
                <w:rFonts w:ascii="宋体" w:hAnsi="宋体" w:cs="宋体" w:eastAsia="宋体" w:hint="default"/>
                <w:spacing w:val="-2"/>
                <w:sz w:val="21"/>
                <w:szCs w:val="21"/>
              </w:rPr>
              <w:t>信</w:t>
            </w:r>
            <w:r>
              <w:rPr>
                <w:rFonts w:ascii="宋体" w:hAnsi="宋体" w:cs="宋体" w:eastAsia="宋体" w:hint="default"/>
                <w:sz w:val="21"/>
                <w:szCs w:val="21"/>
              </w:rPr>
              <w:t>息知情人登记制度</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05"/>
                <w:sz w:val="21"/>
                <w:szCs w:val="21"/>
              </w:rPr>
              <w:t>．</w:t>
            </w:r>
            <w:r>
              <w:rPr>
                <w:rFonts w:ascii="宋体" w:hAnsi="宋体" w:cs="宋体" w:eastAsia="宋体" w:hint="default"/>
                <w:sz w:val="21"/>
                <w:szCs w:val="21"/>
              </w:rPr>
              <w:t>《年报</w:t>
            </w:r>
            <w:r>
              <w:rPr>
                <w:rFonts w:ascii="宋体" w:hAnsi="宋体" w:cs="宋体" w:eastAsia="宋体" w:hint="default"/>
                <w:spacing w:val="-2"/>
                <w:sz w:val="21"/>
                <w:szCs w:val="21"/>
              </w:rPr>
              <w:t>信</w:t>
            </w:r>
            <w:r>
              <w:rPr>
                <w:rFonts w:ascii="宋体" w:hAnsi="宋体" w:cs="宋体" w:eastAsia="宋体" w:hint="default"/>
                <w:sz w:val="21"/>
                <w:szCs w:val="21"/>
              </w:rPr>
              <w:t>息重大差错责任追究制度</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pacing w:val="-105"/>
                <w:sz w:val="21"/>
                <w:szCs w:val="21"/>
              </w:rPr>
              <w:t>．</w:t>
            </w:r>
            <w:r>
              <w:rPr>
                <w:rFonts w:ascii="宋体" w:hAnsi="宋体" w:cs="宋体" w:eastAsia="宋体" w:hint="default"/>
                <w:sz w:val="21"/>
                <w:szCs w:val="21"/>
              </w:rPr>
              <w:t>《突发</w:t>
            </w:r>
            <w:r>
              <w:rPr>
                <w:rFonts w:ascii="宋体" w:hAnsi="宋体" w:cs="宋体" w:eastAsia="宋体" w:hint="default"/>
                <w:spacing w:val="-2"/>
                <w:sz w:val="21"/>
                <w:szCs w:val="21"/>
              </w:rPr>
              <w:t>事</w:t>
            </w:r>
            <w:r>
              <w:rPr>
                <w:rFonts w:ascii="宋体" w:hAnsi="宋体" w:cs="宋体" w:eastAsia="宋体" w:hint="default"/>
                <w:sz w:val="21"/>
                <w:szCs w:val="21"/>
              </w:rPr>
              <w:t>件处理制度</w:t>
            </w:r>
            <w:r>
              <w:rPr>
                <w:rFonts w:ascii="宋体" w:hAnsi="宋体" w:cs="宋体" w:eastAsia="宋体" w:hint="default"/>
                <w:spacing w:val="-106"/>
                <w:sz w:val="21"/>
                <w:szCs w:val="21"/>
              </w:rPr>
              <w:t>》</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pgSz w:w="12240" w:h="15840"/>
          <w:pgMar w:header="0" w:footer="688" w:top="1400" w:bottom="880" w:left="1580" w:right="15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409" w:hRule="exact"/>
        </w:trPr>
        <w:tc>
          <w:tcPr>
            <w:tcW w:w="1982" w:type="dxa"/>
            <w:tcBorders>
              <w:top w:val="single" w:sz="6" w:space="0" w:color="000000"/>
              <w:left w:val="single" w:sz="6" w:space="0" w:color="000000"/>
              <w:bottom w:val="single" w:sz="4" w:space="0" w:color="000000"/>
              <w:right w:val="single" w:sz="4" w:space="0" w:color="000000"/>
            </w:tcBorders>
          </w:tcPr>
          <w:p>
            <w:pPr/>
          </w:p>
        </w:tc>
        <w:tc>
          <w:tcPr>
            <w:tcW w:w="1872" w:type="dxa"/>
            <w:tcBorders>
              <w:top w:val="single" w:sz="6" w:space="0" w:color="000000"/>
              <w:left w:val="single" w:sz="4" w:space="0" w:color="000000"/>
              <w:bottom w:val="single" w:sz="4" w:space="0" w:color="000000"/>
              <w:right w:val="single" w:sz="4" w:space="0" w:color="000000"/>
            </w:tcBorders>
          </w:tcPr>
          <w:p>
            <w:pPr/>
          </w:p>
        </w:tc>
        <w:tc>
          <w:tcPr>
            <w:tcW w:w="5002" w:type="dxa"/>
            <w:tcBorders>
              <w:top w:val="single" w:sz="6" w:space="0" w:color="000000"/>
              <w:left w:val="single" w:sz="4" w:space="0" w:color="000000"/>
              <w:bottom w:val="single" w:sz="4" w:space="0" w:color="000000"/>
              <w:right w:val="single" w:sz="6" w:space="0" w:color="000000"/>
            </w:tcBorders>
          </w:tcPr>
          <w:p>
            <w:pPr>
              <w:pStyle w:val="TableParagraph"/>
              <w:spacing w:line="258"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pacing w:val="-105"/>
                <w:sz w:val="21"/>
                <w:szCs w:val="21"/>
              </w:rPr>
              <w:t>．</w:t>
            </w:r>
            <w:r>
              <w:rPr>
                <w:rFonts w:ascii="宋体" w:hAnsi="宋体" w:cs="宋体" w:eastAsia="宋体" w:hint="default"/>
                <w:sz w:val="21"/>
                <w:szCs w:val="21"/>
              </w:rPr>
              <w:t>《外部</w:t>
            </w:r>
            <w:r>
              <w:rPr>
                <w:rFonts w:ascii="宋体" w:hAnsi="宋体" w:cs="宋体" w:eastAsia="宋体" w:hint="default"/>
                <w:spacing w:val="-2"/>
                <w:sz w:val="21"/>
                <w:szCs w:val="21"/>
              </w:rPr>
              <w:t>信</w:t>
            </w:r>
            <w:r>
              <w:rPr>
                <w:rFonts w:ascii="宋体" w:hAnsi="宋体" w:cs="宋体" w:eastAsia="宋体" w:hint="default"/>
                <w:sz w:val="21"/>
                <w:szCs w:val="21"/>
              </w:rPr>
              <w:t>息报送和使用管理制度</w:t>
            </w:r>
            <w:r>
              <w:rPr>
                <w:rFonts w:ascii="宋体" w:hAnsi="宋体" w:cs="宋体" w:eastAsia="宋体" w:hint="default"/>
                <w:spacing w:val="-106"/>
                <w:sz w:val="21"/>
                <w:szCs w:val="21"/>
              </w:rPr>
              <w:t>》</w:t>
            </w:r>
            <w:r>
              <w:rPr>
                <w:rFonts w:ascii="宋体" w:hAnsi="宋体" w:cs="宋体" w:eastAsia="宋体" w:hint="default"/>
                <w:sz w:val="21"/>
                <w:szCs w:val="21"/>
              </w:rPr>
              <w:t>。</w:t>
            </w:r>
          </w:p>
        </w:tc>
      </w:tr>
      <w:tr>
        <w:trPr>
          <w:trHeight w:val="1805"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564" w:right="144" w:hanging="420"/>
              <w:jc w:val="left"/>
              <w:rPr>
                <w:rFonts w:ascii="宋体" w:hAnsi="宋体" w:cs="宋体" w:eastAsia="宋体" w:hint="default"/>
                <w:sz w:val="21"/>
                <w:szCs w:val="21"/>
              </w:rPr>
            </w:pPr>
            <w:r>
              <w:rPr>
                <w:rFonts w:ascii="宋体" w:hAnsi="宋体" w:cs="宋体" w:eastAsia="宋体" w:hint="default"/>
                <w:sz w:val="21"/>
                <w:szCs w:val="21"/>
              </w:rPr>
              <w:t>第一届董事会第十 三次会议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50"/>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
              <w:ind w:left="103" w:right="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半年度报告及其摘要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32" w:lineRule="auto" w:before="28"/>
              <w:ind w:left="103" w:right="-6"/>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．《关于加强上市公司治理专项活动的自查事项报</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告》及《关于加强上市公司治理专项活动的自查报告</w:t>
            </w:r>
            <w:r>
              <w:rPr>
                <w:rFonts w:ascii="宋体" w:hAnsi="宋体" w:cs="宋体" w:eastAsia="宋体" w:hint="default"/>
                <w:sz w:val="21"/>
                <w:szCs w:val="21"/>
              </w:rPr>
              <w:t> 和整改计划》的议案；</w:t>
            </w:r>
          </w:p>
          <w:p>
            <w:pPr>
              <w:pStyle w:val="TableParagraph"/>
              <w:spacing w:line="274" w:lineRule="exact" w:before="63"/>
              <w:ind w:left="103" w:right="-6"/>
              <w:jc w:val="both"/>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79"/>
                <w:sz w:val="21"/>
                <w:szCs w:val="21"/>
              </w:rPr>
              <w:t>．</w:t>
            </w:r>
            <w:r>
              <w:rPr>
                <w:rFonts w:ascii="宋体" w:hAnsi="宋体" w:cs="宋体" w:eastAsia="宋体" w:hint="default"/>
                <w:sz w:val="21"/>
                <w:szCs w:val="21"/>
              </w:rPr>
              <w:t>《关于提</w:t>
            </w:r>
            <w:r>
              <w:rPr>
                <w:rFonts w:ascii="宋体" w:hAnsi="宋体" w:cs="宋体" w:eastAsia="宋体" w:hint="default"/>
                <w:spacing w:val="-2"/>
                <w:sz w:val="21"/>
                <w:szCs w:val="21"/>
              </w:rPr>
              <w:t>请</w:t>
            </w:r>
            <w:r>
              <w:rPr>
                <w:rFonts w:ascii="宋体" w:hAnsi="宋体" w:cs="宋体" w:eastAsia="宋体" w:hint="default"/>
                <w:sz w:val="21"/>
                <w:szCs w:val="21"/>
              </w:rPr>
              <w:t>聘任王斌为董事长助</w:t>
            </w:r>
            <w:r>
              <w:rPr>
                <w:rFonts w:ascii="宋体" w:hAnsi="宋体" w:cs="宋体" w:eastAsia="宋体" w:hint="default"/>
                <w:spacing w:val="-75"/>
                <w:sz w:val="21"/>
                <w:szCs w:val="21"/>
              </w:rPr>
              <w:t>理</w:t>
            </w:r>
            <w:r>
              <w:rPr>
                <w:rFonts w:ascii="宋体" w:hAnsi="宋体" w:cs="宋体" w:eastAsia="宋体" w:hint="default"/>
                <w:sz w:val="21"/>
                <w:szCs w:val="21"/>
              </w:rPr>
              <w:t>（副总经理级别）</w:t>
            </w:r>
            <w:r>
              <w:rPr>
                <w:rFonts w:ascii="宋体" w:hAnsi="宋体" w:cs="宋体" w:eastAsia="宋体" w:hint="default"/>
                <w:sz w:val="21"/>
                <w:szCs w:val="21"/>
              </w:rPr>
              <w:t> 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1612"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72" w:lineRule="exact"/>
              <w:ind w:left="564" w:right="144" w:hanging="420"/>
              <w:jc w:val="left"/>
              <w:rPr>
                <w:rFonts w:ascii="宋体" w:hAnsi="宋体" w:cs="宋体" w:eastAsia="宋体" w:hint="default"/>
                <w:sz w:val="21"/>
                <w:szCs w:val="21"/>
              </w:rPr>
            </w:pPr>
            <w:r>
              <w:rPr>
                <w:rFonts w:ascii="宋体" w:hAnsi="宋体" w:cs="宋体" w:eastAsia="宋体" w:hint="default"/>
                <w:sz w:val="21"/>
                <w:szCs w:val="21"/>
              </w:rPr>
              <w:t>第一届董事会第十 四次会议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98"/>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2011</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19</w:t>
            </w:r>
            <w:r>
              <w:rPr>
                <w:rFonts w:ascii="宋体" w:hAnsi="宋体" w:cs="宋体" w:eastAsia="宋体" w:hint="default"/>
                <w:spacing w:val="-1"/>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宋体" w:hAnsi="宋体" w:cs="宋体" w:eastAsia="宋体" w:hint="default"/>
                <w:sz w:val="21"/>
                <w:szCs w:val="21"/>
              </w:rPr>
              <w:t>年第三季度报告全文及正文；</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．关于修订《对外担保管理制度》的议案；</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．关于修订《对外投资管理制度》的议案；</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．关于修订《关联交易管理制度》的议案；</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关于修订《信息披露管理制度》的议案。</w:t>
            </w:r>
          </w:p>
        </w:tc>
      </w:tr>
      <w:tr>
        <w:trPr>
          <w:trHeight w:val="1573"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72" w:lineRule="exact"/>
              <w:ind w:left="564" w:right="144" w:hanging="420"/>
              <w:jc w:val="left"/>
              <w:rPr>
                <w:rFonts w:ascii="宋体" w:hAnsi="宋体" w:cs="宋体" w:eastAsia="宋体" w:hint="default"/>
                <w:sz w:val="21"/>
                <w:szCs w:val="21"/>
              </w:rPr>
            </w:pPr>
            <w:r>
              <w:rPr>
                <w:rFonts w:ascii="宋体" w:hAnsi="宋体" w:cs="宋体" w:eastAsia="宋体" w:hint="default"/>
                <w:sz w:val="21"/>
                <w:szCs w:val="21"/>
              </w:rPr>
              <w:t>第一届董事会第十 五次会议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98"/>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2011</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13</w:t>
            </w:r>
            <w:r>
              <w:rPr>
                <w:rFonts w:ascii="宋体" w:hAnsi="宋体" w:cs="宋体" w:eastAsia="宋体" w:hint="default"/>
                <w:spacing w:val="-1"/>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103" w:right="-5"/>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．关于加强上市公司治理专项活动整改报告的议案；</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．关于制定《控股子公司管理制度》的议案；</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．关于制定《对外捐赠管理制度》的议案；</w:t>
            </w:r>
          </w:p>
          <w:p>
            <w:pPr>
              <w:pStyle w:val="TableParagraph"/>
              <w:spacing w:line="274" w:lineRule="exact" w:before="46"/>
              <w:ind w:left="103" w:right="95"/>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．关于提请聘任王斌为董事会秘书、副总经理的议</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案；</w:t>
            </w:r>
          </w:p>
        </w:tc>
      </w:tr>
    </w:tbl>
    <w:p>
      <w:pPr>
        <w:spacing w:line="240" w:lineRule="auto" w:before="8"/>
        <w:rPr>
          <w:rFonts w:ascii="宋体" w:hAnsi="宋体" w:cs="宋体" w:eastAsia="宋体" w:hint="default"/>
          <w:sz w:val="23"/>
          <w:szCs w:val="23"/>
        </w:rPr>
      </w:pPr>
    </w:p>
    <w:p>
      <w:pPr>
        <w:pStyle w:val="Heading2"/>
        <w:spacing w:line="240" w:lineRule="auto" w:before="13"/>
        <w:ind w:left="781" w:right="0"/>
        <w:jc w:val="left"/>
        <w:rPr>
          <w:b w:val="0"/>
          <w:bCs w:val="0"/>
        </w:rPr>
      </w:pPr>
      <w:r>
        <w:rPr/>
        <w:t>四、董事会下设委员会工作情况</w:t>
      </w:r>
      <w:r>
        <w:rPr>
          <w:b w:val="0"/>
          <w:bCs w:val="0"/>
        </w:rPr>
      </w:r>
    </w:p>
    <w:p>
      <w:pPr>
        <w:spacing w:line="240" w:lineRule="auto" w:before="8"/>
        <w:rPr>
          <w:rFonts w:ascii="宋体" w:hAnsi="宋体" w:cs="宋体" w:eastAsia="宋体" w:hint="default"/>
          <w:b/>
          <w:bCs/>
          <w:sz w:val="30"/>
          <w:szCs w:val="30"/>
        </w:rPr>
      </w:pPr>
    </w:p>
    <w:p>
      <w:pPr>
        <w:pStyle w:val="Heading3"/>
        <w:spacing w:line="240" w:lineRule="auto"/>
        <w:ind w:left="702" w:right="0"/>
        <w:jc w:val="left"/>
        <w:rPr>
          <w:b w:val="0"/>
          <w:bCs w:val="0"/>
        </w:rPr>
      </w:pPr>
      <w:r>
        <w:rPr/>
        <w:t>（一）审计委员会</w:t>
      </w:r>
      <w:r>
        <w:rPr>
          <w:b w:val="0"/>
          <w:bCs w:val="0"/>
        </w:rPr>
      </w:r>
    </w:p>
    <w:p>
      <w:pPr>
        <w:spacing w:line="240" w:lineRule="auto" w:before="4"/>
        <w:rPr>
          <w:rFonts w:ascii="宋体" w:hAnsi="宋体" w:cs="宋体" w:eastAsia="宋体" w:hint="default"/>
          <w:b/>
          <w:bCs/>
          <w:sz w:val="18"/>
          <w:szCs w:val="18"/>
        </w:rPr>
      </w:pPr>
    </w:p>
    <w:p>
      <w:pPr>
        <w:pStyle w:val="BodyText"/>
        <w:spacing w:line="350" w:lineRule="auto"/>
        <w:ind w:left="220" w:right="239" w:firstLine="480"/>
        <w:jc w:val="both"/>
      </w:pPr>
      <w:r>
        <w:rPr/>
        <w:t>公司审计委员会成员由</w:t>
      </w:r>
      <w:r>
        <w:rPr>
          <w:spacing w:val="-60"/>
        </w:rPr>
        <w:t> </w:t>
      </w:r>
      <w:r>
        <w:rPr>
          <w:rFonts w:ascii="Times New Roman" w:hAnsi="Times New Roman" w:cs="Times New Roman" w:eastAsia="Times New Roman" w:hint="default"/>
        </w:rPr>
        <w:t>3 </w:t>
      </w:r>
      <w:r>
        <w:rPr/>
        <w:t>名董事组成，分别为独立董事陈汉文、郭东辉，以及 董事滕达，其中独立董事陈汉文为会计专业人士，担任审计委员会主任委员。公司 根据已制定的《内部审计制度》设立有独立的内部审计机构，配备了专职的内部审 计人员，严格按制度执行，定期进行了内部审计工作。</w:t>
      </w:r>
    </w:p>
    <w:p>
      <w:pPr>
        <w:pStyle w:val="BodyText"/>
        <w:spacing w:line="240" w:lineRule="auto" w:before="162"/>
        <w:ind w:left="700" w:right="0"/>
        <w:jc w:val="left"/>
      </w:pPr>
      <w:r>
        <w:rPr/>
        <w:t>报告期内，公司审计委员会共召开</w:t>
      </w:r>
      <w:r>
        <w:rPr>
          <w:rFonts w:ascii="Times New Roman" w:hAnsi="Times New Roman" w:cs="Times New Roman" w:eastAsia="Times New Roman" w:hint="default"/>
        </w:rPr>
        <w:t>3</w:t>
      </w:r>
      <w:r>
        <w:rPr/>
        <w:t>次会议，会议召开时间及审议事项如下：</w:t>
      </w:r>
    </w:p>
    <w:p>
      <w:pPr>
        <w:spacing w:line="240" w:lineRule="auto" w:before="6"/>
        <w:rPr>
          <w:rFonts w:ascii="宋体" w:hAnsi="宋体" w:cs="宋体" w:eastAsia="宋体" w:hint="default"/>
          <w:sz w:val="22"/>
          <w:szCs w:val="22"/>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410" w:hRule="exact"/>
        </w:trPr>
        <w:tc>
          <w:tcPr>
            <w:tcW w:w="1982"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40" w:lineRule="auto" w:before="28"/>
              <w:ind w:left="56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72"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2822"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72" w:lineRule="exact"/>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第一届审计委员会 第二次会议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度财务决算报告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度财务预算报告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度内部控制的自我评价报告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度利润分配的预案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0"/>
              <w:ind w:left="103" w:right="-5"/>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49"/>
                <w:sz w:val="21"/>
                <w:szCs w:val="21"/>
              </w:rPr>
              <w:t>．</w:t>
            </w:r>
            <w:r>
              <w:rPr>
                <w:rFonts w:ascii="宋体" w:hAnsi="宋体" w:cs="宋体" w:eastAsia="宋体" w:hint="default"/>
                <w:sz w:val="21"/>
                <w:szCs w:val="21"/>
              </w:rPr>
              <w:t>《关于继</w:t>
            </w:r>
            <w:r>
              <w:rPr>
                <w:rFonts w:ascii="宋体" w:hAnsi="宋体" w:cs="宋体" w:eastAsia="宋体" w:hint="default"/>
                <w:spacing w:val="-2"/>
                <w:sz w:val="21"/>
                <w:szCs w:val="21"/>
              </w:rPr>
              <w:t>续</w:t>
            </w:r>
            <w:r>
              <w:rPr>
                <w:rFonts w:ascii="宋体" w:hAnsi="宋体" w:cs="宋体" w:eastAsia="宋体" w:hint="default"/>
                <w:sz w:val="21"/>
                <w:szCs w:val="21"/>
              </w:rPr>
              <w:t>聘请天健正信会计师事务所为公司审计</w:t>
            </w:r>
            <w:r>
              <w:rPr>
                <w:rFonts w:ascii="宋体" w:hAnsi="宋体" w:cs="宋体" w:eastAsia="宋体" w:hint="default"/>
                <w:sz w:val="21"/>
                <w:szCs w:val="21"/>
              </w:rPr>
              <w:t> 机构的议案</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7</w:t>
            </w:r>
            <w:r>
              <w:rPr>
                <w:rFonts w:ascii="宋体" w:hAnsi="宋体" w:cs="宋体" w:eastAsia="宋体" w:hint="default"/>
                <w:spacing w:val="-149"/>
                <w:sz w:val="21"/>
                <w:szCs w:val="21"/>
              </w:rPr>
              <w:t>．</w:t>
            </w:r>
            <w:r>
              <w:rPr>
                <w:rFonts w:ascii="宋体" w:hAnsi="宋体" w:cs="宋体" w:eastAsia="宋体" w:hint="default"/>
                <w:sz w:val="21"/>
                <w:szCs w:val="21"/>
              </w:rPr>
              <w:t>《关于调</w:t>
            </w:r>
            <w:r>
              <w:rPr>
                <w:rFonts w:ascii="宋体" w:hAnsi="宋体" w:cs="宋体" w:eastAsia="宋体" w:hint="default"/>
                <w:spacing w:val="-2"/>
                <w:sz w:val="21"/>
                <w:szCs w:val="21"/>
              </w:rPr>
              <w:t>整</w:t>
            </w:r>
            <w:r>
              <w:rPr>
                <w:rFonts w:ascii="宋体" w:hAnsi="宋体" w:cs="宋体" w:eastAsia="宋体" w:hint="default"/>
                <w:sz w:val="21"/>
                <w:szCs w:val="21"/>
              </w:rPr>
              <w:t>公司独立董事及外部监事津贴的议案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向</w:t>
            </w:r>
            <w:r>
              <w:rPr>
                <w:rFonts w:ascii="宋体" w:hAnsi="宋体" w:cs="宋体" w:eastAsia="宋体" w:hint="default"/>
                <w:sz w:val="21"/>
                <w:szCs w:val="21"/>
              </w:rPr>
              <w:t>两个全资子公司增资的议案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pgSz w:w="12240" w:h="15840"/>
          <w:pgMar w:header="0" w:footer="688" w:top="1360" w:bottom="880" w:left="1580" w:right="15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637" w:hRule="exact"/>
        </w:trPr>
        <w:tc>
          <w:tcPr>
            <w:tcW w:w="1982" w:type="dxa"/>
            <w:tcBorders>
              <w:top w:val="single" w:sz="6" w:space="0" w:color="000000"/>
              <w:left w:val="single" w:sz="6" w:space="0" w:color="000000"/>
              <w:bottom w:val="single" w:sz="4" w:space="0" w:color="000000"/>
              <w:right w:val="single" w:sz="4" w:space="0" w:color="000000"/>
            </w:tcBorders>
          </w:tcPr>
          <w:p>
            <w:pPr/>
          </w:p>
        </w:tc>
        <w:tc>
          <w:tcPr>
            <w:tcW w:w="1872" w:type="dxa"/>
            <w:tcBorders>
              <w:top w:val="single" w:sz="6" w:space="0" w:color="000000"/>
              <w:left w:val="single" w:sz="4" w:space="0" w:color="000000"/>
              <w:bottom w:val="single" w:sz="4" w:space="0" w:color="000000"/>
              <w:right w:val="single" w:sz="4" w:space="0" w:color="000000"/>
            </w:tcBorders>
          </w:tcPr>
          <w:p>
            <w:pPr/>
          </w:p>
        </w:tc>
        <w:tc>
          <w:tcPr>
            <w:tcW w:w="5002" w:type="dxa"/>
            <w:tcBorders>
              <w:top w:val="single" w:sz="6" w:space="0" w:color="000000"/>
              <w:left w:val="single" w:sz="4" w:space="0" w:color="000000"/>
              <w:bottom w:val="single" w:sz="4" w:space="0" w:color="000000"/>
              <w:right w:val="single" w:sz="6" w:space="0" w:color="000000"/>
            </w:tcBorders>
          </w:tcPr>
          <w:p>
            <w:pPr>
              <w:pStyle w:val="TableParagraph"/>
              <w:spacing w:line="258"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实</w:t>
            </w:r>
            <w:r>
              <w:rPr>
                <w:rFonts w:ascii="宋体" w:hAnsi="宋体" w:cs="宋体" w:eastAsia="宋体" w:hint="default"/>
                <w:sz w:val="21"/>
                <w:szCs w:val="21"/>
              </w:rPr>
              <w:t>施企业年金的议案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0</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提</w:t>
            </w:r>
            <w:r>
              <w:rPr>
                <w:rFonts w:ascii="宋体" w:hAnsi="宋体" w:cs="宋体" w:eastAsia="宋体" w:hint="default"/>
                <w:sz w:val="21"/>
                <w:szCs w:val="21"/>
              </w:rPr>
              <w:t>请聘任王斌为内审中心负责人的议案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5"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before="33"/>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第一届审计委员会 第三次会议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半年度报告及其摘要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6"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72" w:lineRule="exact" w:before="33"/>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第一届审计委员会 第四次会议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141"/>
              <w:ind w:right="198"/>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2011</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19</w:t>
            </w:r>
            <w:r>
              <w:rPr>
                <w:rFonts w:ascii="宋体" w:hAnsi="宋体" w:cs="宋体" w:eastAsia="宋体" w:hint="default"/>
                <w:spacing w:val="-1"/>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第三季度报告全文及正文</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line="240" w:lineRule="auto" w:before="3"/>
        <w:rPr>
          <w:rFonts w:ascii="宋体" w:hAnsi="宋体" w:cs="宋体" w:eastAsia="宋体" w:hint="default"/>
          <w:sz w:val="26"/>
          <w:szCs w:val="26"/>
        </w:rPr>
      </w:pPr>
    </w:p>
    <w:p>
      <w:pPr>
        <w:pStyle w:val="Heading3"/>
        <w:spacing w:line="240" w:lineRule="auto" w:before="26"/>
        <w:ind w:left="702" w:right="0"/>
        <w:jc w:val="left"/>
        <w:rPr>
          <w:b w:val="0"/>
          <w:bCs w:val="0"/>
        </w:rPr>
      </w:pPr>
      <w:r>
        <w:rPr/>
        <w:t>（二）提名委员会</w:t>
      </w:r>
      <w:r>
        <w:rPr>
          <w:b w:val="0"/>
          <w:bCs w:val="0"/>
        </w:rPr>
      </w:r>
    </w:p>
    <w:p>
      <w:pPr>
        <w:spacing w:line="240" w:lineRule="auto" w:before="4"/>
        <w:rPr>
          <w:rFonts w:ascii="宋体" w:hAnsi="宋体" w:cs="宋体" w:eastAsia="宋体" w:hint="default"/>
          <w:b/>
          <w:bCs/>
          <w:sz w:val="18"/>
          <w:szCs w:val="18"/>
        </w:rPr>
      </w:pPr>
    </w:p>
    <w:p>
      <w:pPr>
        <w:pStyle w:val="BodyText"/>
        <w:spacing w:line="338" w:lineRule="auto"/>
        <w:ind w:left="220" w:right="220" w:firstLine="480"/>
        <w:jc w:val="left"/>
      </w:pPr>
      <w:r>
        <w:rPr/>
        <w:t>公司提名委员会成员由</w:t>
      </w:r>
      <w:r>
        <w:rPr>
          <w:spacing w:val="-60"/>
        </w:rPr>
        <w:t> </w:t>
      </w:r>
      <w:r>
        <w:rPr>
          <w:rFonts w:ascii="Times New Roman" w:hAnsi="Times New Roman" w:cs="Times New Roman" w:eastAsia="Times New Roman" w:hint="default"/>
        </w:rPr>
        <w:t>3 </w:t>
      </w:r>
      <w:r>
        <w:rPr/>
        <w:t>名董事组成，分别为独立董事陈汉文、独立董事郭东 辉、董事刘祥南，其中独立董事郭东辉先生担任提名委员会主任委员。</w:t>
      </w:r>
    </w:p>
    <w:p>
      <w:pPr>
        <w:pStyle w:val="BodyText"/>
        <w:spacing w:line="240" w:lineRule="auto" w:before="175"/>
        <w:ind w:left="700" w:right="0"/>
        <w:jc w:val="left"/>
      </w:pPr>
      <w:r>
        <w:rPr/>
        <w:t>报告期内，公司提名委员会共召开</w:t>
      </w:r>
      <w:r>
        <w:rPr>
          <w:rFonts w:ascii="Times New Roman" w:hAnsi="Times New Roman" w:cs="Times New Roman" w:eastAsia="Times New Roman" w:hint="default"/>
        </w:rPr>
        <w:t>3</w:t>
      </w:r>
      <w:r>
        <w:rPr/>
        <w:t>次会议，会议召开时间及审议事项如下：</w:t>
      </w:r>
    </w:p>
    <w:p>
      <w:pPr>
        <w:spacing w:line="240" w:lineRule="auto" w:before="10"/>
        <w:rPr>
          <w:rFonts w:ascii="宋体" w:hAnsi="宋体" w:cs="宋体" w:eastAsia="宋体" w:hint="default"/>
          <w:sz w:val="24"/>
          <w:szCs w:val="24"/>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368" w:hRule="exact"/>
        </w:trPr>
        <w:tc>
          <w:tcPr>
            <w:tcW w:w="1982"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73" w:lineRule="exact"/>
              <w:ind w:left="56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72"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73" w:lineRule="exact"/>
              <w:ind w:left="511" w:right="0"/>
              <w:jc w:val="left"/>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958" w:hRule="exact"/>
        </w:trPr>
        <w:tc>
          <w:tcPr>
            <w:tcW w:w="1982" w:type="dxa"/>
            <w:tcBorders>
              <w:top w:val="single" w:sz="13" w:space="0" w:color="CCCCCC"/>
              <w:left w:val="single" w:sz="6"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72" w:lineRule="exact"/>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第一届提名委员会 第二次会议</w:t>
            </w:r>
          </w:p>
        </w:tc>
        <w:tc>
          <w:tcPr>
            <w:tcW w:w="1872" w:type="dxa"/>
            <w:tcBorders>
              <w:top w:val="single" w:sz="13" w:space="0" w:color="CCCCCC"/>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54"/>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11</w:t>
            </w:r>
            <w:r>
              <w:rPr>
                <w:rFonts w:ascii="宋体" w:hAnsi="宋体" w:cs="宋体" w:eastAsia="宋体" w:hint="default"/>
                <w:spacing w:val="-2"/>
                <w:sz w:val="21"/>
                <w:szCs w:val="21"/>
              </w:rPr>
              <w:t>日</w:t>
            </w:r>
          </w:p>
        </w:tc>
        <w:tc>
          <w:tcPr>
            <w:tcW w:w="5002" w:type="dxa"/>
            <w:tcBorders>
              <w:top w:val="single" w:sz="13" w:space="0" w:color="CCCCCC"/>
              <w:left w:val="single" w:sz="4" w:space="0" w:color="000000"/>
              <w:bottom w:val="single" w:sz="4" w:space="0" w:color="000000"/>
              <w:right w:val="single" w:sz="6" w:space="0" w:color="000000"/>
            </w:tcBorders>
          </w:tcPr>
          <w:p>
            <w:pPr>
              <w:pStyle w:val="TableParagraph"/>
              <w:spacing w:line="249" w:lineRule="auto" w:before="5"/>
              <w:ind w:left="103" w:right="92"/>
              <w:jc w:val="left"/>
              <w:rPr>
                <w:rFonts w:ascii="宋体" w:hAnsi="宋体" w:cs="宋体" w:eastAsia="宋体" w:hint="default"/>
                <w:sz w:val="21"/>
                <w:szCs w:val="21"/>
              </w:rPr>
            </w:pPr>
            <w:r>
              <w:rPr>
                <w:rFonts w:ascii="Times New Roman" w:hAnsi="Times New Roman" w:cs="Times New Roman" w:eastAsia="Times New Roman" w:hint="default"/>
                <w:spacing w:val="7"/>
                <w:sz w:val="21"/>
                <w:szCs w:val="21"/>
              </w:rPr>
              <w:t>1</w:t>
            </w:r>
            <w:r>
              <w:rPr>
                <w:rFonts w:ascii="宋体" w:hAnsi="宋体" w:cs="宋体" w:eastAsia="宋体" w:hint="default"/>
                <w:spacing w:val="-98"/>
                <w:sz w:val="21"/>
                <w:szCs w:val="21"/>
              </w:rPr>
              <w:t>．</w:t>
            </w:r>
            <w:r>
              <w:rPr>
                <w:rFonts w:ascii="宋体" w:hAnsi="宋体" w:cs="宋体" w:eastAsia="宋体" w:hint="default"/>
                <w:spacing w:val="7"/>
                <w:sz w:val="21"/>
                <w:szCs w:val="21"/>
              </w:rPr>
              <w:t>《关于</w:t>
            </w:r>
            <w:r>
              <w:rPr>
                <w:rFonts w:ascii="宋体" w:hAnsi="宋体" w:cs="宋体" w:eastAsia="宋体" w:hint="default"/>
                <w:spacing w:val="8"/>
                <w:sz w:val="21"/>
                <w:szCs w:val="21"/>
              </w:rPr>
              <w:t>提</w:t>
            </w:r>
            <w:r>
              <w:rPr>
                <w:rFonts w:ascii="宋体" w:hAnsi="宋体" w:cs="宋体" w:eastAsia="宋体" w:hint="default"/>
                <w:spacing w:val="7"/>
                <w:sz w:val="21"/>
                <w:szCs w:val="21"/>
              </w:rPr>
              <w:t>请聘任吴</w:t>
            </w:r>
            <w:r>
              <w:rPr>
                <w:rFonts w:ascii="宋体" w:hAnsi="宋体" w:cs="宋体" w:eastAsia="宋体" w:hint="default"/>
                <w:spacing w:val="8"/>
                <w:sz w:val="21"/>
                <w:szCs w:val="21"/>
              </w:rPr>
              <w:t>世</w:t>
            </w:r>
            <w:r>
              <w:rPr>
                <w:rFonts w:ascii="宋体" w:hAnsi="宋体" w:cs="宋体" w:eastAsia="宋体" w:hint="default"/>
                <w:spacing w:val="7"/>
                <w:sz w:val="21"/>
                <w:szCs w:val="21"/>
              </w:rPr>
              <w:t>雄、栾江</w:t>
            </w:r>
            <w:r>
              <w:rPr>
                <w:rFonts w:ascii="宋体" w:hAnsi="宋体" w:cs="宋体" w:eastAsia="宋体" w:hint="default"/>
                <w:spacing w:val="8"/>
                <w:sz w:val="21"/>
                <w:szCs w:val="21"/>
              </w:rPr>
              <w:t>霞</w:t>
            </w:r>
            <w:r>
              <w:rPr>
                <w:rFonts w:ascii="宋体" w:hAnsi="宋体" w:cs="宋体" w:eastAsia="宋体" w:hint="default"/>
                <w:spacing w:val="7"/>
                <w:sz w:val="21"/>
                <w:szCs w:val="21"/>
              </w:rPr>
              <w:t>为副总经</w:t>
            </w:r>
            <w:r>
              <w:rPr>
                <w:rFonts w:ascii="宋体" w:hAnsi="宋体" w:cs="宋体" w:eastAsia="宋体" w:hint="default"/>
                <w:spacing w:val="8"/>
                <w:sz w:val="21"/>
                <w:szCs w:val="21"/>
              </w:rPr>
              <w:t>理</w:t>
            </w:r>
            <w:r>
              <w:rPr>
                <w:rFonts w:ascii="宋体" w:hAnsi="宋体" w:cs="宋体" w:eastAsia="宋体" w:hint="default"/>
                <w:spacing w:val="7"/>
                <w:sz w:val="21"/>
                <w:szCs w:val="21"/>
              </w:rPr>
              <w:t>的议</w:t>
            </w:r>
            <w:r>
              <w:rPr>
                <w:rFonts w:ascii="宋体" w:hAnsi="宋体" w:cs="宋体" w:eastAsia="宋体" w:hint="default"/>
                <w:spacing w:val="7"/>
                <w:sz w:val="21"/>
                <w:szCs w:val="21"/>
              </w:rPr>
              <w:t> </w:t>
            </w:r>
            <w:r>
              <w:rPr>
                <w:rFonts w:ascii="宋体" w:hAnsi="宋体" w:cs="宋体" w:eastAsia="宋体" w:hint="default"/>
                <w:sz w:val="21"/>
                <w:szCs w:val="21"/>
              </w:rPr>
              <w:t>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提</w:t>
            </w:r>
            <w:r>
              <w:rPr>
                <w:rFonts w:ascii="宋体" w:hAnsi="宋体" w:cs="宋体" w:eastAsia="宋体" w:hint="default"/>
                <w:sz w:val="21"/>
                <w:szCs w:val="21"/>
              </w:rPr>
              <w:t>请聘任王斌为内审中心负责人的议案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5"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before="33"/>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第一届提名委员会 第三次会议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72" w:lineRule="exact" w:before="33"/>
              <w:ind w:left="103" w:right="-6"/>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79"/>
                <w:sz w:val="21"/>
                <w:szCs w:val="21"/>
              </w:rPr>
              <w:t>．</w:t>
            </w:r>
            <w:r>
              <w:rPr>
                <w:rFonts w:ascii="宋体" w:hAnsi="宋体" w:cs="宋体" w:eastAsia="宋体" w:hint="default"/>
                <w:sz w:val="21"/>
                <w:szCs w:val="21"/>
              </w:rPr>
              <w:t>《关于提</w:t>
            </w:r>
            <w:r>
              <w:rPr>
                <w:rFonts w:ascii="宋体" w:hAnsi="宋体" w:cs="宋体" w:eastAsia="宋体" w:hint="default"/>
                <w:spacing w:val="-2"/>
                <w:sz w:val="21"/>
                <w:szCs w:val="21"/>
              </w:rPr>
              <w:t>请</w:t>
            </w:r>
            <w:r>
              <w:rPr>
                <w:rFonts w:ascii="宋体" w:hAnsi="宋体" w:cs="宋体" w:eastAsia="宋体" w:hint="default"/>
                <w:sz w:val="21"/>
                <w:szCs w:val="21"/>
              </w:rPr>
              <w:t>聘任王斌为董事长助</w:t>
            </w:r>
            <w:r>
              <w:rPr>
                <w:rFonts w:ascii="宋体" w:hAnsi="宋体" w:cs="宋体" w:eastAsia="宋体" w:hint="default"/>
                <w:spacing w:val="-75"/>
                <w:sz w:val="21"/>
                <w:szCs w:val="21"/>
              </w:rPr>
              <w:t>理</w:t>
            </w:r>
            <w:r>
              <w:rPr>
                <w:rFonts w:ascii="宋体" w:hAnsi="宋体" w:cs="宋体" w:eastAsia="宋体" w:hint="default"/>
                <w:sz w:val="21"/>
                <w:szCs w:val="21"/>
              </w:rPr>
              <w:t>（副总经理级别）</w:t>
            </w:r>
            <w:r>
              <w:rPr>
                <w:rFonts w:ascii="宋体" w:hAnsi="宋体" w:cs="宋体" w:eastAsia="宋体" w:hint="default"/>
                <w:sz w:val="21"/>
                <w:szCs w:val="21"/>
              </w:rPr>
              <w:t> 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6"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72" w:lineRule="exact" w:before="33"/>
              <w:ind w:left="458" w:right="144" w:hanging="315"/>
              <w:jc w:val="left"/>
              <w:rPr>
                <w:rFonts w:ascii="宋体" w:hAnsi="宋体" w:cs="宋体" w:eastAsia="宋体" w:hint="default"/>
                <w:sz w:val="21"/>
                <w:szCs w:val="21"/>
              </w:rPr>
            </w:pPr>
            <w:r>
              <w:rPr>
                <w:rFonts w:ascii="宋体" w:hAnsi="宋体" w:cs="宋体" w:eastAsia="宋体" w:hint="default"/>
                <w:sz w:val="21"/>
                <w:szCs w:val="21"/>
              </w:rPr>
              <w:t>第一届提名委员会 第四次会议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141"/>
              <w:ind w:right="198"/>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2011</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13</w:t>
            </w:r>
            <w:r>
              <w:rPr>
                <w:rFonts w:ascii="宋体" w:hAnsi="宋体" w:cs="宋体" w:eastAsia="宋体" w:hint="default"/>
                <w:spacing w:val="-1"/>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72" w:lineRule="exact" w:before="33"/>
              <w:ind w:left="103" w:right="97"/>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26"/>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提</w:t>
            </w:r>
            <w:r>
              <w:rPr>
                <w:rFonts w:ascii="宋体" w:hAnsi="宋体" w:cs="宋体" w:eastAsia="宋体" w:hint="default"/>
                <w:sz w:val="21"/>
                <w:szCs w:val="21"/>
              </w:rPr>
              <w:t>请聘任王斌为董事会秘书</w:t>
            </w:r>
            <w:r>
              <w:rPr>
                <w:rFonts w:ascii="宋体" w:hAnsi="宋体" w:cs="宋体" w:eastAsia="宋体" w:hint="default"/>
                <w:spacing w:val="-22"/>
                <w:sz w:val="21"/>
                <w:szCs w:val="21"/>
              </w:rPr>
              <w:t>、</w:t>
            </w:r>
            <w:r>
              <w:rPr>
                <w:rFonts w:ascii="宋体" w:hAnsi="宋体" w:cs="宋体" w:eastAsia="宋体" w:hint="default"/>
                <w:sz w:val="21"/>
                <w:szCs w:val="21"/>
              </w:rPr>
              <w:t>副总经理的议</w:t>
            </w:r>
            <w:r>
              <w:rPr>
                <w:rFonts w:ascii="宋体" w:hAnsi="宋体" w:cs="宋体" w:eastAsia="宋体" w:hint="default"/>
                <w:sz w:val="21"/>
                <w:szCs w:val="21"/>
              </w:rPr>
              <w:t> 案</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line="240" w:lineRule="auto" w:before="3"/>
        <w:rPr>
          <w:rFonts w:ascii="宋体" w:hAnsi="宋体" w:cs="宋体" w:eastAsia="宋体" w:hint="default"/>
          <w:sz w:val="26"/>
          <w:szCs w:val="26"/>
        </w:rPr>
      </w:pPr>
    </w:p>
    <w:p>
      <w:pPr>
        <w:pStyle w:val="Heading3"/>
        <w:spacing w:line="240" w:lineRule="auto" w:before="26"/>
        <w:ind w:left="702" w:right="0"/>
        <w:jc w:val="left"/>
        <w:rPr>
          <w:b w:val="0"/>
          <w:bCs w:val="0"/>
        </w:rPr>
      </w:pPr>
      <w:r>
        <w:rPr/>
        <w:t>（三）薪酬与考核委员会</w:t>
      </w:r>
      <w:r>
        <w:rPr>
          <w:b w:val="0"/>
          <w:bCs w:val="0"/>
        </w:rPr>
      </w:r>
    </w:p>
    <w:p>
      <w:pPr>
        <w:spacing w:line="240" w:lineRule="auto" w:before="4"/>
        <w:rPr>
          <w:rFonts w:ascii="宋体" w:hAnsi="宋体" w:cs="宋体" w:eastAsia="宋体" w:hint="default"/>
          <w:b/>
          <w:bCs/>
          <w:sz w:val="18"/>
          <w:szCs w:val="18"/>
        </w:rPr>
      </w:pPr>
    </w:p>
    <w:p>
      <w:pPr>
        <w:pStyle w:val="BodyText"/>
        <w:spacing w:line="338" w:lineRule="auto"/>
        <w:ind w:left="220" w:right="239" w:firstLine="480"/>
        <w:jc w:val="right"/>
      </w:pPr>
      <w:r>
        <w:rPr/>
        <w:t>公司薪酬与考核委员会成员由</w:t>
      </w:r>
      <w:r>
        <w:rPr>
          <w:spacing w:val="-60"/>
        </w:rPr>
        <w:t> </w:t>
      </w:r>
      <w:r>
        <w:rPr>
          <w:rFonts w:ascii="Times New Roman" w:hAnsi="Times New Roman" w:cs="Times New Roman" w:eastAsia="Times New Roman" w:hint="default"/>
        </w:rPr>
        <w:t>3 </w:t>
      </w:r>
      <w:r>
        <w:rPr/>
        <w:t>名董事组成，分别为独立董事陈汉文、独立董 事郭东辉、董事滕达，其中独立董事陈汉文先生担任薪酬与考核委员会主任委员。</w:t>
      </w:r>
    </w:p>
    <w:p>
      <w:pPr>
        <w:pStyle w:val="BodyText"/>
        <w:spacing w:line="338" w:lineRule="auto" w:before="175"/>
        <w:ind w:left="220" w:right="0" w:firstLine="480"/>
        <w:jc w:val="left"/>
      </w:pPr>
      <w:r>
        <w:rPr>
          <w:spacing w:val="-4"/>
        </w:rPr>
        <w:t>报告期内，公司薪酬与考核委员会共召开</w:t>
      </w:r>
      <w:r>
        <w:rPr>
          <w:rFonts w:ascii="Times New Roman" w:hAnsi="Times New Roman" w:cs="Times New Roman" w:eastAsia="Times New Roman" w:hint="default"/>
          <w:spacing w:val="-4"/>
        </w:rPr>
        <w:t>1</w:t>
      </w:r>
      <w:r>
        <w:rPr>
          <w:spacing w:val="-4"/>
        </w:rPr>
        <w:t>次会议，会议召开时间及审议事项如</w:t>
      </w:r>
      <w:r>
        <w:rPr/>
        <w:t> 下：</w:t>
      </w:r>
    </w:p>
    <w:p>
      <w:pPr>
        <w:spacing w:line="240" w:lineRule="auto" w:before="4"/>
        <w:rPr>
          <w:rFonts w:ascii="宋体" w:hAnsi="宋体" w:cs="宋体" w:eastAsia="宋体" w:hint="default"/>
          <w:sz w:val="16"/>
          <w:szCs w:val="16"/>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409" w:hRule="exact"/>
        </w:trPr>
        <w:tc>
          <w:tcPr>
            <w:tcW w:w="1982"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40" w:lineRule="auto" w:before="28"/>
              <w:ind w:left="56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72"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677"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72" w:lineRule="exact" w:before="52"/>
              <w:ind w:left="144" w:right="144"/>
              <w:jc w:val="left"/>
              <w:rPr>
                <w:rFonts w:ascii="宋体" w:hAnsi="宋体" w:cs="宋体" w:eastAsia="宋体" w:hint="default"/>
                <w:sz w:val="21"/>
                <w:szCs w:val="21"/>
              </w:rPr>
            </w:pPr>
            <w:r>
              <w:rPr>
                <w:rFonts w:ascii="宋体" w:hAnsi="宋体" w:cs="宋体" w:eastAsia="宋体" w:hint="default"/>
                <w:sz w:val="21"/>
                <w:szCs w:val="21"/>
              </w:rPr>
              <w:t>第一届薪酬与考核 委员会第一次会议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161"/>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《关于</w:t>
            </w:r>
            <w:r>
              <w:rPr>
                <w:rFonts w:ascii="宋体" w:hAnsi="宋体" w:cs="宋体" w:eastAsia="宋体" w:hint="default"/>
                <w:spacing w:val="-2"/>
                <w:sz w:val="21"/>
                <w:szCs w:val="21"/>
              </w:rPr>
              <w:t>实</w:t>
            </w:r>
            <w:r>
              <w:rPr>
                <w:rFonts w:ascii="宋体" w:hAnsi="宋体" w:cs="宋体" w:eastAsia="宋体" w:hint="default"/>
                <w:sz w:val="21"/>
                <w:szCs w:val="21"/>
              </w:rPr>
              <w:t>施企业年金的议案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5"/>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49"/>
                <w:sz w:val="21"/>
                <w:szCs w:val="21"/>
              </w:rPr>
              <w:t>．</w:t>
            </w:r>
            <w:r>
              <w:rPr>
                <w:rFonts w:ascii="宋体" w:hAnsi="宋体" w:cs="宋体" w:eastAsia="宋体" w:hint="default"/>
                <w:sz w:val="21"/>
                <w:szCs w:val="21"/>
              </w:rPr>
              <w:t>《关于调</w:t>
            </w:r>
            <w:r>
              <w:rPr>
                <w:rFonts w:ascii="宋体" w:hAnsi="宋体" w:cs="宋体" w:eastAsia="宋体" w:hint="default"/>
                <w:spacing w:val="-2"/>
                <w:sz w:val="21"/>
                <w:szCs w:val="21"/>
              </w:rPr>
              <w:t>整</w:t>
            </w:r>
            <w:r>
              <w:rPr>
                <w:rFonts w:ascii="宋体" w:hAnsi="宋体" w:cs="宋体" w:eastAsia="宋体" w:hint="default"/>
                <w:sz w:val="21"/>
                <w:szCs w:val="21"/>
              </w:rPr>
              <w:t>公司独立董事及外部监事津贴的议案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pgSz w:w="12240" w:h="15840"/>
          <w:pgMar w:header="0" w:footer="688" w:top="1360" w:bottom="880" w:left="1580" w:right="1560"/>
        </w:sectPr>
      </w:pPr>
    </w:p>
    <w:p>
      <w:pPr>
        <w:pStyle w:val="Heading3"/>
        <w:spacing w:line="240" w:lineRule="auto" w:before="7"/>
        <w:ind w:left="582" w:right="114"/>
        <w:jc w:val="left"/>
        <w:rPr>
          <w:b w:val="0"/>
          <w:bCs w:val="0"/>
        </w:rPr>
      </w:pPr>
      <w:r>
        <w:rPr/>
        <w:t>（四）战略委员会</w:t>
      </w:r>
      <w:r>
        <w:rPr>
          <w:b w:val="0"/>
          <w:bCs w:val="0"/>
        </w:rPr>
      </w:r>
    </w:p>
    <w:p>
      <w:pPr>
        <w:spacing w:line="240" w:lineRule="auto" w:before="4"/>
        <w:rPr>
          <w:rFonts w:ascii="宋体" w:hAnsi="宋体" w:cs="宋体" w:eastAsia="宋体" w:hint="default"/>
          <w:b/>
          <w:bCs/>
          <w:sz w:val="18"/>
          <w:szCs w:val="18"/>
        </w:rPr>
      </w:pPr>
    </w:p>
    <w:p>
      <w:pPr>
        <w:pStyle w:val="BodyText"/>
        <w:spacing w:line="338" w:lineRule="auto"/>
        <w:ind w:right="220" w:firstLine="480"/>
        <w:jc w:val="left"/>
      </w:pPr>
      <w:r>
        <w:rPr/>
        <w:t>公司战略委员会成员由</w:t>
      </w:r>
      <w:r>
        <w:rPr>
          <w:spacing w:val="-60"/>
        </w:rPr>
        <w:t> </w:t>
      </w:r>
      <w:r>
        <w:rPr>
          <w:rFonts w:ascii="Times New Roman" w:hAnsi="Times New Roman" w:cs="Times New Roman" w:eastAsia="Times New Roman" w:hint="default"/>
        </w:rPr>
        <w:t>3 </w:t>
      </w:r>
      <w:r>
        <w:rPr/>
        <w:t>名董事组成，分别为独立董事陈少华、独立董事郭东 辉、董事滕达，其中董事滕达先生担任战略委员会主任委员。</w:t>
      </w:r>
    </w:p>
    <w:p>
      <w:pPr>
        <w:pStyle w:val="BodyText"/>
        <w:spacing w:line="240" w:lineRule="auto" w:before="174"/>
        <w:ind w:left="580" w:right="114"/>
        <w:jc w:val="left"/>
      </w:pPr>
      <w:r>
        <w:rPr/>
        <w:t>报告期内，公司未召开战略委员会会议。</w:t>
      </w:r>
    </w:p>
    <w:p>
      <w:pPr>
        <w:spacing w:line="240" w:lineRule="auto" w:before="0"/>
        <w:rPr>
          <w:rFonts w:ascii="宋体" w:hAnsi="宋体" w:cs="宋体" w:eastAsia="宋体" w:hint="default"/>
          <w:sz w:val="24"/>
          <w:szCs w:val="24"/>
        </w:rPr>
      </w:pPr>
    </w:p>
    <w:p>
      <w:pPr>
        <w:pStyle w:val="Heading2"/>
        <w:spacing w:line="240" w:lineRule="auto" w:before="198"/>
        <w:ind w:left="661" w:right="114"/>
        <w:jc w:val="left"/>
        <w:rPr>
          <w:b w:val="0"/>
          <w:bCs w:val="0"/>
        </w:rPr>
      </w:pPr>
      <w:r>
        <w:rPr/>
        <w:t>五、公司内部控制制度的建立健全情况</w:t>
      </w:r>
      <w:r>
        <w:rPr>
          <w:b w:val="0"/>
          <w:bCs w:val="0"/>
        </w:rPr>
      </w:r>
    </w:p>
    <w:p>
      <w:pPr>
        <w:spacing w:line="240" w:lineRule="auto" w:before="8"/>
        <w:rPr>
          <w:rFonts w:ascii="宋体" w:hAnsi="宋体" w:cs="宋体" w:eastAsia="宋体" w:hint="default"/>
          <w:b/>
          <w:bCs/>
          <w:sz w:val="30"/>
          <w:szCs w:val="30"/>
        </w:rPr>
      </w:pPr>
    </w:p>
    <w:p>
      <w:pPr>
        <w:spacing w:line="422" w:lineRule="auto" w:before="0"/>
        <w:ind w:left="580" w:right="220" w:firstLine="2"/>
        <w:jc w:val="left"/>
        <w:rPr>
          <w:rFonts w:ascii="宋体" w:hAnsi="宋体" w:cs="宋体" w:eastAsia="宋体" w:hint="default"/>
          <w:sz w:val="24"/>
          <w:szCs w:val="24"/>
        </w:rPr>
      </w:pPr>
      <w:r>
        <w:rPr>
          <w:rFonts w:ascii="宋体" w:hAnsi="宋体" w:cs="宋体" w:eastAsia="宋体" w:hint="default"/>
          <w:b/>
          <w:bCs/>
          <w:sz w:val="24"/>
          <w:szCs w:val="24"/>
        </w:rPr>
        <w:t>（一）报告期内公司内部控制制度的建立和健全情况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公司建立了由股东大会、董事会、监事会和高级管理层组成的“三会一层”的</w:t>
      </w:r>
    </w:p>
    <w:p>
      <w:pPr>
        <w:pStyle w:val="BodyText"/>
        <w:spacing w:line="284" w:lineRule="exact"/>
        <w:ind w:right="114"/>
        <w:jc w:val="left"/>
      </w:pPr>
      <w:r>
        <w:rPr/>
        <w:t>公司治理结构，分别行使权利机构、决策机构、监督机构和执行机构的职责，各机</w:t>
      </w:r>
    </w:p>
    <w:p>
      <w:pPr>
        <w:pStyle w:val="BodyText"/>
        <w:spacing w:line="357" w:lineRule="auto" w:before="152"/>
        <w:ind w:right="114"/>
        <w:jc w:val="left"/>
      </w:pPr>
      <w:r>
        <w:rPr/>
        <w:t>构在日常的运行中权责明确、相互协调、相互制衡，确保了公司的规范运作和科学 决策，保证了股东大会决议和董事会决议的顺利执行。董事会设立了战略委员会、 </w:t>
      </w:r>
      <w:r>
        <w:rPr>
          <w:spacing w:val="-4"/>
        </w:rPr>
        <w:t>审计委员会、提名委员会、薪酬与考核委员会，以专门机构加强内部控制环境建设。</w:t>
      </w:r>
      <w:r>
        <w:rPr>
          <w:spacing w:val="-92"/>
        </w:rPr>
        <w:t> </w:t>
      </w:r>
      <w:r>
        <w:rPr>
          <w:spacing w:val="-92"/>
        </w:rPr>
      </w:r>
      <w:r>
        <w:rPr/>
        <w:t>公司设立了内部审计机构，隶属于董事会审计委员会领导，负责执行公司内部控制 的监督和检查，依照国家法律法规政策以及相关规定，独立行使审计监督职权。</w:t>
      </w:r>
    </w:p>
    <w:p>
      <w:pPr>
        <w:pStyle w:val="BodyText"/>
        <w:spacing w:line="357" w:lineRule="auto" w:before="155"/>
        <w:ind w:right="114" w:firstLine="480"/>
        <w:jc w:val="left"/>
      </w:pPr>
      <w:r>
        <w:rPr/>
        <w:t>公司根据《公司法》、《企业内部控制制度》、《深圳证券交易所创业板股票 上市规则》、《深圳证券交易所上市公司内部控制指引》、《深圳证券交易所创业 </w:t>
      </w:r>
      <w:r>
        <w:rPr>
          <w:spacing w:val="-4"/>
        </w:rPr>
        <w:t>板上市公司规范运作指引》等相关法律法规及相关文件的相关要求，针对自身特点，</w:t>
      </w:r>
      <w:r>
        <w:rPr>
          <w:spacing w:val="-92"/>
        </w:rPr>
        <w:t> </w:t>
      </w:r>
      <w:r>
        <w:rPr>
          <w:spacing w:val="-92"/>
        </w:rPr>
      </w:r>
      <w:r>
        <w:rPr/>
        <w:t>加强和完善了公司内部控制制度建设，制定了《股东大会议事规则》、《董事会议 事规则》、《独立董事制度》、《监事会议事规则》、《总经理工作细则》、《董 事会提名委员会工作细则》、《董事会审计委员会工作细则》、《董事会薪酬与考 </w:t>
      </w:r>
      <w:r>
        <w:rPr>
          <w:spacing w:val="-4"/>
        </w:rPr>
        <w:t>核委员会工作细则》、《董事会战略委员会工作细则》、《董事会秘书工作细则》、</w:t>
      </w:r>
    </w:p>
    <w:p>
      <w:pPr>
        <w:pStyle w:val="BodyText"/>
        <w:spacing w:line="357" w:lineRule="auto" w:before="35"/>
        <w:ind w:right="119"/>
        <w:jc w:val="both"/>
      </w:pPr>
      <w:r>
        <w:rPr/>
        <w:t>《投资者关系管理制度》、《募集资金管理制度》、《对外担保管理制度》、《对 外投资管理制度》、《关联交易管理制度》、《对外捐赠管理制度》、《控股子公 司管理制度》、《董事、监事和高级管理人员内部问责制度》、《董事、监事和高 级管理人员所持本公司股份及其变动管理制度》、《控股股东和实际控制人行为规 </w:t>
      </w:r>
      <w:r>
        <w:rPr>
          <w:spacing w:val="-10"/>
        </w:rPr>
        <w:t>范管理办法》、《内幕信息知情人登记制度》、《年报信息重大差错责任追究制度》、</w:t>
      </w:r>
    </w:p>
    <w:p>
      <w:pPr>
        <w:spacing w:after="0" w:line="357" w:lineRule="auto"/>
        <w:jc w:val="both"/>
        <w:sectPr>
          <w:pgSz w:w="12240" w:h="15840"/>
          <w:pgMar w:header="0" w:footer="688" w:top="1440" w:bottom="880" w:left="1700" w:right="1560"/>
        </w:sectPr>
      </w:pPr>
    </w:p>
    <w:p>
      <w:pPr>
        <w:pStyle w:val="BodyText"/>
        <w:spacing w:line="240" w:lineRule="auto" w:before="1"/>
        <w:ind w:left="120" w:right="0"/>
        <w:jc w:val="both"/>
      </w:pPr>
      <w:r>
        <w:rPr/>
        <w:t>《突发事件处理制度</w:t>
      </w:r>
      <w:r>
        <w:rPr>
          <w:spacing w:val="-52"/>
        </w:rPr>
        <w:t>》</w:t>
      </w:r>
      <w:r>
        <w:rPr>
          <w:spacing w:val="-104"/>
        </w:rPr>
        <w:t>、</w:t>
      </w:r>
      <w:r>
        <w:rPr/>
        <w:t>《外部信息报送和使用管理制度</w:t>
      </w:r>
      <w:r>
        <w:rPr>
          <w:spacing w:val="-52"/>
        </w:rPr>
        <w:t>》</w:t>
      </w:r>
      <w:r>
        <w:rPr>
          <w:spacing w:val="-104"/>
        </w:rPr>
        <w:t>、</w:t>
      </w:r>
      <w:r>
        <w:rPr/>
        <w:t>《信息披露管理制度</w:t>
      </w:r>
      <w:r>
        <w:rPr>
          <w:spacing w:val="-52"/>
        </w:rPr>
        <w:t>》</w:t>
      </w:r>
      <w:r>
        <w:rPr/>
        <w:t>、</w:t>
      </w:r>
    </w:p>
    <w:p>
      <w:pPr>
        <w:pStyle w:val="BodyText"/>
        <w:spacing w:line="357" w:lineRule="auto" w:before="152"/>
        <w:ind w:left="120" w:right="239"/>
        <w:jc w:val="both"/>
      </w:pPr>
      <w:r>
        <w:rPr/>
        <w:t>《内部控制制度》、《内部审计制度》等重要规章制度，确保了公司股东大会、董 事会、监事会的规范运作，以及重大决策的合法、合规、真实、有效。</w:t>
      </w:r>
    </w:p>
    <w:p>
      <w:pPr>
        <w:pStyle w:val="BodyText"/>
        <w:spacing w:line="357" w:lineRule="auto" w:before="155"/>
        <w:ind w:left="120" w:right="239" w:firstLine="480"/>
        <w:jc w:val="both"/>
      </w:pPr>
      <w:r>
        <w:rPr/>
        <w:t>以上述重要规章制度为基础，公司制定了详细的内部管理与控制制度，涵盖了 财务管理、生产管理、资源采购、产品销售、对外投资、行政管理等整个生产经营 过程，确保各项工作都有章可循，形成了规范的管理体系。通过有效的内部控制， 公司合理保证了经营管理的合法、合规与资产安全，确保了财务报告及相关信息的 真实完整，提高了经营效率与效果，促进了公司发展战略的稳步实现。</w:t>
      </w:r>
    </w:p>
    <w:p>
      <w:pPr>
        <w:spacing w:line="240" w:lineRule="auto" w:before="11"/>
        <w:rPr>
          <w:rFonts w:ascii="宋体" w:hAnsi="宋体" w:cs="宋体" w:eastAsia="宋体" w:hint="default"/>
          <w:sz w:val="33"/>
          <w:szCs w:val="33"/>
        </w:rPr>
      </w:pPr>
    </w:p>
    <w:p>
      <w:pPr>
        <w:spacing w:line="422" w:lineRule="auto" w:before="0"/>
        <w:ind w:left="600" w:right="105" w:firstLine="2"/>
        <w:jc w:val="left"/>
        <w:rPr>
          <w:rFonts w:ascii="宋体" w:hAnsi="宋体" w:cs="宋体" w:eastAsia="宋体" w:hint="default"/>
          <w:sz w:val="24"/>
          <w:szCs w:val="24"/>
        </w:rPr>
      </w:pPr>
      <w:r>
        <w:rPr>
          <w:rFonts w:ascii="宋体" w:hAnsi="宋体" w:cs="宋体" w:eastAsia="宋体" w:hint="default"/>
          <w:b/>
          <w:bCs/>
          <w:sz w:val="24"/>
          <w:szCs w:val="24"/>
        </w:rPr>
        <w:t>（二）重点内部控制活动</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公司以基本管理制度为基础，已经制定了涵盖资金活动、采购业务、资产管理、</w:t>
      </w:r>
    </w:p>
    <w:p>
      <w:pPr>
        <w:pStyle w:val="BodyText"/>
        <w:spacing w:line="284" w:lineRule="exact"/>
        <w:ind w:left="120" w:right="0"/>
        <w:jc w:val="both"/>
      </w:pPr>
      <w:r>
        <w:rPr/>
        <w:t>销售业务、研究与开发、工程项目、担保业务、业务外包、财务报告、全面预算、</w:t>
      </w:r>
    </w:p>
    <w:p>
      <w:pPr>
        <w:pStyle w:val="BodyText"/>
        <w:spacing w:line="357" w:lineRule="auto" w:before="152"/>
        <w:ind w:left="120" w:right="239"/>
        <w:jc w:val="both"/>
      </w:pPr>
      <w:r>
        <w:rPr/>
        <w:t>合同管理等全方位的内部控制制度，贯穿了整个生产经营过程，确保各项工作都有 章可循，形成了规范的管理体系。这些制度是企业管理的重要组成部分，是提高工 作效率和质量的基本保障。</w:t>
      </w:r>
    </w:p>
    <w:p>
      <w:pPr>
        <w:pStyle w:val="BodyText"/>
        <w:spacing w:line="240" w:lineRule="auto" w:before="155"/>
        <w:ind w:left="600" w:right="221"/>
        <w:jc w:val="left"/>
      </w:pPr>
      <w:r>
        <w:rPr/>
        <w:t>报告期内，公司重点内部控制活动如下：</w:t>
      </w:r>
    </w:p>
    <w:p>
      <w:pPr>
        <w:spacing w:line="690" w:lineRule="atLeast" w:before="35"/>
        <w:ind w:left="600" w:right="225"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、采购和费用及付款活动控制</w:t>
      </w:r>
      <w:r>
        <w:rPr>
          <w:rFonts w:ascii="宋体" w:hAnsi="宋体" w:cs="宋体" w:eastAsia="宋体" w:hint="default"/>
          <w:b/>
          <w:bCs/>
          <w:spacing w:val="1"/>
          <w:w w:val="99"/>
          <w:sz w:val="24"/>
          <w:szCs w:val="24"/>
        </w:rPr>
        <w:t> </w:t>
      </w:r>
      <w:r>
        <w:rPr>
          <w:rFonts w:ascii="宋体" w:hAnsi="宋体" w:cs="宋体" w:eastAsia="宋体" w:hint="default"/>
          <w:spacing w:val="-7"/>
          <w:sz w:val="24"/>
          <w:szCs w:val="24"/>
        </w:rPr>
        <w:t>公司依据国家相关法律法规结合公司实际情况，制定了《采购管理制度》、《供</w:t>
      </w:r>
    </w:p>
    <w:p>
      <w:pPr>
        <w:pStyle w:val="BodyText"/>
        <w:spacing w:line="357" w:lineRule="auto" w:before="152"/>
        <w:ind w:left="120" w:right="239"/>
        <w:jc w:val="both"/>
      </w:pPr>
      <w:r>
        <w:rPr/>
        <w:t>应商考核与评审管理制度》、《费用报销管理制度》等一系列管理制度，引用了供 应商报价体系，明确了采购、费用及付款活动的程序和职责，对岗位分离和授权控 制均做了严格的规定，保证了公司及股东的利益。</w:t>
      </w:r>
    </w:p>
    <w:p>
      <w:pPr>
        <w:spacing w:line="240" w:lineRule="auto" w:before="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2</w:t>
      </w:r>
      <w:r>
        <w:rPr/>
        <w:t>、销售与收款活动控制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119" w:right="239" w:firstLine="480"/>
        <w:jc w:val="both"/>
      </w:pPr>
      <w:r>
        <w:rPr/>
        <w:t>公司制定了《销售流程及收款管理办法》，设立了商务管理部，明确了报价、 合同管理及市场营销的各个环节和控制措施，做到了对销售流程的第三方监控，做 到了对公司利益的保护。</w:t>
      </w:r>
    </w:p>
    <w:p>
      <w:pPr>
        <w:spacing w:after="0" w:line="357" w:lineRule="auto"/>
        <w:jc w:val="both"/>
        <w:sectPr>
          <w:pgSz w:w="12240" w:h="15840"/>
          <w:pgMar w:header="0" w:footer="688" w:top="1400" w:bottom="880" w:left="1680" w:right="1560"/>
        </w:sectPr>
      </w:pPr>
    </w:p>
    <w:p>
      <w:pPr>
        <w:pStyle w:val="Heading3"/>
        <w:spacing w:line="240" w:lineRule="auto" w:before="1"/>
        <w:ind w:left="582" w:right="114"/>
        <w:jc w:val="left"/>
        <w:rPr>
          <w:b w:val="0"/>
          <w:bCs w:val="0"/>
        </w:rPr>
      </w:pPr>
      <w:r>
        <w:rPr>
          <w:rFonts w:ascii="Times New Roman" w:hAnsi="Times New Roman" w:cs="Times New Roman" w:eastAsia="Times New Roman" w:hint="default"/>
        </w:rPr>
        <w:t>3</w:t>
      </w:r>
      <w:r>
        <w:rPr/>
        <w:t>、资产管理控制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114" w:firstLine="480"/>
        <w:jc w:val="left"/>
      </w:pPr>
      <w:r>
        <w:rPr/>
        <w:t>公司开发了物流管理系统，制定了《固定资产管理办法》、《物资出入库管理 </w:t>
      </w:r>
      <w:r>
        <w:rPr>
          <w:spacing w:val="-4"/>
        </w:rPr>
        <w:t>办法》，建立了财产日常管理制度和定期清查制度，明确了对公司资产的责任管理，</w:t>
      </w:r>
      <w:r>
        <w:rPr>
          <w:spacing w:val="-94"/>
        </w:rPr>
        <w:t> </w:t>
      </w:r>
      <w:r>
        <w:rPr>
          <w:spacing w:val="-94"/>
        </w:rPr>
      </w:r>
      <w:r>
        <w:rPr/>
        <w:t>对资产的购置、验收、保管、盘点、处置等做了详细的规定，避免了企业资产的流 失。</w:t>
      </w:r>
    </w:p>
    <w:p>
      <w:pPr>
        <w:spacing w:line="240" w:lineRule="auto" w:before="0"/>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4</w:t>
      </w:r>
      <w:r>
        <w:rPr/>
        <w:t>、财务管理及报告活动控制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220" w:firstLine="480"/>
        <w:jc w:val="left"/>
      </w:pPr>
      <w:r>
        <w:rPr/>
        <w:t>公司严格执行国家统一的会计准则制度，加强会计基础工作，明确会计凭证、 会计账簿和财务会计报告的处理程序，保证会计资料真实完整。公司还制定了包括</w:t>
      </w:r>
    </w:p>
    <w:p>
      <w:pPr>
        <w:pStyle w:val="BodyText"/>
        <w:spacing w:line="357" w:lineRule="auto" w:before="36"/>
        <w:ind w:right="239"/>
        <w:jc w:val="both"/>
      </w:pPr>
      <w:r>
        <w:rPr/>
        <w:t>《财务管理制度》、《预算管理办法》、《货币资金管理制度》、《会计核算岗位 和流程管理办法》、《个人借款管理办法》、《研究开发费管理办法》、《出差管 理制度》等一系列会计制度。</w:t>
      </w:r>
    </w:p>
    <w:p>
      <w:pPr>
        <w:pStyle w:val="BodyText"/>
        <w:spacing w:line="357" w:lineRule="auto" w:before="155"/>
        <w:ind w:right="239" w:firstLine="480"/>
        <w:jc w:val="right"/>
      </w:pPr>
      <w:r>
        <w:rPr/>
        <w:t>公司制定了《预算管理办法》，实施全面预算管理制度，明确各责任单位在预 算管理中的职责权限，规范预算的编制、审定、下达和执行程序，强化预算约束。</w:t>
      </w:r>
    </w:p>
    <w:p>
      <w:pPr>
        <w:pStyle w:val="BodyText"/>
        <w:spacing w:line="357" w:lineRule="auto" w:before="155"/>
        <w:ind w:right="239" w:firstLine="480"/>
        <w:jc w:val="both"/>
      </w:pPr>
      <w:r>
        <w:rPr/>
        <w:t>公司建立了运营情况分析制度，经理层综合运用生产、购销、投资、筹资、财 务等方面的信息，通过因素分析、对比分析、趋势分析等方法，定期开展运营情况 分析，发现存在的问题，及时查明原因并加以改进。</w:t>
      </w:r>
    </w:p>
    <w:p>
      <w:pPr>
        <w:spacing w:line="240" w:lineRule="auto" w:before="0"/>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5</w:t>
      </w:r>
      <w:r>
        <w:rPr/>
        <w:t>、关联交易的控制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239" w:firstLine="480"/>
        <w:jc w:val="both"/>
      </w:pPr>
      <w:r>
        <w:rPr/>
        <w:t>公司高度重视对关联交易的管理，制定了《关联交易管理制度》，明确了关联 交易的内容、关联交易的定价原则。公司已按照有关法律、法规和《深圳证券交易 所创业板股票上市规则》等有关规定，明确划分了公司股东大会、董事会对关联交 易事项的审批权限，规定关联交易事项的审议程序和回避表决要求。公司在《公司 章程》、《股东大会议事议程》和《董事会议事规则》中，规定了重大关联交易需 经独立董事认可后提交董事会讨论，讨论时关联董事回避，并由独立董事出具独立 意见；超出董事会权限的重大关联交易，由股东大会审议表决；表决时关联股东回 避；公司严格执行了关联交易决策程序和审批程序，做到了关联交易的公平和公允</w:t>
      </w:r>
    </w:p>
    <w:p>
      <w:pPr>
        <w:spacing w:after="0" w:line="357" w:lineRule="auto"/>
        <w:jc w:val="both"/>
        <w:sectPr>
          <w:pgSz w:w="12240" w:h="15840"/>
          <w:pgMar w:header="0" w:footer="688" w:top="1400" w:bottom="880" w:left="1700" w:right="1560"/>
        </w:sectPr>
      </w:pPr>
    </w:p>
    <w:p>
      <w:pPr>
        <w:pStyle w:val="BodyText"/>
        <w:spacing w:line="240" w:lineRule="auto" w:before="1"/>
        <w:ind w:left="120" w:right="221"/>
        <w:jc w:val="left"/>
      </w:pPr>
      <w:r>
        <w:rPr/>
        <w:t>性，有效地维护了股东和公司的利益。</w:t>
      </w:r>
    </w:p>
    <w:p>
      <w:pPr>
        <w:spacing w:line="690" w:lineRule="atLeast" w:before="35"/>
        <w:ind w:left="600" w:right="22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、对外担保的控制</w:t>
      </w:r>
      <w:r>
        <w:rPr>
          <w:rFonts w:ascii="宋体" w:hAnsi="宋体" w:cs="宋体" w:eastAsia="宋体" w:hint="default"/>
          <w:b/>
          <w:bCs/>
          <w:spacing w:val="1"/>
          <w:w w:val="99"/>
          <w:sz w:val="24"/>
          <w:szCs w:val="24"/>
        </w:rPr>
        <w:t> </w:t>
      </w:r>
      <w:r>
        <w:rPr>
          <w:rFonts w:ascii="宋体" w:hAnsi="宋体" w:cs="宋体" w:eastAsia="宋体" w:hint="default"/>
          <w:sz w:val="24"/>
          <w:szCs w:val="24"/>
        </w:rPr>
        <w:t>公司严格按照《公司章程》和《关于规范上市公司对外担保行为的通知》，制</w:t>
      </w:r>
    </w:p>
    <w:p>
      <w:pPr>
        <w:pStyle w:val="BodyText"/>
        <w:spacing w:line="348" w:lineRule="auto" w:before="152"/>
        <w:ind w:left="120" w:right="105"/>
        <w:jc w:val="left"/>
      </w:pPr>
      <w:r>
        <w:rPr>
          <w:spacing w:val="-5"/>
        </w:rPr>
        <w:t>定了《对外担保管理制度》，对公司的对外担保的审批程序和审批权限进行了规范，</w:t>
      </w:r>
      <w:r>
        <w:rPr>
          <w:spacing w:val="-89"/>
        </w:rPr>
        <w:t> </w:t>
      </w:r>
      <w:r>
        <w:rPr>
          <w:spacing w:val="-89"/>
        </w:rPr>
      </w:r>
      <w:r>
        <w:rPr/>
        <w:t>并严格按要求执行。截止</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日，公司无担保行为，无损害投资者及公司 利益的情况发生。</w:t>
      </w:r>
    </w:p>
    <w:p>
      <w:pPr>
        <w:spacing w:line="240" w:lineRule="auto" w:before="10"/>
        <w:rPr>
          <w:rFonts w:ascii="宋体" w:hAnsi="宋体" w:cs="宋体" w:eastAsia="宋体" w:hint="default"/>
          <w:sz w:val="21"/>
          <w:szCs w:val="21"/>
        </w:rPr>
      </w:pPr>
    </w:p>
    <w:p>
      <w:pPr>
        <w:pStyle w:val="Heading3"/>
        <w:spacing w:line="240" w:lineRule="auto"/>
        <w:ind w:right="221"/>
        <w:jc w:val="left"/>
        <w:rPr>
          <w:b w:val="0"/>
          <w:bCs w:val="0"/>
        </w:rPr>
      </w:pPr>
      <w:r>
        <w:rPr>
          <w:rFonts w:ascii="Times New Roman" w:hAnsi="Times New Roman" w:cs="Times New Roman" w:eastAsia="Times New Roman" w:hint="default"/>
        </w:rPr>
        <w:t>7</w:t>
      </w:r>
      <w:r>
        <w:rPr/>
        <w:t>、募集资金使用的控制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119" w:right="239" w:firstLine="480"/>
        <w:jc w:val="both"/>
      </w:pPr>
      <w:r>
        <w:rPr/>
        <w:t>在募集资金使用方面，公司制定了《募集资金管理制度》，明确规定了募集资 金的存放、使用、管理以及使用过程中的持续信息披露，以规范募集资金的使用， 切实保护投资人的利益。公司还按照上市公司的规定，每季度对募集资金的管理、 使用情况进行检查。截止到</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日，未发现任何违规现象。</w:t>
      </w:r>
    </w:p>
    <w:p>
      <w:pPr>
        <w:spacing w:line="240" w:lineRule="auto" w:before="9"/>
        <w:rPr>
          <w:rFonts w:ascii="宋体" w:hAnsi="宋体" w:cs="宋体" w:eastAsia="宋体" w:hint="default"/>
          <w:sz w:val="18"/>
          <w:szCs w:val="18"/>
        </w:rPr>
      </w:pPr>
    </w:p>
    <w:p>
      <w:pPr>
        <w:pStyle w:val="Heading3"/>
        <w:spacing w:line="240" w:lineRule="auto"/>
        <w:ind w:right="221"/>
        <w:jc w:val="left"/>
        <w:rPr>
          <w:b w:val="0"/>
          <w:bCs w:val="0"/>
        </w:rPr>
      </w:pPr>
      <w:r>
        <w:rPr>
          <w:rFonts w:ascii="Times New Roman" w:hAnsi="Times New Roman" w:cs="Times New Roman" w:eastAsia="Times New Roman" w:hint="default"/>
        </w:rPr>
        <w:t>8</w:t>
      </w:r>
      <w:r>
        <w:rPr/>
        <w:t>、重大投资的控制</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left="119" w:right="105" w:firstLine="480"/>
        <w:jc w:val="left"/>
      </w:pPr>
      <w:r>
        <w:rPr/>
        <w:t>公司按照《公司章程》及相关法律法规和公司的实际情况制定了《对外投资管 理办法》，对对外投资的审议权限、决策程序、项目的追踪管理、责任追究和信息 披露等相关事项做出了详细的规定。公司有专门的内审中心负责组织公司重大项目 的可行性、投资风险、投资回报等事宜进行专门研究和评估，监督对外投资项目的 </w:t>
      </w:r>
      <w:r>
        <w:rPr>
          <w:spacing w:val="-4"/>
        </w:rPr>
        <w:t>执行进度，对投资项目出现异常的情况及时汇报。投资管理制度的制定及有效执行，</w:t>
      </w:r>
      <w:r>
        <w:rPr>
          <w:spacing w:val="-92"/>
        </w:rPr>
        <w:t> </w:t>
      </w:r>
      <w:r>
        <w:rPr>
          <w:spacing w:val="-92"/>
        </w:rPr>
      </w:r>
      <w:r>
        <w:rPr/>
        <w:t>规范了公司的投资行为，保证了公司对外投资的安全，防范了投资风险。</w:t>
      </w:r>
    </w:p>
    <w:p>
      <w:pPr>
        <w:spacing w:line="240" w:lineRule="auto" w:before="10"/>
        <w:rPr>
          <w:rFonts w:ascii="宋体" w:hAnsi="宋体" w:cs="宋体" w:eastAsia="宋体" w:hint="default"/>
          <w:sz w:val="33"/>
          <w:szCs w:val="33"/>
        </w:rPr>
      </w:pPr>
    </w:p>
    <w:p>
      <w:pPr>
        <w:pStyle w:val="Heading3"/>
        <w:spacing w:line="240" w:lineRule="auto"/>
        <w:ind w:right="221"/>
        <w:jc w:val="left"/>
        <w:rPr>
          <w:b w:val="0"/>
          <w:bCs w:val="0"/>
        </w:rPr>
      </w:pPr>
      <w:r>
        <w:rPr/>
        <w:t>（三）关于公司内部控制活动的相关意见</w:t>
      </w:r>
      <w:r>
        <w:rPr>
          <w:b w:val="0"/>
          <w:bCs w:val="0"/>
        </w:rPr>
      </w:r>
    </w:p>
    <w:p>
      <w:pPr>
        <w:spacing w:line="240" w:lineRule="auto" w:before="4"/>
        <w:rPr>
          <w:rFonts w:ascii="宋体" w:hAnsi="宋体" w:cs="宋体" w:eastAsia="宋体" w:hint="default"/>
          <w:b/>
          <w:bCs/>
          <w:sz w:val="18"/>
          <w:szCs w:val="18"/>
        </w:rPr>
      </w:pPr>
    </w:p>
    <w:p>
      <w:pPr>
        <w:spacing w:before="0"/>
        <w:ind w:left="602" w:right="221"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、董事会审核意见</w:t>
      </w:r>
      <w:r>
        <w:rPr>
          <w:rFonts w:ascii="宋体" w:hAnsi="宋体" w:cs="宋体" w:eastAsia="宋体" w:hint="default"/>
          <w:sz w:val="24"/>
          <w:szCs w:val="24"/>
        </w:rPr>
      </w:r>
    </w:p>
    <w:p>
      <w:pPr>
        <w:spacing w:line="240" w:lineRule="auto" w:before="8"/>
        <w:rPr>
          <w:rFonts w:ascii="宋体" w:hAnsi="宋体" w:cs="宋体" w:eastAsia="宋体" w:hint="default"/>
          <w:b/>
          <w:bCs/>
          <w:sz w:val="28"/>
          <w:szCs w:val="28"/>
        </w:rPr>
      </w:pPr>
    </w:p>
    <w:p>
      <w:pPr>
        <w:pStyle w:val="BodyText"/>
        <w:spacing w:line="240" w:lineRule="auto"/>
        <w:ind w:left="600" w:right="105"/>
        <w:jc w:val="left"/>
      </w:pPr>
      <w:r>
        <w:rPr/>
        <w:t>通过自我评估，公司董事会认为，公司现行内部控制制度是按照《公司法》、</w:t>
      </w:r>
    </w:p>
    <w:p>
      <w:pPr>
        <w:pStyle w:val="BodyText"/>
        <w:spacing w:line="240" w:lineRule="auto" w:before="152"/>
        <w:ind w:left="120" w:right="105"/>
        <w:jc w:val="left"/>
      </w:pPr>
      <w:r>
        <w:rPr>
          <w:spacing w:val="-4"/>
        </w:rPr>
        <w:t>《证券法》《企业内部控制基本规范》和深圳证券交易所《创业板股票上市规则》、</w:t>
      </w:r>
    </w:p>
    <w:p>
      <w:pPr>
        <w:pStyle w:val="BodyText"/>
        <w:spacing w:line="240" w:lineRule="auto" w:before="152"/>
        <w:ind w:left="120" w:right="105"/>
        <w:jc w:val="left"/>
      </w:pPr>
      <w:r>
        <w:rPr/>
        <w:t>《创业板上市公司规范运作指引》等相关法律、法规的要求，结合公司所处行业特</w:t>
      </w:r>
    </w:p>
    <w:p>
      <w:pPr>
        <w:spacing w:after="0" w:line="240" w:lineRule="auto"/>
        <w:jc w:val="left"/>
        <w:sectPr>
          <w:pgSz w:w="12240" w:h="15840"/>
          <w:pgMar w:header="0" w:footer="688" w:top="1400" w:bottom="880" w:left="1680" w:right="1560"/>
        </w:sectPr>
      </w:pPr>
    </w:p>
    <w:p>
      <w:pPr>
        <w:pStyle w:val="BodyText"/>
        <w:spacing w:line="352" w:lineRule="auto" w:before="1"/>
        <w:ind w:right="239"/>
        <w:jc w:val="both"/>
      </w:pPr>
      <w:r>
        <w:rPr/>
        <w:t>点制定的。内部控制制度较为完整、合理及有效。公司内部控制制度基本得到了有 效执行，有效控制了公司经营风险和财务风险，保证了公司资产的安全完整、财务 数据的真实、完整、准确。在企业管理各个过程、各个关键环节、重大投资、关联 交易等方面发挥了较好的控制与防范作用。截至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日止，本公司不存在 内部控制设计或执行方面的重大缺陷。公司已结合自身生产经营的需要，建立了一 套较为健全的内部控制制度，制度设计符合公司现阶段的发展需要，并能得到有效 的实施，能够确保公司所属财产物资的安全、完整，能够对公司各项业务的健康运 行及公司经营风险的控制提供合理保证，能够对编制真实、公允的财务报表提供保 </w:t>
      </w:r>
      <w:r>
        <w:rPr>
          <w:spacing w:val="-2"/>
        </w:rPr>
        <w:t>障。公司于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日按照《企业内部控制基本规范》（财会</w:t>
      </w:r>
      <w:r>
        <w:rPr>
          <w:rFonts w:ascii="Times New Roman" w:hAnsi="Times New Roman" w:cs="Times New Roman" w:eastAsia="Times New Roman" w:hint="default"/>
          <w:spacing w:val="-2"/>
        </w:rPr>
        <w:t>[2008]7</w:t>
      </w:r>
      <w:r>
        <w:rPr>
          <w:spacing w:val="-2"/>
        </w:rPr>
        <w:t>号）在所</w:t>
      </w:r>
      <w:r>
        <w:rPr>
          <w:spacing w:val="-82"/>
        </w:rPr>
        <w:t> </w:t>
      </w:r>
      <w:r>
        <w:rPr>
          <w:spacing w:val="-82"/>
        </w:rPr>
      </w:r>
      <w:r>
        <w:rPr/>
        <w:t>有重大方面保持了与财务报表相关的有效的内部控制。</w:t>
      </w:r>
    </w:p>
    <w:p>
      <w:pPr>
        <w:spacing w:line="240" w:lineRule="auto" w:before="5"/>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2</w:t>
      </w:r>
      <w:r>
        <w:rPr/>
        <w:t>、监事会核查意见</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114" w:firstLine="480"/>
        <w:jc w:val="left"/>
      </w:pPr>
      <w:r>
        <w:rPr>
          <w:spacing w:val="-4"/>
        </w:rPr>
        <w:t>公司监事会对董事会《2011年度内部控制的自我评价报告》发表如下审核意见：</w:t>
      </w:r>
      <w:r>
        <w:rPr/>
        <w:t> 2011年度，公司依据《公司法》、《证券法》、《深圳证券交易所创业板股票上市 规则》、《深圳证券交易所创业板上市公司规范运作指引》及《公司章程》的有关 规定，并结合自身的经营管理需要，建立了一套较为健全的内部控制制度；公司内 部控制制度对公司经营管理的各个环节起到了较好的风险防范和控制作用，能够为 公司的经营管理合规性和资产安全性提供合理的保证；公司《2011年度内部控制的 自我评价报告》真实、客观地反映了公司内部控制制度的建设及运行情况。</w:t>
      </w:r>
    </w:p>
    <w:p>
      <w:pPr>
        <w:spacing w:line="240" w:lineRule="auto" w:before="0"/>
        <w:rPr>
          <w:rFonts w:ascii="宋体" w:hAnsi="宋体" w:cs="宋体" w:eastAsia="宋体" w:hint="default"/>
          <w:sz w:val="21"/>
          <w:szCs w:val="21"/>
        </w:rPr>
      </w:pPr>
    </w:p>
    <w:p>
      <w:pPr>
        <w:pStyle w:val="Heading3"/>
        <w:spacing w:line="240" w:lineRule="auto"/>
        <w:ind w:left="582" w:right="114"/>
        <w:jc w:val="left"/>
        <w:rPr>
          <w:b w:val="0"/>
          <w:bCs w:val="0"/>
        </w:rPr>
      </w:pPr>
      <w:r>
        <w:rPr>
          <w:rFonts w:ascii="Times New Roman" w:hAnsi="Times New Roman" w:cs="Times New Roman" w:eastAsia="Times New Roman" w:hint="default"/>
        </w:rPr>
        <w:t>3</w:t>
      </w:r>
      <w:r>
        <w:rPr/>
        <w:t>、独立董事意见</w:t>
      </w:r>
      <w:r>
        <w:rPr>
          <w:b w:val="0"/>
          <w:bCs w:val="0"/>
        </w:rPr>
      </w:r>
    </w:p>
    <w:p>
      <w:pPr>
        <w:spacing w:line="240" w:lineRule="auto" w:before="8"/>
        <w:rPr>
          <w:rFonts w:ascii="宋体" w:hAnsi="宋体" w:cs="宋体" w:eastAsia="宋体" w:hint="default"/>
          <w:b/>
          <w:bCs/>
          <w:sz w:val="28"/>
          <w:szCs w:val="28"/>
        </w:rPr>
      </w:pPr>
    </w:p>
    <w:p>
      <w:pPr>
        <w:pStyle w:val="BodyText"/>
        <w:spacing w:line="357" w:lineRule="auto"/>
        <w:ind w:right="239" w:firstLine="480"/>
        <w:jc w:val="both"/>
      </w:pPr>
      <w:r>
        <w:rPr/>
        <w:t>公司根据自身经营特点已建立了满足经营管理需要的各项内部控制制度，基本 覆盖了公司经营管理的各层面和环节，形成了较规范的管理体系，能够适应公司管 理的要求和公司业务的需要。公司内部控制制度制订以来，各项制度得到了有效的 实施。因此，我们认为公司内部控制是有效的。</w:t>
      </w:r>
    </w:p>
    <w:p>
      <w:pPr>
        <w:spacing w:line="240" w:lineRule="auto" w:before="0"/>
        <w:rPr>
          <w:rFonts w:ascii="宋体" w:hAnsi="宋体" w:cs="宋体" w:eastAsia="宋体" w:hint="default"/>
          <w:sz w:val="21"/>
          <w:szCs w:val="21"/>
        </w:rPr>
      </w:pPr>
    </w:p>
    <w:p>
      <w:pPr>
        <w:spacing w:line="511" w:lineRule="auto" w:before="0"/>
        <w:ind w:left="579" w:right="221"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、保荐代表人核查意见</w:t>
      </w:r>
      <w:r>
        <w:rPr>
          <w:rFonts w:ascii="宋体" w:hAnsi="宋体" w:cs="宋体" w:eastAsia="宋体" w:hint="default"/>
          <w:b/>
          <w:bCs/>
          <w:w w:val="99"/>
          <w:sz w:val="24"/>
          <w:szCs w:val="24"/>
        </w:rPr>
        <w:t> </w:t>
      </w:r>
      <w:r>
        <w:rPr>
          <w:rFonts w:ascii="宋体" w:hAnsi="宋体" w:cs="宋体" w:eastAsia="宋体" w:hint="default"/>
          <w:sz w:val="24"/>
          <w:szCs w:val="24"/>
        </w:rPr>
        <w:t>经核查，保荐人认为：</w:t>
      </w:r>
      <w:r>
        <w:rPr>
          <w:rFonts w:ascii="Times New Roman" w:hAnsi="Times New Roman" w:cs="Times New Roman" w:eastAsia="Times New Roman" w:hint="default"/>
          <w:sz w:val="24"/>
          <w:szCs w:val="24"/>
        </w:rPr>
        <w:t>2011</w:t>
      </w:r>
      <w:r>
        <w:rPr>
          <w:rFonts w:ascii="宋体" w:hAnsi="宋体" w:cs="宋体" w:eastAsia="宋体" w:hint="default"/>
          <w:sz w:val="24"/>
          <w:szCs w:val="24"/>
        </w:rPr>
        <w:t>年度，公司法人治理结构较为完善，现有的内部控</w:t>
      </w:r>
    </w:p>
    <w:p>
      <w:pPr>
        <w:spacing w:after="0" w:line="511" w:lineRule="auto"/>
        <w:jc w:val="left"/>
        <w:rPr>
          <w:rFonts w:ascii="宋体" w:hAnsi="宋体" w:cs="宋体" w:eastAsia="宋体" w:hint="default"/>
          <w:sz w:val="24"/>
          <w:szCs w:val="24"/>
        </w:rPr>
        <w:sectPr>
          <w:pgSz w:w="12240" w:h="15840"/>
          <w:pgMar w:header="0" w:footer="688" w:top="1400" w:bottom="880" w:left="1700" w:right="1560"/>
        </w:sectPr>
      </w:pPr>
    </w:p>
    <w:p>
      <w:pPr>
        <w:pStyle w:val="BodyText"/>
        <w:spacing w:line="348" w:lineRule="auto" w:before="1"/>
        <w:ind w:right="119"/>
        <w:jc w:val="both"/>
      </w:pPr>
      <w:r>
        <w:rPr/>
        <w:t>制制度符合我国有关法规和证券监管部门的要求，在所有重大方面保持了与企业业 务及管理相关的有效的内部控制，公司的《</w:t>
      </w:r>
      <w:r>
        <w:rPr>
          <w:rFonts w:ascii="Times New Roman" w:hAnsi="Times New Roman" w:cs="Times New Roman" w:eastAsia="Times New Roman" w:hint="default"/>
        </w:rPr>
        <w:t>2011</w:t>
      </w:r>
      <w:r>
        <w:rPr/>
        <w:t>年度内部控制的自我评价报告》较 为公允地反映了公司</w:t>
      </w:r>
      <w:r>
        <w:rPr>
          <w:rFonts w:ascii="Times New Roman" w:hAnsi="Times New Roman" w:cs="Times New Roman" w:eastAsia="Times New Roman" w:hint="default"/>
        </w:rPr>
        <w:t>2011</w:t>
      </w:r>
      <w:r>
        <w:rPr/>
        <w:t>年度内部控制制度建设、执行的情况。</w:t>
      </w:r>
    </w:p>
    <w:p>
      <w:pPr>
        <w:spacing w:after="0" w:line="348" w:lineRule="auto"/>
        <w:jc w:val="both"/>
        <w:sectPr>
          <w:pgSz w:w="12240" w:h="15840"/>
          <w:pgMar w:header="0" w:footer="688" w:top="1400" w:bottom="880" w:left="1700" w:right="1680"/>
        </w:sectPr>
      </w:pPr>
    </w:p>
    <w:p>
      <w:pPr>
        <w:pStyle w:val="Heading1"/>
        <w:tabs>
          <w:tab w:pos="4379" w:val="left" w:leader="none"/>
        </w:tabs>
        <w:spacing w:line="393" w:lineRule="exact"/>
        <w:ind w:left="3094" w:right="0"/>
        <w:jc w:val="left"/>
        <w:rPr>
          <w:b w:val="0"/>
          <w:bCs w:val="0"/>
        </w:rPr>
      </w:pPr>
      <w:bookmarkStart w:name="_bookmark7" w:id="8"/>
      <w:bookmarkEnd w:id="8"/>
      <w:r>
        <w:rPr>
          <w:b w:val="0"/>
          <w:bCs w:val="0"/>
        </w:rPr>
      </w:r>
      <w:r>
        <w:rPr>
          <w:w w:val="95"/>
        </w:rPr>
        <w:t>第八节</w:t>
        <w:tab/>
      </w:r>
      <w:r>
        <w:rPr/>
        <w:t>监事会报告</w:t>
      </w:r>
      <w:r>
        <w:rPr>
          <w:b w:val="0"/>
          <w:bCs w:val="0"/>
        </w:rPr>
      </w:r>
    </w:p>
    <w:p>
      <w:pPr>
        <w:spacing w:line="240" w:lineRule="auto" w:before="8"/>
        <w:rPr>
          <w:rFonts w:ascii="黑体" w:hAnsi="黑体" w:cs="黑体" w:eastAsia="黑体" w:hint="default"/>
          <w:b/>
          <w:bCs/>
          <w:sz w:val="26"/>
          <w:szCs w:val="26"/>
        </w:rPr>
      </w:pPr>
    </w:p>
    <w:p>
      <w:pPr>
        <w:pStyle w:val="Heading2"/>
        <w:spacing w:line="240" w:lineRule="auto"/>
        <w:ind w:left="781" w:right="0"/>
        <w:jc w:val="left"/>
        <w:rPr>
          <w:b w:val="0"/>
          <w:bCs w:val="0"/>
        </w:rPr>
      </w:pPr>
      <w:r>
        <w:rPr/>
        <w:t>一、监事会工作情况</w:t>
      </w:r>
      <w:r>
        <w:rPr>
          <w:b w:val="0"/>
          <w:bCs w:val="0"/>
        </w:rPr>
      </w:r>
    </w:p>
    <w:p>
      <w:pPr>
        <w:pStyle w:val="BodyText"/>
        <w:spacing w:line="357" w:lineRule="auto" w:before="233"/>
        <w:ind w:left="220" w:right="239" w:firstLine="480"/>
        <w:jc w:val="both"/>
      </w:pPr>
      <w:r>
        <w:rPr/>
        <w:t>报告期内，公司监事会严格按照《公司法》、《公司章程》、《监事会议事规 则》等有关规定的要求，依法列席了各次董事会会议和股东大会，监督了公司董事 和高级管理人员遵守《公司章程》和执行股东大会、董事会决议的情况，认真履行 了监事会的职责。</w:t>
      </w:r>
    </w:p>
    <w:p>
      <w:pPr>
        <w:pStyle w:val="BodyText"/>
        <w:spacing w:line="240" w:lineRule="auto" w:before="155"/>
        <w:ind w:left="700" w:right="0"/>
        <w:jc w:val="left"/>
      </w:pPr>
      <w:r>
        <w:rPr/>
        <w:t>报告期内，公司监事会共召开</w:t>
      </w:r>
      <w:r>
        <w:rPr>
          <w:rFonts w:ascii="Times New Roman" w:hAnsi="Times New Roman" w:cs="Times New Roman" w:eastAsia="Times New Roman" w:hint="default"/>
        </w:rPr>
        <w:t>6</w:t>
      </w:r>
      <w:r>
        <w:rPr/>
        <w:t>次会议，会议召开时间及审议事项如下：</w:t>
      </w:r>
    </w:p>
    <w:p>
      <w:pPr>
        <w:spacing w:line="240" w:lineRule="auto" w:before="2"/>
        <w:rPr>
          <w:rFonts w:ascii="宋体" w:hAnsi="宋体" w:cs="宋体" w:eastAsia="宋体" w:hint="default"/>
          <w:sz w:val="23"/>
          <w:szCs w:val="23"/>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401" w:hRule="exact"/>
        </w:trPr>
        <w:tc>
          <w:tcPr>
            <w:tcW w:w="1982" w:type="dxa"/>
            <w:tcBorders>
              <w:top w:val="single" w:sz="6" w:space="0" w:color="000000"/>
              <w:left w:val="single" w:sz="6" w:space="0" w:color="000000"/>
              <w:bottom w:val="single" w:sz="4" w:space="0" w:color="000000"/>
              <w:right w:val="single" w:sz="4" w:space="0" w:color="000000"/>
            </w:tcBorders>
            <w:shd w:val="clear" w:color="auto" w:fill="CCCCCC"/>
          </w:tcPr>
          <w:p>
            <w:pPr>
              <w:pStyle w:val="TableParagraph"/>
              <w:spacing w:line="240" w:lineRule="auto" w:before="19"/>
              <w:ind w:left="564"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72" w:type="dxa"/>
            <w:tcBorders>
              <w:top w:val="single" w:sz="6"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
              <w:ind w:left="511" w:right="0"/>
              <w:jc w:val="left"/>
              <w:rPr>
                <w:rFonts w:ascii="宋体" w:hAnsi="宋体" w:cs="宋体" w:eastAsia="宋体" w:hint="default"/>
                <w:sz w:val="21"/>
                <w:szCs w:val="21"/>
              </w:rPr>
            </w:pPr>
            <w:r>
              <w:rPr>
                <w:rFonts w:ascii="宋体" w:hAnsi="宋体" w:cs="宋体" w:eastAsia="宋体" w:hint="default"/>
                <w:sz w:val="21"/>
                <w:szCs w:val="21"/>
              </w:rPr>
              <w:t>召开时间</w:t>
            </w:r>
          </w:p>
        </w:tc>
        <w:tc>
          <w:tcPr>
            <w:tcW w:w="5002" w:type="dxa"/>
            <w:tcBorders>
              <w:top w:val="single" w:sz="6" w:space="0" w:color="000000"/>
              <w:left w:val="single" w:sz="4" w:space="0" w:color="000000"/>
              <w:bottom w:val="single" w:sz="4" w:space="0" w:color="000000"/>
              <w:right w:val="single" w:sz="6" w:space="0" w:color="000000"/>
            </w:tcBorders>
            <w:shd w:val="clear" w:color="auto" w:fill="CCCCCC"/>
          </w:tcPr>
          <w:p>
            <w:pPr>
              <w:pStyle w:val="TableParagraph"/>
              <w:spacing w:line="240" w:lineRule="auto" w:before="19"/>
              <w:ind w:left="2" w:right="0"/>
              <w:jc w:val="center"/>
              <w:rPr>
                <w:rFonts w:ascii="宋体" w:hAnsi="宋体" w:cs="宋体" w:eastAsia="宋体" w:hint="default"/>
                <w:sz w:val="21"/>
                <w:szCs w:val="21"/>
              </w:rPr>
            </w:pPr>
            <w:r>
              <w:rPr>
                <w:rFonts w:ascii="宋体" w:hAnsi="宋体" w:cs="宋体" w:eastAsia="宋体" w:hint="default"/>
                <w:sz w:val="21"/>
                <w:szCs w:val="21"/>
              </w:rPr>
              <w:t>议案</w:t>
            </w:r>
          </w:p>
        </w:tc>
      </w:tr>
      <w:tr>
        <w:trPr>
          <w:trHeight w:val="2822"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72" w:lineRule="exact"/>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第一届监事会第五 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right="254"/>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11</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6"/>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度监事会工作报告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度财务决算报告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度财务预算报告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度内部控制的自我评价报告</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度利润分配的预案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z w:val="21"/>
                <w:szCs w:val="21"/>
              </w:rPr>
              <w:t>10</w:t>
            </w:r>
            <w:r>
              <w:rPr>
                <w:rFonts w:ascii="宋体" w:hAnsi="宋体" w:cs="宋体" w:eastAsia="宋体" w:hint="default"/>
                <w:spacing w:val="-2"/>
                <w:sz w:val="21"/>
                <w:szCs w:val="21"/>
              </w:rPr>
              <w:t>年</w:t>
            </w:r>
            <w:r>
              <w:rPr>
                <w:rFonts w:ascii="宋体" w:hAnsi="宋体" w:cs="宋体" w:eastAsia="宋体" w:hint="default"/>
                <w:sz w:val="21"/>
                <w:szCs w:val="21"/>
              </w:rPr>
              <w:t>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1"/>
              <w:ind w:left="103" w:right="-5"/>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pacing w:val="-149"/>
                <w:sz w:val="21"/>
                <w:szCs w:val="21"/>
              </w:rPr>
              <w:t>．</w:t>
            </w:r>
            <w:r>
              <w:rPr>
                <w:rFonts w:ascii="宋体" w:hAnsi="宋体" w:cs="宋体" w:eastAsia="宋体" w:hint="default"/>
                <w:sz w:val="21"/>
                <w:szCs w:val="21"/>
              </w:rPr>
              <w:t>《关于继</w:t>
            </w:r>
            <w:r>
              <w:rPr>
                <w:rFonts w:ascii="宋体" w:hAnsi="宋体" w:cs="宋体" w:eastAsia="宋体" w:hint="default"/>
                <w:spacing w:val="-2"/>
                <w:sz w:val="21"/>
                <w:szCs w:val="21"/>
              </w:rPr>
              <w:t>续</w:t>
            </w:r>
            <w:r>
              <w:rPr>
                <w:rFonts w:ascii="宋体" w:hAnsi="宋体" w:cs="宋体" w:eastAsia="宋体" w:hint="default"/>
                <w:sz w:val="21"/>
                <w:szCs w:val="21"/>
              </w:rPr>
              <w:t>聘请天健正信会计师事务所为公司审计</w:t>
            </w:r>
            <w:r>
              <w:rPr>
                <w:rFonts w:ascii="宋体" w:hAnsi="宋体" w:cs="宋体" w:eastAsia="宋体" w:hint="default"/>
                <w:sz w:val="21"/>
                <w:szCs w:val="21"/>
              </w:rPr>
              <w:t> 机构的议案</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8</w:t>
            </w:r>
            <w:r>
              <w:rPr>
                <w:rFonts w:ascii="宋体" w:hAnsi="宋体" w:cs="宋体" w:eastAsia="宋体" w:hint="default"/>
                <w:spacing w:val="-149"/>
                <w:sz w:val="21"/>
                <w:szCs w:val="21"/>
              </w:rPr>
              <w:t>．</w:t>
            </w:r>
            <w:r>
              <w:rPr>
                <w:rFonts w:ascii="宋体" w:hAnsi="宋体" w:cs="宋体" w:eastAsia="宋体" w:hint="default"/>
                <w:sz w:val="21"/>
                <w:szCs w:val="21"/>
              </w:rPr>
              <w:t>《关于调</w:t>
            </w:r>
            <w:r>
              <w:rPr>
                <w:rFonts w:ascii="宋体" w:hAnsi="宋体" w:cs="宋体" w:eastAsia="宋体" w:hint="default"/>
                <w:spacing w:val="-2"/>
                <w:sz w:val="21"/>
                <w:szCs w:val="21"/>
              </w:rPr>
              <w:t>整</w:t>
            </w:r>
            <w:r>
              <w:rPr>
                <w:rFonts w:ascii="宋体" w:hAnsi="宋体" w:cs="宋体" w:eastAsia="宋体" w:hint="default"/>
                <w:sz w:val="21"/>
                <w:szCs w:val="21"/>
              </w:rPr>
              <w:t>公司独立董事及外部监事津贴的议案</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4"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before="33"/>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第一届监事会第六 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第一季度报告全文及正文</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3407"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第一届监事会第七 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22</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z w:val="21"/>
                <w:szCs w:val="21"/>
              </w:rPr>
              <w:t>《选举</w:t>
            </w:r>
            <w:r>
              <w:rPr>
                <w:rFonts w:ascii="宋体" w:hAnsi="宋体" w:cs="宋体" w:eastAsia="宋体" w:hint="default"/>
                <w:spacing w:val="-2"/>
                <w:sz w:val="21"/>
                <w:szCs w:val="21"/>
              </w:rPr>
              <w:t>监</w:t>
            </w:r>
            <w:r>
              <w:rPr>
                <w:rFonts w:ascii="宋体" w:hAnsi="宋体" w:cs="宋体" w:eastAsia="宋体" w:hint="default"/>
                <w:sz w:val="21"/>
                <w:szCs w:val="21"/>
              </w:rPr>
              <w:t>事会主席的议案</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9" w:lineRule="auto" w:before="21"/>
              <w:ind w:left="103" w:right="98"/>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pacing w:val="-149"/>
                <w:sz w:val="21"/>
                <w:szCs w:val="21"/>
              </w:rPr>
              <w:t>．</w:t>
            </w:r>
            <w:r>
              <w:rPr>
                <w:rFonts w:ascii="宋体" w:hAnsi="宋体" w:cs="宋体" w:eastAsia="宋体" w:hint="default"/>
                <w:sz w:val="21"/>
                <w:szCs w:val="21"/>
              </w:rPr>
              <w:t>《关于使</w:t>
            </w:r>
            <w:r>
              <w:rPr>
                <w:rFonts w:ascii="宋体" w:hAnsi="宋体" w:cs="宋体" w:eastAsia="宋体" w:hint="default"/>
                <w:spacing w:val="-2"/>
                <w:sz w:val="21"/>
                <w:szCs w:val="21"/>
              </w:rPr>
              <w:t>用</w:t>
            </w:r>
            <w:r>
              <w:rPr>
                <w:rFonts w:ascii="宋体" w:hAnsi="宋体" w:cs="宋体" w:eastAsia="宋体" w:hint="default"/>
                <w:sz w:val="21"/>
                <w:szCs w:val="21"/>
              </w:rPr>
              <w:t>募集资金置换先期投入募集资金投资项</w:t>
            </w:r>
            <w:r>
              <w:rPr>
                <w:rFonts w:ascii="宋体" w:hAnsi="宋体" w:cs="宋体" w:eastAsia="宋体" w:hint="default"/>
                <w:sz w:val="21"/>
                <w:szCs w:val="21"/>
              </w:rPr>
              <w:t> 目的自筹资金的议案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3</w:t>
            </w:r>
            <w:r>
              <w:rPr>
                <w:rFonts w:ascii="宋体" w:hAnsi="宋体" w:cs="宋体" w:eastAsia="宋体" w:hint="default"/>
                <w:spacing w:val="-105"/>
                <w:sz w:val="21"/>
                <w:szCs w:val="21"/>
              </w:rPr>
              <w:t>．</w:t>
            </w:r>
            <w:r>
              <w:rPr>
                <w:rFonts w:ascii="宋体" w:hAnsi="宋体" w:cs="宋体" w:eastAsia="宋体" w:hint="default"/>
                <w:sz w:val="21"/>
                <w:szCs w:val="21"/>
              </w:rPr>
              <w:t>《董事</w:t>
            </w:r>
            <w:r>
              <w:rPr>
                <w:rFonts w:ascii="宋体" w:hAnsi="宋体" w:cs="宋体" w:eastAsia="宋体" w:hint="default"/>
                <w:spacing w:val="-2"/>
                <w:sz w:val="21"/>
                <w:szCs w:val="21"/>
              </w:rPr>
              <w:t>、</w:t>
            </w:r>
            <w:r>
              <w:rPr>
                <w:rFonts w:ascii="宋体" w:hAnsi="宋体" w:cs="宋体" w:eastAsia="宋体" w:hint="default"/>
                <w:sz w:val="21"/>
                <w:szCs w:val="21"/>
              </w:rPr>
              <w:t>监事和高级管理人员内部问责制度</w:t>
            </w:r>
            <w:r>
              <w:rPr>
                <w:rFonts w:ascii="宋体" w:hAnsi="宋体" w:cs="宋体" w:eastAsia="宋体" w:hint="default"/>
                <w:spacing w:val="-106"/>
                <w:sz w:val="21"/>
                <w:szCs w:val="21"/>
              </w:rPr>
              <w:t>》</w:t>
            </w:r>
            <w:r>
              <w:rPr>
                <w:rFonts w:ascii="宋体" w:hAnsi="宋体" w:cs="宋体" w:eastAsia="宋体" w:hint="default"/>
                <w:sz w:val="21"/>
                <w:szCs w:val="21"/>
              </w:rPr>
              <w:t>；</w:t>
            </w:r>
          </w:p>
          <w:p>
            <w:pPr>
              <w:pStyle w:val="TableParagraph"/>
              <w:spacing w:line="249" w:lineRule="auto" w:before="12"/>
              <w:ind w:left="103" w:right="98"/>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26"/>
                <w:sz w:val="21"/>
                <w:szCs w:val="21"/>
              </w:rPr>
              <w:t>．</w:t>
            </w:r>
            <w:r>
              <w:rPr>
                <w:rFonts w:ascii="宋体" w:hAnsi="宋体" w:cs="宋体" w:eastAsia="宋体" w:hint="default"/>
                <w:sz w:val="21"/>
                <w:szCs w:val="21"/>
              </w:rPr>
              <w:t>《董</w:t>
            </w:r>
            <w:r>
              <w:rPr>
                <w:rFonts w:ascii="宋体" w:hAnsi="宋体" w:cs="宋体" w:eastAsia="宋体" w:hint="default"/>
                <w:spacing w:val="-2"/>
                <w:sz w:val="21"/>
                <w:szCs w:val="21"/>
              </w:rPr>
              <w:t>事</w:t>
            </w:r>
            <w:r>
              <w:rPr>
                <w:rFonts w:ascii="宋体" w:hAnsi="宋体" w:cs="宋体" w:eastAsia="宋体" w:hint="default"/>
                <w:spacing w:val="-22"/>
                <w:sz w:val="21"/>
                <w:szCs w:val="21"/>
              </w:rPr>
              <w:t>、</w:t>
            </w:r>
            <w:r>
              <w:rPr>
                <w:rFonts w:ascii="宋体" w:hAnsi="宋体" w:cs="宋体" w:eastAsia="宋体" w:hint="default"/>
                <w:spacing w:val="-2"/>
                <w:sz w:val="21"/>
                <w:szCs w:val="21"/>
              </w:rPr>
              <w:t>监</w:t>
            </w:r>
            <w:r>
              <w:rPr>
                <w:rFonts w:ascii="宋体" w:hAnsi="宋体" w:cs="宋体" w:eastAsia="宋体" w:hint="default"/>
                <w:sz w:val="21"/>
                <w:szCs w:val="21"/>
              </w:rPr>
              <w:t>事和高级管理人员所持本公司股份及其</w:t>
            </w:r>
            <w:r>
              <w:rPr>
                <w:rFonts w:ascii="宋体" w:hAnsi="宋体" w:cs="宋体" w:eastAsia="宋体" w:hint="default"/>
                <w:sz w:val="21"/>
                <w:szCs w:val="21"/>
              </w:rPr>
              <w:t> 变动管理制度</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z w:val="21"/>
                <w:szCs w:val="21"/>
              </w:rPr>
              <w:t> </w:t>
            </w:r>
            <w:r>
              <w:rPr>
                <w:rFonts w:ascii="Times New Roman" w:hAnsi="Times New Roman" w:cs="Times New Roman" w:eastAsia="Times New Roman" w:hint="default"/>
                <w:sz w:val="21"/>
                <w:szCs w:val="21"/>
              </w:rPr>
              <w:t>5</w:t>
            </w:r>
            <w:r>
              <w:rPr>
                <w:rFonts w:ascii="宋体" w:hAnsi="宋体" w:cs="宋体" w:eastAsia="宋体" w:hint="default"/>
                <w:spacing w:val="-105"/>
                <w:sz w:val="21"/>
                <w:szCs w:val="21"/>
              </w:rPr>
              <w:t>．</w:t>
            </w:r>
            <w:r>
              <w:rPr>
                <w:rFonts w:ascii="宋体" w:hAnsi="宋体" w:cs="宋体" w:eastAsia="宋体" w:hint="default"/>
                <w:sz w:val="21"/>
                <w:szCs w:val="21"/>
              </w:rPr>
              <w:t>《控股</w:t>
            </w:r>
            <w:r>
              <w:rPr>
                <w:rFonts w:ascii="宋体" w:hAnsi="宋体" w:cs="宋体" w:eastAsia="宋体" w:hint="default"/>
                <w:spacing w:val="-2"/>
                <w:sz w:val="21"/>
                <w:szCs w:val="21"/>
              </w:rPr>
              <w:t>股</w:t>
            </w:r>
            <w:r>
              <w:rPr>
                <w:rFonts w:ascii="宋体" w:hAnsi="宋体" w:cs="宋体" w:eastAsia="宋体" w:hint="default"/>
                <w:sz w:val="21"/>
                <w:szCs w:val="21"/>
              </w:rPr>
              <w:t>东和实际控制人行为规范管理办法</w:t>
            </w:r>
            <w:r>
              <w:rPr>
                <w:rFonts w:ascii="宋体" w:hAnsi="宋体" w:cs="宋体" w:eastAsia="宋体" w:hint="default"/>
                <w:spacing w:val="-106"/>
                <w:sz w:val="21"/>
                <w:szCs w:val="21"/>
              </w:rPr>
              <w:t>》</w:t>
            </w:r>
            <w:r>
              <w:rPr>
                <w:rFonts w:ascii="宋体" w:hAnsi="宋体" w:cs="宋体" w:eastAsia="宋体" w:hint="default"/>
                <w:sz w:val="21"/>
                <w:szCs w:val="21"/>
              </w:rPr>
              <w:t>；</w:t>
            </w:r>
          </w:p>
          <w:p>
            <w:pPr>
              <w:pStyle w:val="TableParagraph"/>
              <w:spacing w:line="240" w:lineRule="auto" w:before="1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pacing w:val="-105"/>
                <w:sz w:val="21"/>
                <w:szCs w:val="21"/>
              </w:rPr>
              <w:t>．</w:t>
            </w:r>
            <w:r>
              <w:rPr>
                <w:rFonts w:ascii="宋体" w:hAnsi="宋体" w:cs="宋体" w:eastAsia="宋体" w:hint="default"/>
                <w:sz w:val="21"/>
                <w:szCs w:val="21"/>
              </w:rPr>
              <w:t>《内幕</w:t>
            </w:r>
            <w:r>
              <w:rPr>
                <w:rFonts w:ascii="宋体" w:hAnsi="宋体" w:cs="宋体" w:eastAsia="宋体" w:hint="default"/>
                <w:spacing w:val="-2"/>
                <w:sz w:val="21"/>
                <w:szCs w:val="21"/>
              </w:rPr>
              <w:t>信</w:t>
            </w:r>
            <w:r>
              <w:rPr>
                <w:rFonts w:ascii="宋体" w:hAnsi="宋体" w:cs="宋体" w:eastAsia="宋体" w:hint="default"/>
                <w:sz w:val="21"/>
                <w:szCs w:val="21"/>
              </w:rPr>
              <w:t>息知情人登记制度</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pacing w:val="-105"/>
                <w:sz w:val="21"/>
                <w:szCs w:val="21"/>
              </w:rPr>
              <w:t>．</w:t>
            </w:r>
            <w:r>
              <w:rPr>
                <w:rFonts w:ascii="宋体" w:hAnsi="宋体" w:cs="宋体" w:eastAsia="宋体" w:hint="default"/>
                <w:sz w:val="21"/>
                <w:szCs w:val="21"/>
              </w:rPr>
              <w:t>《年报</w:t>
            </w:r>
            <w:r>
              <w:rPr>
                <w:rFonts w:ascii="宋体" w:hAnsi="宋体" w:cs="宋体" w:eastAsia="宋体" w:hint="default"/>
                <w:spacing w:val="-2"/>
                <w:sz w:val="21"/>
                <w:szCs w:val="21"/>
              </w:rPr>
              <w:t>信</w:t>
            </w:r>
            <w:r>
              <w:rPr>
                <w:rFonts w:ascii="宋体" w:hAnsi="宋体" w:cs="宋体" w:eastAsia="宋体" w:hint="default"/>
                <w:sz w:val="21"/>
                <w:szCs w:val="21"/>
              </w:rPr>
              <w:t>息重大差错责任追究制度</w:t>
            </w:r>
            <w:r>
              <w:rPr>
                <w:rFonts w:ascii="宋体" w:hAnsi="宋体" w:cs="宋体" w:eastAsia="宋体" w:hint="default"/>
                <w:spacing w:val="-105"/>
                <w:sz w:val="21"/>
                <w:szCs w:val="21"/>
              </w:rPr>
              <w:t>》</w:t>
            </w:r>
            <w:r>
              <w:rPr>
                <w:rFonts w:ascii="宋体" w:hAnsi="宋体" w:cs="宋体" w:eastAsia="宋体" w:hint="default"/>
                <w:sz w:val="21"/>
                <w:szCs w:val="21"/>
              </w:rPr>
              <w:t>；</w:t>
            </w:r>
          </w:p>
          <w:p>
            <w:pPr>
              <w:pStyle w:val="TableParagraph"/>
              <w:spacing w:line="240" w:lineRule="auto" w:before="22"/>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pacing w:val="-105"/>
                <w:sz w:val="21"/>
                <w:szCs w:val="21"/>
              </w:rPr>
              <w:t>．</w:t>
            </w:r>
            <w:r>
              <w:rPr>
                <w:rFonts w:ascii="宋体" w:hAnsi="宋体" w:cs="宋体" w:eastAsia="宋体" w:hint="default"/>
                <w:sz w:val="21"/>
                <w:szCs w:val="21"/>
              </w:rPr>
              <w:t>《突发</w:t>
            </w:r>
            <w:r>
              <w:rPr>
                <w:rFonts w:ascii="宋体" w:hAnsi="宋体" w:cs="宋体" w:eastAsia="宋体" w:hint="default"/>
                <w:spacing w:val="-2"/>
                <w:sz w:val="21"/>
                <w:szCs w:val="21"/>
              </w:rPr>
              <w:t>事</w:t>
            </w:r>
            <w:r>
              <w:rPr>
                <w:rFonts w:ascii="宋体" w:hAnsi="宋体" w:cs="宋体" w:eastAsia="宋体" w:hint="default"/>
                <w:sz w:val="21"/>
                <w:szCs w:val="21"/>
              </w:rPr>
              <w:t>件处理制度</w:t>
            </w:r>
            <w:r>
              <w:rPr>
                <w:rFonts w:ascii="宋体" w:hAnsi="宋体" w:cs="宋体" w:eastAsia="宋体" w:hint="default"/>
                <w:spacing w:val="-106"/>
                <w:sz w:val="21"/>
                <w:szCs w:val="21"/>
              </w:rPr>
              <w:t>》</w:t>
            </w:r>
            <w:r>
              <w:rPr>
                <w:rFonts w:ascii="宋体" w:hAnsi="宋体" w:cs="宋体" w:eastAsia="宋体" w:hint="default"/>
                <w:sz w:val="21"/>
                <w:szCs w:val="21"/>
              </w:rPr>
              <w:t>；</w:t>
            </w:r>
          </w:p>
          <w:p>
            <w:pPr>
              <w:pStyle w:val="TableParagraph"/>
              <w:spacing w:line="240" w:lineRule="auto" w:before="2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pacing w:val="-105"/>
                <w:sz w:val="21"/>
                <w:szCs w:val="21"/>
              </w:rPr>
              <w:t>．</w:t>
            </w:r>
            <w:r>
              <w:rPr>
                <w:rFonts w:ascii="宋体" w:hAnsi="宋体" w:cs="宋体" w:eastAsia="宋体" w:hint="default"/>
                <w:sz w:val="21"/>
                <w:szCs w:val="21"/>
              </w:rPr>
              <w:t>《外部</w:t>
            </w:r>
            <w:r>
              <w:rPr>
                <w:rFonts w:ascii="宋体" w:hAnsi="宋体" w:cs="宋体" w:eastAsia="宋体" w:hint="default"/>
                <w:spacing w:val="-2"/>
                <w:sz w:val="21"/>
                <w:szCs w:val="21"/>
              </w:rPr>
              <w:t>信</w:t>
            </w:r>
            <w:r>
              <w:rPr>
                <w:rFonts w:ascii="宋体" w:hAnsi="宋体" w:cs="宋体" w:eastAsia="宋体" w:hint="default"/>
                <w:sz w:val="21"/>
                <w:szCs w:val="21"/>
              </w:rPr>
              <w:t>息报送和使用管理制度</w:t>
            </w:r>
            <w:r>
              <w:rPr>
                <w:rFonts w:ascii="宋体" w:hAnsi="宋体" w:cs="宋体" w:eastAsia="宋体" w:hint="default"/>
                <w:spacing w:val="-106"/>
                <w:sz w:val="21"/>
                <w:szCs w:val="21"/>
              </w:rPr>
              <w:t>》</w:t>
            </w:r>
            <w:r>
              <w:rPr>
                <w:rFonts w:ascii="宋体" w:hAnsi="宋体" w:cs="宋体" w:eastAsia="宋体" w:hint="default"/>
                <w:sz w:val="21"/>
                <w:szCs w:val="21"/>
              </w:rPr>
              <w:t>。</w:t>
            </w:r>
          </w:p>
        </w:tc>
      </w:tr>
      <w:tr>
        <w:trPr>
          <w:trHeight w:val="635" w:hRule="exact"/>
        </w:trPr>
        <w:tc>
          <w:tcPr>
            <w:tcW w:w="1982"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before="33"/>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第一届监事会第八 次会议</w:t>
            </w:r>
          </w:p>
        </w:tc>
        <w:tc>
          <w:tcPr>
            <w:tcW w:w="1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251"/>
              <w:jc w:val="right"/>
              <w:rPr>
                <w:rFonts w:ascii="宋体" w:hAnsi="宋体" w:cs="宋体" w:eastAsia="宋体" w:hint="default"/>
                <w:sz w:val="21"/>
                <w:szCs w:val="21"/>
              </w:rPr>
            </w:pPr>
            <w:r>
              <w:rPr>
                <w:rFonts w:ascii="Times New Roman" w:hAnsi="Times New Roman" w:cs="Times New Roman" w:eastAsia="Times New Roman" w:hint="default"/>
                <w:spacing w:val="-2"/>
                <w:sz w:val="21"/>
                <w:szCs w:val="21"/>
              </w:rPr>
              <w:t>2011</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日</w:t>
            </w:r>
          </w:p>
        </w:tc>
        <w:tc>
          <w:tcPr>
            <w:tcW w:w="5002"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半年度报告及其摘要</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636" w:hRule="exact"/>
        </w:trPr>
        <w:tc>
          <w:tcPr>
            <w:tcW w:w="1982" w:type="dxa"/>
            <w:tcBorders>
              <w:top w:val="single" w:sz="4" w:space="0" w:color="000000"/>
              <w:left w:val="single" w:sz="6" w:space="0" w:color="000000"/>
              <w:bottom w:val="single" w:sz="6" w:space="0" w:color="000000"/>
              <w:right w:val="single" w:sz="4" w:space="0" w:color="000000"/>
            </w:tcBorders>
          </w:tcPr>
          <w:p>
            <w:pPr>
              <w:pStyle w:val="TableParagraph"/>
              <w:spacing w:line="272" w:lineRule="exact" w:before="33"/>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第一届监事会第九 次会议</w:t>
            </w:r>
          </w:p>
        </w:tc>
        <w:tc>
          <w:tcPr>
            <w:tcW w:w="1872"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141"/>
              <w:ind w:right="198"/>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2011</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19</w:t>
            </w:r>
            <w:r>
              <w:rPr>
                <w:rFonts w:ascii="宋体" w:hAnsi="宋体" w:cs="宋体" w:eastAsia="宋体" w:hint="default"/>
                <w:spacing w:val="-1"/>
                <w:sz w:val="21"/>
                <w:szCs w:val="21"/>
              </w:rPr>
              <w:t>日</w:t>
            </w:r>
          </w:p>
        </w:tc>
        <w:tc>
          <w:tcPr>
            <w:tcW w:w="5002"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141"/>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宋体" w:hAnsi="宋体" w:cs="宋体" w:eastAsia="宋体" w:hint="default"/>
                <w:spacing w:val="-2"/>
                <w:sz w:val="21"/>
                <w:szCs w:val="21"/>
              </w:rPr>
              <w:t>年</w:t>
            </w:r>
            <w:r>
              <w:rPr>
                <w:rFonts w:ascii="宋体" w:hAnsi="宋体" w:cs="宋体" w:eastAsia="宋体" w:hint="default"/>
                <w:sz w:val="21"/>
                <w:szCs w:val="21"/>
              </w:rPr>
              <w:t>第三季度报告全文及正文</w:t>
            </w:r>
            <w:r>
              <w:rPr>
                <w:rFonts w:ascii="宋体" w:hAnsi="宋体" w:cs="宋体" w:eastAsia="宋体" w:hint="default"/>
                <w:spacing w:val="-105"/>
                <w:sz w:val="21"/>
                <w:szCs w:val="21"/>
              </w:rPr>
              <w:t>》</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pgSz w:w="12240" w:h="15840"/>
          <w:pgMar w:header="0" w:footer="688" w:top="1500" w:bottom="880" w:left="1580" w:right="15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982"/>
        <w:gridCol w:w="1872"/>
        <w:gridCol w:w="5002"/>
      </w:tblGrid>
      <w:tr>
        <w:trPr>
          <w:trHeight w:val="640" w:hRule="exact"/>
        </w:trPr>
        <w:tc>
          <w:tcPr>
            <w:tcW w:w="1982" w:type="dxa"/>
            <w:tcBorders>
              <w:top w:val="single" w:sz="6" w:space="0" w:color="000000"/>
              <w:left w:val="single" w:sz="6" w:space="0" w:color="000000"/>
              <w:bottom w:val="single" w:sz="6" w:space="0" w:color="000000"/>
              <w:right w:val="single" w:sz="4" w:space="0" w:color="000000"/>
            </w:tcBorders>
          </w:tcPr>
          <w:p>
            <w:pPr>
              <w:pStyle w:val="TableParagraph"/>
              <w:spacing w:line="272" w:lineRule="exact" w:before="34"/>
              <w:ind w:left="668" w:right="144" w:hanging="525"/>
              <w:jc w:val="left"/>
              <w:rPr>
                <w:rFonts w:ascii="宋体" w:hAnsi="宋体" w:cs="宋体" w:eastAsia="宋体" w:hint="default"/>
                <w:sz w:val="21"/>
                <w:szCs w:val="21"/>
              </w:rPr>
            </w:pPr>
            <w:r>
              <w:rPr>
                <w:rFonts w:ascii="宋体" w:hAnsi="宋体" w:cs="宋体" w:eastAsia="宋体" w:hint="default"/>
                <w:sz w:val="21"/>
                <w:szCs w:val="21"/>
              </w:rPr>
              <w:t>第一届监事会第十 次会议</w:t>
            </w:r>
          </w:p>
        </w:tc>
        <w:tc>
          <w:tcPr>
            <w:tcW w:w="1872"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142"/>
              <w:ind w:left="19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13</w:t>
            </w:r>
            <w:r>
              <w:rPr>
                <w:rFonts w:ascii="宋体" w:hAnsi="宋体" w:cs="宋体" w:eastAsia="宋体" w:hint="default"/>
                <w:sz w:val="21"/>
                <w:szCs w:val="21"/>
              </w:rPr>
              <w:t>日</w:t>
            </w:r>
          </w:p>
        </w:tc>
        <w:tc>
          <w:tcPr>
            <w:tcW w:w="5002"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42"/>
              <w:ind w:left="103" w:right="-5"/>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．关于加强上市公司治理专项活动整改报告的议案。</w:t>
            </w:r>
          </w:p>
        </w:tc>
      </w:tr>
    </w:tbl>
    <w:p>
      <w:pPr>
        <w:spacing w:line="240" w:lineRule="auto" w:before="8"/>
        <w:rPr>
          <w:rFonts w:ascii="宋体" w:hAnsi="宋体" w:cs="宋体" w:eastAsia="宋体" w:hint="default"/>
          <w:sz w:val="23"/>
          <w:szCs w:val="23"/>
        </w:rPr>
      </w:pPr>
    </w:p>
    <w:p>
      <w:pPr>
        <w:pStyle w:val="Heading2"/>
        <w:spacing w:line="240" w:lineRule="auto" w:before="13"/>
        <w:ind w:left="781" w:right="0"/>
        <w:jc w:val="left"/>
        <w:rPr>
          <w:b w:val="0"/>
          <w:bCs w:val="0"/>
        </w:rPr>
      </w:pPr>
      <w:r>
        <w:rPr/>
        <w:t>二、监事会对公司报告期内有关事项的意见</w:t>
      </w:r>
      <w:r>
        <w:rPr>
          <w:b w:val="0"/>
          <w:bCs w:val="0"/>
        </w:rPr>
      </w:r>
    </w:p>
    <w:p>
      <w:pPr>
        <w:pStyle w:val="BodyText"/>
        <w:spacing w:line="357" w:lineRule="auto" w:before="233"/>
        <w:ind w:left="220" w:right="239" w:firstLine="480"/>
        <w:jc w:val="both"/>
      </w:pPr>
      <w:r>
        <w:rPr/>
        <w:t>报告期内，公司监事会根据《公司法》、《证券法》、《深圳证券交易所创业 板股票上市规则》、《深圳证券交易所创业板上市公司规范运作指引》及《公司章 程》的有关规定，从维护公司利益和中小投资者权益角度出发，认真履行监事会的 职能，对公司的依法运作情况、财务状况、内部控制、募集资金的使用管理、关联 交易、对外担保等情况进行了认真监督检查，发表如下独立意见：</w:t>
      </w:r>
    </w:p>
    <w:p>
      <w:pPr>
        <w:spacing w:line="240" w:lineRule="auto" w:before="10"/>
        <w:rPr>
          <w:rFonts w:ascii="宋体" w:hAnsi="宋体" w:cs="宋体" w:eastAsia="宋体" w:hint="default"/>
          <w:sz w:val="33"/>
          <w:szCs w:val="33"/>
        </w:rPr>
      </w:pPr>
    </w:p>
    <w:p>
      <w:pPr>
        <w:spacing w:line="422" w:lineRule="auto" w:before="0"/>
        <w:ind w:left="700" w:right="220" w:firstLine="2"/>
        <w:jc w:val="left"/>
        <w:rPr>
          <w:rFonts w:ascii="宋体" w:hAnsi="宋体" w:cs="宋体" w:eastAsia="宋体" w:hint="default"/>
          <w:sz w:val="24"/>
          <w:szCs w:val="24"/>
        </w:rPr>
      </w:pPr>
      <w:r>
        <w:rPr>
          <w:rFonts w:ascii="宋体" w:hAnsi="宋体" w:cs="宋体" w:eastAsia="宋体" w:hint="default"/>
          <w:b/>
          <w:bCs/>
          <w:sz w:val="24"/>
          <w:szCs w:val="24"/>
        </w:rPr>
        <w:t>（一）公司依法运作情况</w:t>
      </w:r>
      <w:r>
        <w:rPr>
          <w:rFonts w:ascii="宋体" w:hAnsi="宋体" w:cs="宋体" w:eastAsia="宋体" w:hint="default"/>
          <w:b/>
          <w:bCs/>
          <w:w w:val="99"/>
          <w:sz w:val="24"/>
          <w:szCs w:val="24"/>
        </w:rPr>
        <w:t> </w:t>
      </w:r>
      <w:r>
        <w:rPr>
          <w:rFonts w:ascii="宋体" w:hAnsi="宋体" w:cs="宋体" w:eastAsia="宋体" w:hint="default"/>
          <w:sz w:val="24"/>
          <w:szCs w:val="24"/>
        </w:rPr>
        <w:t>报告期内，公司监事会对董事会、股东大会的召集程序、决策程序，董事会对</w:t>
      </w:r>
    </w:p>
    <w:p>
      <w:pPr>
        <w:pStyle w:val="BodyText"/>
        <w:spacing w:line="284" w:lineRule="exact"/>
        <w:ind w:left="220" w:right="0"/>
        <w:jc w:val="left"/>
      </w:pPr>
      <w:r>
        <w:rPr/>
        <w:t>股东大会的决议的执行情况、公司董事、高级管理人员履行职务情况及公司内部控</w:t>
      </w:r>
    </w:p>
    <w:p>
      <w:pPr>
        <w:pStyle w:val="BodyText"/>
        <w:spacing w:line="357" w:lineRule="auto" w:before="152"/>
        <w:ind w:left="220" w:right="0"/>
        <w:jc w:val="left"/>
      </w:pPr>
      <w:r>
        <w:rPr/>
        <w:t>制制度等进行了监督检查，认为：公司董事会、股东大会的召开和决策程序严格遵 </w:t>
      </w:r>
      <w:r>
        <w:rPr>
          <w:spacing w:val="-4"/>
        </w:rPr>
        <w:t>循《公司法》、《证券法》等法律法规和《公司章程》的规定，决策程序合法有效，</w:t>
      </w:r>
      <w:r>
        <w:rPr>
          <w:spacing w:val="-105"/>
        </w:rPr>
        <w:t> </w:t>
      </w:r>
      <w:r>
        <w:rPr>
          <w:spacing w:val="-105"/>
        </w:rPr>
      </w:r>
      <w:r>
        <w:rPr/>
        <w:t>会议决议得到有效落实；公司内部控制制度较为完善；公司董事会、董事及高级管 </w:t>
      </w:r>
      <w:r>
        <w:rPr>
          <w:spacing w:val="-4"/>
        </w:rPr>
        <w:t>理人员严格履行诚信义务、勤勉尽职，认真执行股东大会的各项决议，无违反法律、</w:t>
      </w:r>
      <w:r>
        <w:rPr>
          <w:spacing w:val="-92"/>
        </w:rPr>
        <w:t> </w:t>
      </w:r>
      <w:r>
        <w:rPr>
          <w:spacing w:val="-92"/>
        </w:rPr>
      </w:r>
      <w:r>
        <w:rPr/>
        <w:t>法规、《公司章程》或损害公司利益的行为。</w:t>
      </w:r>
    </w:p>
    <w:p>
      <w:pPr>
        <w:spacing w:line="240" w:lineRule="auto" w:before="10"/>
        <w:rPr>
          <w:rFonts w:ascii="宋体" w:hAnsi="宋体" w:cs="宋体" w:eastAsia="宋体" w:hint="default"/>
          <w:sz w:val="33"/>
          <w:szCs w:val="33"/>
        </w:rPr>
      </w:pPr>
    </w:p>
    <w:p>
      <w:pPr>
        <w:spacing w:line="422" w:lineRule="auto" w:before="0"/>
        <w:ind w:left="700" w:right="220" w:firstLine="2"/>
        <w:jc w:val="left"/>
        <w:rPr>
          <w:rFonts w:ascii="宋体" w:hAnsi="宋体" w:cs="宋体" w:eastAsia="宋体" w:hint="default"/>
          <w:sz w:val="24"/>
          <w:szCs w:val="24"/>
        </w:rPr>
      </w:pPr>
      <w:r>
        <w:rPr>
          <w:rFonts w:ascii="宋体" w:hAnsi="宋体" w:cs="宋体" w:eastAsia="宋体" w:hint="default"/>
          <w:b/>
          <w:bCs/>
          <w:sz w:val="24"/>
          <w:szCs w:val="24"/>
        </w:rPr>
        <w:t>（二）检查公司财务情况</w:t>
      </w:r>
      <w:r>
        <w:rPr>
          <w:rFonts w:ascii="宋体" w:hAnsi="宋体" w:cs="宋体" w:eastAsia="宋体" w:hint="default"/>
          <w:b/>
          <w:bCs/>
          <w:spacing w:val="1"/>
          <w:w w:val="99"/>
          <w:sz w:val="24"/>
          <w:szCs w:val="24"/>
        </w:rPr>
        <w:t> </w:t>
      </w:r>
      <w:r>
        <w:rPr>
          <w:rFonts w:ascii="宋体" w:hAnsi="宋体" w:cs="宋体" w:eastAsia="宋体" w:hint="default"/>
          <w:sz w:val="24"/>
          <w:szCs w:val="24"/>
        </w:rPr>
        <w:t>公司监事会成员通过列席董事会和股东大会、审议公司定期报告、与财务负责</w:t>
      </w:r>
    </w:p>
    <w:p>
      <w:pPr>
        <w:pStyle w:val="BodyText"/>
        <w:spacing w:line="284" w:lineRule="exact"/>
        <w:ind w:left="220" w:right="0"/>
        <w:jc w:val="left"/>
      </w:pPr>
      <w:r>
        <w:rPr/>
        <w:t>人和审计会计师进行沟通等方式，对报告期内公司的财务制度、财务管理、经营成</w:t>
      </w:r>
    </w:p>
    <w:p>
      <w:pPr>
        <w:pStyle w:val="BodyText"/>
        <w:spacing w:line="350" w:lineRule="auto" w:before="152"/>
        <w:ind w:left="220" w:right="239"/>
        <w:jc w:val="both"/>
      </w:pPr>
      <w:r>
        <w:rPr/>
        <w:t>果情况进行了认真检查、监督，认为：公司财务制度健全，财务管理规范，财务状 况良好，无违反相关法律法规的行为。</w:t>
      </w:r>
      <w:r>
        <w:rPr>
          <w:rFonts w:ascii="Times New Roman" w:hAnsi="Times New Roman" w:cs="Times New Roman" w:eastAsia="Times New Roman" w:hint="default"/>
        </w:rPr>
        <w:t>2011</w:t>
      </w:r>
      <w:r>
        <w:rPr/>
        <w:t>年度财务报告真实、客观反映了公司的 财务状况、经营成果和现金流量。天健正信会计师事务所有限公司为公司出具的标 准无保留意见审计报告是客观、公正、真实、可信的。</w:t>
      </w:r>
    </w:p>
    <w:p>
      <w:pPr>
        <w:spacing w:after="0" w:line="350" w:lineRule="auto"/>
        <w:jc w:val="both"/>
        <w:sectPr>
          <w:pgSz w:w="12240" w:h="15840"/>
          <w:pgMar w:header="0" w:footer="688" w:top="1360" w:bottom="880" w:left="1580" w:right="1560"/>
        </w:sectPr>
      </w:pPr>
    </w:p>
    <w:p>
      <w:pPr>
        <w:pStyle w:val="Heading3"/>
        <w:spacing w:line="240" w:lineRule="auto" w:before="7"/>
        <w:ind w:right="135"/>
        <w:jc w:val="left"/>
        <w:rPr>
          <w:b w:val="0"/>
          <w:bCs w:val="0"/>
        </w:rPr>
      </w:pPr>
      <w:r>
        <w:rPr/>
        <w:t>（三）审核公司内部控制情况</w:t>
      </w:r>
      <w:r>
        <w:rPr>
          <w:b w:val="0"/>
          <w:bCs w:val="0"/>
        </w:rPr>
      </w:r>
    </w:p>
    <w:p>
      <w:pPr>
        <w:spacing w:line="240" w:lineRule="auto" w:before="4"/>
        <w:rPr>
          <w:rFonts w:ascii="宋体" w:hAnsi="宋体" w:cs="宋体" w:eastAsia="宋体" w:hint="default"/>
          <w:b/>
          <w:bCs/>
          <w:sz w:val="18"/>
          <w:szCs w:val="18"/>
        </w:rPr>
      </w:pPr>
    </w:p>
    <w:p>
      <w:pPr>
        <w:pStyle w:val="BodyText"/>
        <w:spacing w:line="348" w:lineRule="auto"/>
        <w:ind w:left="119" w:right="136" w:firstLine="480"/>
        <w:jc w:val="both"/>
      </w:pPr>
      <w:r>
        <w:rPr>
          <w:spacing w:val="-4"/>
        </w:rPr>
        <w:t>公司监事会监事会对董事会《公司</w:t>
      </w:r>
      <w:r>
        <w:rPr>
          <w:spacing w:val="-5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9"/>
        </w:rPr>
        <w:t> </w:t>
      </w:r>
      <w:r>
        <w:rPr>
          <w:spacing w:val="-4"/>
        </w:rPr>
        <w:t>年度内部控制的自我评价报告》发表如</w:t>
      </w:r>
      <w:r>
        <w:rPr/>
        <w:t> </w:t>
      </w:r>
      <w:r>
        <w:rPr>
          <w:spacing w:val="-2"/>
        </w:rPr>
        <w:t>下审核意见：</w:t>
      </w:r>
      <w:r>
        <w:rPr>
          <w:rFonts w:ascii="Times New Roman" w:hAnsi="Times New Roman" w:cs="Times New Roman" w:eastAsia="Times New Roman" w:hint="default"/>
          <w:spacing w:val="-2"/>
        </w:rPr>
        <w:t>2011</w:t>
      </w:r>
      <w:r>
        <w:rPr>
          <w:rFonts w:ascii="Times New Roman" w:hAnsi="Times New Roman" w:cs="Times New Roman" w:eastAsia="Times New Roman" w:hint="default"/>
          <w:spacing w:val="13"/>
        </w:rPr>
        <w:t> </w:t>
      </w:r>
      <w:r>
        <w:rPr>
          <w:spacing w:val="-18"/>
        </w:rPr>
        <w:t>年度，公司依据《公司法》、《证券法》、《深圳证券交易所创业板</w:t>
      </w:r>
      <w:r>
        <w:rPr>
          <w:spacing w:val="-118"/>
        </w:rPr>
        <w:t> </w:t>
      </w:r>
      <w:r>
        <w:rPr>
          <w:spacing w:val="-118"/>
        </w:rPr>
      </w:r>
      <w:r>
        <w:rPr>
          <w:spacing w:val="-7"/>
        </w:rPr>
        <w:t>股票上市规则》、《深圳证券交易所创业板上市公司规范运作指引》及《公司章程》</w:t>
      </w:r>
      <w:r>
        <w:rPr>
          <w:spacing w:val="-101"/>
        </w:rPr>
        <w:t> </w:t>
      </w:r>
      <w:r>
        <w:rPr>
          <w:spacing w:val="-101"/>
        </w:rPr>
      </w:r>
      <w:r>
        <w:rPr/>
        <w:t>的有关规定，并结合自身的经营管理需要，建立了一套较为健全的内部控制制度； 公司内部控制制度对公司经营管理的各个环节起到了较好的风险防范和控制作用， </w:t>
      </w:r>
      <w:r>
        <w:rPr>
          <w:spacing w:val="-4"/>
        </w:rPr>
        <w:t>能够为公司的经营管理合规性和资产安全性提供合理的保证；《公司</w:t>
      </w:r>
      <w:r>
        <w:rPr>
          <w:spacing w:val="-55"/>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5"/>
        </w:rPr>
        <w:t> </w:t>
      </w:r>
      <w:r>
        <w:rPr>
          <w:spacing w:val="-1"/>
        </w:rPr>
        <w:t>年度内部 </w:t>
      </w:r>
      <w:r>
        <w:rPr/>
        <w:t>控制的自我评价报告》真实、客观地反映了公司内部控制制度的建设及运行情况。</w:t>
      </w:r>
    </w:p>
    <w:p>
      <w:pPr>
        <w:spacing w:line="240" w:lineRule="auto" w:before="7"/>
        <w:rPr>
          <w:rFonts w:ascii="宋体" w:hAnsi="宋体" w:cs="宋体" w:eastAsia="宋体" w:hint="default"/>
          <w:sz w:val="34"/>
          <w:szCs w:val="34"/>
        </w:rPr>
      </w:pPr>
    </w:p>
    <w:p>
      <w:pPr>
        <w:spacing w:line="422" w:lineRule="auto" w:before="0"/>
        <w:ind w:left="599" w:right="135" w:firstLine="2"/>
        <w:jc w:val="left"/>
        <w:rPr>
          <w:rFonts w:ascii="宋体" w:hAnsi="宋体" w:cs="宋体" w:eastAsia="宋体" w:hint="default"/>
          <w:sz w:val="24"/>
          <w:szCs w:val="24"/>
        </w:rPr>
      </w:pPr>
      <w:r>
        <w:rPr>
          <w:rFonts w:ascii="宋体" w:hAnsi="宋体" w:cs="宋体" w:eastAsia="宋体" w:hint="default"/>
          <w:b/>
          <w:bCs/>
          <w:sz w:val="24"/>
          <w:szCs w:val="24"/>
        </w:rPr>
        <w:t>（四）对募集资金使用和管理的监督情况</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报告期内，公司首次公开发行人民币普通股</w:t>
      </w:r>
      <w:r>
        <w:rPr>
          <w:rFonts w:ascii="Times New Roman" w:hAnsi="Times New Roman" w:cs="Times New Roman" w:eastAsia="Times New Roman" w:hint="default"/>
          <w:spacing w:val="-2"/>
          <w:sz w:val="24"/>
          <w:szCs w:val="24"/>
        </w:rPr>
        <w:t>1,350</w:t>
      </w:r>
      <w:r>
        <w:rPr>
          <w:rFonts w:ascii="宋体" w:hAnsi="宋体" w:cs="宋体" w:eastAsia="宋体" w:hint="default"/>
          <w:spacing w:val="-2"/>
          <w:sz w:val="24"/>
          <w:szCs w:val="24"/>
        </w:rPr>
        <w:t>万股，募集资金总金额人民币</w:t>
      </w:r>
    </w:p>
    <w:p>
      <w:pPr>
        <w:pStyle w:val="BodyText"/>
        <w:spacing w:line="266" w:lineRule="exact"/>
        <w:ind w:left="119" w:right="0"/>
        <w:jc w:val="both"/>
      </w:pPr>
      <w:r>
        <w:rPr>
          <w:rFonts w:ascii="Times New Roman" w:hAnsi="Times New Roman" w:cs="Times New Roman" w:eastAsia="Times New Roman" w:hint="default"/>
        </w:rPr>
        <w:t>540,000,000.00</w:t>
      </w:r>
      <w:r>
        <w:rPr/>
        <w:t>元，扣除证券承销费及保荐费等发行费用</w:t>
      </w:r>
      <w:r>
        <w:rPr>
          <w:rFonts w:ascii="Times New Roman" w:hAnsi="Times New Roman" w:cs="Times New Roman" w:eastAsia="Times New Roman" w:hint="default"/>
        </w:rPr>
        <w:t>32,600,000.00</w:t>
      </w:r>
      <w:r>
        <w:rPr/>
        <w:t>元后，汇入公</w:t>
      </w:r>
    </w:p>
    <w:p>
      <w:pPr>
        <w:pStyle w:val="BodyText"/>
        <w:spacing w:line="338" w:lineRule="auto" w:before="134"/>
        <w:ind w:left="119" w:right="139"/>
        <w:jc w:val="both"/>
      </w:pPr>
      <w:r>
        <w:rPr>
          <w:spacing w:val="-2"/>
        </w:rPr>
        <w:t>司在银行开立的专用帐户资金净额为人民币余额</w:t>
      </w:r>
      <w:r>
        <w:rPr>
          <w:rFonts w:ascii="Times New Roman" w:hAnsi="Times New Roman" w:cs="Times New Roman" w:eastAsia="Times New Roman" w:hint="default"/>
          <w:spacing w:val="-2"/>
        </w:rPr>
        <w:t>507,400,000.00</w:t>
      </w:r>
      <w:r>
        <w:rPr>
          <w:spacing w:val="-2"/>
        </w:rPr>
        <w:t>元，经公司扣除自行</w:t>
      </w:r>
      <w:r>
        <w:rPr>
          <w:spacing w:val="-92"/>
        </w:rPr>
        <w:t> </w:t>
      </w:r>
      <w:r>
        <w:rPr>
          <w:spacing w:val="-92"/>
        </w:rPr>
      </w:r>
      <w:r>
        <w:rPr>
          <w:spacing w:val="-2"/>
        </w:rPr>
        <w:t>支付的中介机构费和其他发行相关费用人民币</w:t>
      </w:r>
      <w:r>
        <w:rPr>
          <w:rFonts w:ascii="Times New Roman" w:hAnsi="Times New Roman" w:cs="Times New Roman" w:eastAsia="Times New Roman" w:hint="default"/>
          <w:spacing w:val="-2"/>
        </w:rPr>
        <w:t>5,993,965.00</w:t>
      </w:r>
      <w:r>
        <w:rPr>
          <w:spacing w:val="-2"/>
        </w:rPr>
        <w:t>元后，实际募集资金净额</w:t>
      </w:r>
      <w:r>
        <w:rPr>
          <w:spacing w:val="-94"/>
        </w:rPr>
        <w:t> </w:t>
      </w:r>
      <w:r>
        <w:rPr>
          <w:spacing w:val="-94"/>
        </w:rPr>
      </w:r>
      <w:r>
        <w:rPr/>
        <w:t>为人民币</w:t>
      </w:r>
      <w:r>
        <w:rPr>
          <w:rFonts w:ascii="Times New Roman" w:hAnsi="Times New Roman" w:cs="Times New Roman" w:eastAsia="Times New Roman" w:hint="default"/>
        </w:rPr>
        <w:t>501,406,035.00</w:t>
      </w:r>
      <w:r>
        <w:rPr/>
        <w:t>元。</w:t>
      </w:r>
    </w:p>
    <w:p>
      <w:pPr>
        <w:pStyle w:val="BodyText"/>
        <w:spacing w:line="357" w:lineRule="auto" w:before="145"/>
        <w:ind w:left="119" w:right="101" w:firstLine="480"/>
        <w:jc w:val="both"/>
      </w:pPr>
      <w:r>
        <w:rPr/>
        <w:t>根据《募集资金管理制度》的规定，公司对募集资金采用专户存储制度，公司 </w:t>
      </w:r>
      <w:r>
        <w:rPr>
          <w:spacing w:val="21"/>
        </w:rPr>
        <w:t>募集资金分别存储于中国工商银行股份有限公司厦门软件园支行（账号为：</w:t>
      </w:r>
      <w:r>
        <w:rPr>
          <w:spacing w:val="-111"/>
        </w:rPr>
        <w:t> </w:t>
      </w:r>
      <w:r>
        <w:rPr>
          <w:rFonts w:ascii="Times New Roman" w:hAnsi="Times New Roman" w:cs="Times New Roman" w:eastAsia="Times New Roman" w:hint="default"/>
        </w:rPr>
        <w:t>4100200129200001897</w:t>
      </w:r>
      <w:r>
        <w:rPr>
          <w:rFonts w:ascii="Times New Roman" w:hAnsi="Times New Roman" w:cs="Times New Roman" w:eastAsia="Times New Roman" w:hint="default"/>
          <w:spacing w:val="-15"/>
        </w:rPr>
        <w:t> </w:t>
      </w:r>
      <w:r>
        <w:rPr>
          <w:spacing w:val="34"/>
        </w:rPr>
        <w:t>）、兴业银行股份有限公司厦门思明支行（账号为：</w:t>
      </w:r>
      <w:r>
        <w:rPr>
          <w:spacing w:val="-84"/>
        </w:rPr>
        <w:t> </w:t>
      </w:r>
      <w:r>
        <w:rPr/>
      </w:r>
    </w:p>
    <w:p>
      <w:pPr>
        <w:pStyle w:val="BodyText"/>
        <w:spacing w:line="240" w:lineRule="auto" w:before="4"/>
        <w:ind w:left="119" w:right="0"/>
        <w:jc w:val="both"/>
      </w:pPr>
      <w:r>
        <w:rPr>
          <w:rFonts w:ascii="Times New Roman" w:hAnsi="Times New Roman" w:cs="Times New Roman" w:eastAsia="Times New Roman" w:hint="default"/>
          <w:spacing w:val="11"/>
        </w:rPr>
        <w:t>129970100100076682</w:t>
      </w:r>
      <w:r>
        <w:rPr>
          <w:spacing w:val="11"/>
        </w:rPr>
        <w:t>）、中国农业银行股份有限公司厦门思明支行（账号为：</w:t>
      </w:r>
      <w:r>
        <w:rPr/>
      </w:r>
    </w:p>
    <w:p>
      <w:pPr>
        <w:pStyle w:val="BodyText"/>
        <w:spacing w:line="240" w:lineRule="auto" w:before="134"/>
        <w:ind w:left="119" w:right="0"/>
        <w:jc w:val="both"/>
      </w:pPr>
      <w:r>
        <w:rPr>
          <w:rFonts w:ascii="Times New Roman" w:hAnsi="Times New Roman" w:cs="Times New Roman" w:eastAsia="Times New Roman" w:hint="default"/>
        </w:rPr>
        <w:t>40342001040020336</w:t>
      </w:r>
      <w:r>
        <w:rPr>
          <w:rFonts w:ascii="Times New Roman" w:hAnsi="Times New Roman" w:cs="Times New Roman" w:eastAsia="Times New Roman" w:hint="default"/>
          <w:spacing w:val="-13"/>
        </w:rPr>
        <w:t> </w:t>
      </w:r>
      <w:r>
        <w:rPr>
          <w:spacing w:val="33"/>
        </w:rPr>
        <w:t>）以及中国民生银行股份有限公司厦门分行（账号为：</w:t>
      </w:r>
      <w:r>
        <w:rPr>
          <w:spacing w:val="-85"/>
        </w:rPr>
        <w:t> </w:t>
      </w:r>
      <w:r>
        <w:rPr/>
      </w:r>
    </w:p>
    <w:p>
      <w:pPr>
        <w:pStyle w:val="BodyText"/>
        <w:spacing w:line="338" w:lineRule="auto" w:before="134"/>
        <w:ind w:left="119" w:right="139"/>
        <w:jc w:val="both"/>
      </w:pPr>
      <w:r>
        <w:rPr>
          <w:rFonts w:ascii="Times New Roman" w:hAnsi="Times New Roman" w:cs="Times New Roman" w:eastAsia="Times New Roman" w:hint="default"/>
        </w:rPr>
        <w:t>2903014210002211</w:t>
      </w:r>
      <w:r>
        <w:rPr/>
        <w:t>）。</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3</w:t>
      </w:r>
      <w:r>
        <w:rPr>
          <w:rFonts w:ascii="Times New Roman" w:hAnsi="Times New Roman" w:cs="Times New Roman" w:eastAsia="Times New Roman" w:hint="default"/>
          <w:spacing w:val="32"/>
        </w:rPr>
        <w:t> </w:t>
      </w:r>
      <w:r>
        <w:rPr>
          <w:spacing w:val="-4"/>
        </w:rPr>
        <w:t>月，公司、保荐人共同分别与前述</w:t>
      </w:r>
      <w:r>
        <w:rPr>
          <w:rFonts w:ascii="Times New Roman" w:hAnsi="Times New Roman" w:cs="Times New Roman" w:eastAsia="Times New Roman" w:hint="default"/>
          <w:spacing w:val="-4"/>
        </w:rPr>
        <w:t>4</w:t>
      </w:r>
      <w:r>
        <w:rPr>
          <w:spacing w:val="-4"/>
        </w:rPr>
        <w:t>家银行签署《募</w:t>
      </w:r>
      <w:r>
        <w:rPr/>
        <w:t> 集资金三方监管协议》，报告期内，《募集资金三方监管协议》履行状况良好。</w:t>
      </w:r>
    </w:p>
    <w:p>
      <w:pPr>
        <w:pStyle w:val="BodyText"/>
        <w:spacing w:line="338" w:lineRule="auto" w:before="174"/>
        <w:ind w:left="119" w:right="137" w:firstLine="480"/>
        <w:jc w:val="both"/>
      </w:pPr>
      <w:r>
        <w:rPr>
          <w:rFonts w:ascii="Times New Roman" w:hAnsi="Times New Roman" w:cs="Times New Roman" w:eastAsia="Times New Roman" w:hint="default"/>
        </w:rPr>
        <w:t>2011</w:t>
      </w:r>
      <w:r>
        <w:rPr/>
        <w:t>年度，募集资金项目投入金额合计</w:t>
      </w:r>
      <w:r>
        <w:rPr>
          <w:rFonts w:ascii="Times New Roman" w:hAnsi="Times New Roman" w:cs="Times New Roman" w:eastAsia="Times New Roman" w:hint="default"/>
        </w:rPr>
        <w:t>10,250.44</w:t>
      </w:r>
      <w:r>
        <w:rPr/>
        <w:t>万元，其中直接投入承诺投资 项目</w:t>
      </w:r>
      <w:r>
        <w:rPr>
          <w:rFonts w:ascii="Times New Roman" w:hAnsi="Times New Roman" w:cs="Times New Roman" w:eastAsia="Times New Roman" w:hint="default"/>
        </w:rPr>
        <w:t>10,250.44</w:t>
      </w:r>
      <w:r>
        <w:rPr/>
        <w:t>万元。截至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日，本公司募集资金账户余额为</w:t>
      </w:r>
      <w:r>
        <w:rPr>
          <w:rFonts w:ascii="Times New Roman" w:hAnsi="Times New Roman" w:cs="Times New Roman" w:eastAsia="Times New Roman" w:hint="default"/>
        </w:rPr>
        <w:t>40,174.42</w:t>
      </w:r>
      <w:r>
        <w:rPr/>
        <w:t>万 元，其中活期存款账户余额为人民币</w:t>
      </w:r>
      <w:r>
        <w:rPr>
          <w:rFonts w:ascii="Times New Roman" w:hAnsi="Times New Roman" w:cs="Times New Roman" w:eastAsia="Times New Roman" w:hint="default"/>
        </w:rPr>
        <w:t>964.26</w:t>
      </w:r>
      <w:r>
        <w:rPr/>
        <w:t>万元，定期存款余额为人民币</w:t>
      </w:r>
      <w:r>
        <w:rPr>
          <w:rFonts w:ascii="Times New Roman" w:hAnsi="Times New Roman" w:cs="Times New Roman" w:eastAsia="Times New Roman" w:hint="default"/>
        </w:rPr>
        <w:t>39,210.16</w:t>
      </w:r>
      <w:r>
        <w:rPr>
          <w:rFonts w:ascii="Times New Roman" w:hAnsi="Times New Roman" w:cs="Times New Roman" w:eastAsia="Times New Roman" w:hint="default"/>
          <w:spacing w:val="-27"/>
        </w:rPr>
        <w:t> </w:t>
      </w:r>
      <w:r>
        <w:rPr/>
        <w:t>万元。</w:t>
      </w:r>
    </w:p>
    <w:p>
      <w:pPr>
        <w:spacing w:after="0" w:line="338" w:lineRule="auto"/>
        <w:jc w:val="both"/>
        <w:sectPr>
          <w:pgSz w:w="12240" w:h="15840"/>
          <w:pgMar w:header="0" w:footer="688" w:top="1440" w:bottom="880" w:left="1680" w:right="1660"/>
        </w:sectPr>
      </w:pPr>
    </w:p>
    <w:p>
      <w:pPr>
        <w:pStyle w:val="BodyText"/>
        <w:spacing w:line="357" w:lineRule="auto" w:before="1"/>
        <w:ind w:right="100" w:firstLine="480"/>
        <w:jc w:val="left"/>
      </w:pPr>
      <w:r>
        <w:rPr/>
        <w:t>经核查，公司募集资金实际投入项目与承诺投入项目一致，没有变更投向和用 途，按照预订计划实施。</w:t>
      </w:r>
    </w:p>
    <w:p>
      <w:pPr>
        <w:spacing w:line="240" w:lineRule="auto" w:before="10"/>
        <w:rPr>
          <w:rFonts w:ascii="宋体" w:hAnsi="宋体" w:cs="宋体" w:eastAsia="宋体" w:hint="default"/>
          <w:sz w:val="33"/>
          <w:szCs w:val="33"/>
        </w:rPr>
      </w:pPr>
    </w:p>
    <w:p>
      <w:pPr>
        <w:spacing w:line="422" w:lineRule="auto" w:before="0"/>
        <w:ind w:left="580" w:right="3220" w:firstLine="2"/>
        <w:jc w:val="left"/>
        <w:rPr>
          <w:rFonts w:ascii="宋体" w:hAnsi="宋体" w:cs="宋体" w:eastAsia="宋体" w:hint="default"/>
          <w:sz w:val="24"/>
          <w:szCs w:val="24"/>
        </w:rPr>
      </w:pPr>
      <w:r>
        <w:rPr>
          <w:rFonts w:ascii="宋体" w:hAnsi="宋体" w:cs="宋体" w:eastAsia="宋体" w:hint="default"/>
          <w:b/>
          <w:bCs/>
          <w:sz w:val="24"/>
          <w:szCs w:val="24"/>
        </w:rPr>
        <w:t>（五）收购、出售资产情况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报告期内，公司不存在收购、出售资产的情况。</w:t>
      </w:r>
    </w:p>
    <w:p>
      <w:pPr>
        <w:spacing w:line="240" w:lineRule="auto" w:before="11"/>
        <w:rPr>
          <w:rFonts w:ascii="宋体" w:hAnsi="宋体" w:cs="宋体" w:eastAsia="宋体" w:hint="default"/>
          <w:sz w:val="28"/>
          <w:szCs w:val="28"/>
        </w:rPr>
      </w:pPr>
    </w:p>
    <w:p>
      <w:pPr>
        <w:spacing w:line="422" w:lineRule="auto" w:before="0"/>
        <w:ind w:left="580" w:right="3700" w:firstLine="2"/>
        <w:jc w:val="left"/>
        <w:rPr>
          <w:rFonts w:ascii="宋体" w:hAnsi="宋体" w:cs="宋体" w:eastAsia="宋体" w:hint="default"/>
          <w:sz w:val="24"/>
          <w:szCs w:val="24"/>
        </w:rPr>
      </w:pPr>
      <w:r>
        <w:rPr>
          <w:rFonts w:ascii="宋体" w:hAnsi="宋体" w:cs="宋体" w:eastAsia="宋体" w:hint="default"/>
          <w:b/>
          <w:bCs/>
          <w:sz w:val="24"/>
          <w:szCs w:val="24"/>
        </w:rPr>
        <w:t>（六）公司关联交易情况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报告期内，公司不存在重大关联交易情况。</w:t>
      </w:r>
    </w:p>
    <w:p>
      <w:pPr>
        <w:spacing w:line="240" w:lineRule="auto" w:before="11"/>
        <w:rPr>
          <w:rFonts w:ascii="宋体" w:hAnsi="宋体" w:cs="宋体" w:eastAsia="宋体" w:hint="default"/>
          <w:sz w:val="28"/>
          <w:szCs w:val="28"/>
        </w:rPr>
      </w:pPr>
    </w:p>
    <w:p>
      <w:pPr>
        <w:spacing w:line="422" w:lineRule="auto" w:before="0"/>
        <w:ind w:left="580" w:right="2260" w:firstLine="2"/>
        <w:jc w:val="left"/>
        <w:rPr>
          <w:rFonts w:ascii="宋体" w:hAnsi="宋体" w:cs="宋体" w:eastAsia="宋体" w:hint="default"/>
          <w:sz w:val="24"/>
          <w:szCs w:val="24"/>
        </w:rPr>
      </w:pPr>
      <w:r>
        <w:rPr>
          <w:rFonts w:ascii="宋体" w:hAnsi="宋体" w:cs="宋体" w:eastAsia="宋体" w:hint="default"/>
          <w:b/>
          <w:bCs/>
          <w:sz w:val="24"/>
          <w:szCs w:val="24"/>
        </w:rPr>
        <w:t>（七）对外担保及股权、资产置换情况</w:t>
      </w:r>
      <w:r>
        <w:rPr>
          <w:rFonts w:ascii="宋体" w:hAnsi="宋体" w:cs="宋体" w:eastAsia="宋体" w:hint="default"/>
          <w:b/>
          <w:bCs/>
          <w:spacing w:val="1"/>
          <w:w w:val="99"/>
          <w:sz w:val="24"/>
          <w:szCs w:val="24"/>
        </w:rPr>
        <w:t> </w:t>
      </w:r>
      <w:r>
        <w:rPr>
          <w:rFonts w:ascii="宋体" w:hAnsi="宋体" w:cs="宋体" w:eastAsia="宋体" w:hint="default"/>
          <w:sz w:val="24"/>
          <w:szCs w:val="24"/>
        </w:rPr>
        <w:t>报告期内，公司不存在对外担保及股权、资产置换情况。</w:t>
      </w:r>
    </w:p>
    <w:p>
      <w:pPr>
        <w:spacing w:line="240" w:lineRule="auto" w:before="11"/>
        <w:rPr>
          <w:rFonts w:ascii="宋体" w:hAnsi="宋体" w:cs="宋体" w:eastAsia="宋体" w:hint="default"/>
          <w:sz w:val="28"/>
          <w:szCs w:val="28"/>
        </w:rPr>
      </w:pPr>
    </w:p>
    <w:p>
      <w:pPr>
        <w:spacing w:line="422" w:lineRule="auto" w:before="0"/>
        <w:ind w:left="580" w:right="100" w:firstLine="2"/>
        <w:jc w:val="left"/>
        <w:rPr>
          <w:rFonts w:ascii="宋体" w:hAnsi="宋体" w:cs="宋体" w:eastAsia="宋体" w:hint="default"/>
          <w:sz w:val="24"/>
          <w:szCs w:val="24"/>
        </w:rPr>
      </w:pPr>
      <w:r>
        <w:rPr>
          <w:rFonts w:ascii="宋体" w:hAnsi="宋体" w:cs="宋体" w:eastAsia="宋体" w:hint="default"/>
          <w:b/>
          <w:bCs/>
          <w:sz w:val="24"/>
          <w:szCs w:val="24"/>
        </w:rPr>
        <w:t>（八）监事会对2011年度公司内部控制评价自我评价报告的意见</w:t>
      </w:r>
      <w:r>
        <w:rPr>
          <w:rFonts w:ascii="宋体" w:hAnsi="宋体" w:cs="宋体" w:eastAsia="宋体" w:hint="default"/>
          <w:b/>
          <w:bCs/>
          <w:w w:val="99"/>
          <w:sz w:val="24"/>
          <w:szCs w:val="24"/>
        </w:rPr>
        <w:t> </w:t>
      </w:r>
      <w:r>
        <w:rPr>
          <w:rFonts w:ascii="宋体" w:hAnsi="宋体" w:cs="宋体" w:eastAsia="宋体" w:hint="default"/>
          <w:sz w:val="24"/>
          <w:szCs w:val="24"/>
        </w:rPr>
        <w:t>公司监事会对董事会《公司</w:t>
      </w:r>
      <w:r>
        <w:rPr>
          <w:rFonts w:ascii="Times New Roman" w:hAnsi="Times New Roman" w:cs="Times New Roman" w:eastAsia="Times New Roman" w:hint="default"/>
          <w:sz w:val="24"/>
          <w:szCs w:val="24"/>
        </w:rPr>
        <w:t>2011</w:t>
      </w:r>
      <w:r>
        <w:rPr>
          <w:rFonts w:ascii="宋体" w:hAnsi="宋体" w:cs="宋体" w:eastAsia="宋体" w:hint="default"/>
          <w:sz w:val="24"/>
          <w:szCs w:val="24"/>
        </w:rPr>
        <w:t>年度内部控制的自我评价报告》发表如下审核</w:t>
      </w:r>
    </w:p>
    <w:p>
      <w:pPr>
        <w:pStyle w:val="BodyText"/>
        <w:spacing w:line="265" w:lineRule="exact"/>
        <w:ind w:right="0"/>
        <w:jc w:val="both"/>
      </w:pPr>
      <w:r>
        <w:rPr/>
        <w:t>意见：</w:t>
      </w:r>
      <w:r>
        <w:rPr>
          <w:rFonts w:ascii="Times New Roman" w:hAnsi="Times New Roman" w:cs="Times New Roman" w:eastAsia="Times New Roman" w:hint="default"/>
        </w:rPr>
        <w:t>2011</w:t>
      </w:r>
      <w:r>
        <w:rPr/>
        <w:t>年度，公司依据《公司法》、《证券法》、《深圳证券交易所创业板股</w:t>
      </w:r>
    </w:p>
    <w:p>
      <w:pPr>
        <w:pStyle w:val="BodyText"/>
        <w:spacing w:line="352" w:lineRule="auto" w:before="134"/>
        <w:ind w:right="119"/>
        <w:jc w:val="both"/>
      </w:pPr>
      <w:r>
        <w:rPr/>
        <w:t>票上市规则》、《深圳证券交易所创业板上市公司规范运作指引》及《公司章程》 的有关规定，并结合自身的经营管理需要，建立了一套较为健全的内部控制制度； 公司内部控制制度对公司经营管理的各个环节起到了较好的风险防范和控制作用， 能够为公司的经营管理合规性和资产安全性提供合理的保证；《公司</w:t>
      </w:r>
      <w:r>
        <w:rPr>
          <w:rFonts w:ascii="Times New Roman" w:hAnsi="Times New Roman" w:cs="Times New Roman" w:eastAsia="Times New Roman" w:hint="default"/>
        </w:rPr>
        <w:t>2011</w:t>
      </w:r>
      <w:r>
        <w:rPr/>
        <w:t>年度内部 控制的自我评价报告》真实、客观地反映了公司内部控制制度的建设及运行情况。</w:t>
      </w:r>
    </w:p>
    <w:p>
      <w:pPr>
        <w:spacing w:after="0" w:line="352" w:lineRule="auto"/>
        <w:jc w:val="both"/>
        <w:sectPr>
          <w:pgSz w:w="12240" w:h="15840"/>
          <w:pgMar w:header="0" w:footer="688" w:top="1400" w:bottom="880" w:left="1700" w:right="1680"/>
        </w:sectPr>
      </w:pPr>
    </w:p>
    <w:p>
      <w:pPr>
        <w:pStyle w:val="Heading1"/>
        <w:tabs>
          <w:tab w:pos="4439" w:val="left" w:leader="none"/>
        </w:tabs>
        <w:spacing w:line="499" w:lineRule="auto" w:before="94"/>
        <w:ind w:left="3154" w:right="3252"/>
        <w:jc w:val="center"/>
        <w:rPr>
          <w:b w:val="0"/>
          <w:bCs w:val="0"/>
        </w:rPr>
      </w:pPr>
      <w:bookmarkStart w:name="_bookmark8" w:id="9"/>
      <w:bookmarkEnd w:id="9"/>
      <w:r>
        <w:rPr>
          <w:b w:val="0"/>
          <w:bCs w:val="0"/>
        </w:rPr>
      </w:r>
      <w:r>
        <w:rPr>
          <w:w w:val="95"/>
        </w:rPr>
        <w:t>第九节</w:t>
        <w:tab/>
      </w:r>
      <w:r>
        <w:rPr/>
        <w:t>财务报告</w:t>
      </w:r>
      <w:r>
        <w:rPr>
          <w:spacing w:val="1"/>
          <w:w w:val="99"/>
        </w:rPr>
        <w:t> </w:t>
      </w:r>
      <w:bookmarkStart w:name="审 计 报 告" w:id="10"/>
      <w:bookmarkEnd w:id="10"/>
      <w:r>
        <w:rPr/>
        <w:t>审</w:t>
      </w:r>
      <w:r>
        <w:rPr/>
        <w:t> 计 报</w:t>
      </w:r>
      <w:r>
        <w:rPr>
          <w:spacing w:val="-5"/>
        </w:rPr>
        <w:t> </w:t>
      </w:r>
      <w:r>
        <w:rPr/>
        <w:t>告</w:t>
      </w:r>
      <w:r>
        <w:rPr>
          <w:b w:val="0"/>
          <w:bCs w:val="0"/>
        </w:rPr>
      </w:r>
    </w:p>
    <w:p>
      <w:pPr>
        <w:spacing w:line="240" w:lineRule="auto" w:before="2"/>
        <w:rPr>
          <w:rFonts w:ascii="黑体" w:hAnsi="黑体" w:cs="黑体" w:eastAsia="黑体" w:hint="default"/>
          <w:b/>
          <w:bCs/>
          <w:sz w:val="13"/>
          <w:szCs w:val="13"/>
        </w:rPr>
      </w:pPr>
    </w:p>
    <w:p>
      <w:pPr>
        <w:spacing w:before="35"/>
        <w:ind w:left="5296" w:right="114" w:firstLine="0"/>
        <w:jc w:val="left"/>
        <w:rPr>
          <w:rFonts w:ascii="黑体" w:hAnsi="黑体" w:cs="黑体" w:eastAsia="黑体" w:hint="default"/>
          <w:sz w:val="21"/>
          <w:szCs w:val="21"/>
        </w:rPr>
      </w:pPr>
      <w:r>
        <w:rPr>
          <w:rFonts w:ascii="黑体" w:hAnsi="黑体" w:cs="黑体" w:eastAsia="黑体" w:hint="default"/>
          <w:b/>
          <w:bCs/>
          <w:sz w:val="21"/>
          <w:szCs w:val="21"/>
        </w:rPr>
        <w:t>天健正信审（</w:t>
      </w:r>
      <w:r>
        <w:rPr>
          <w:rFonts w:ascii="Arial Narrow" w:hAnsi="Arial Narrow" w:cs="Arial Narrow" w:eastAsia="Arial Narrow" w:hint="default"/>
          <w:b/>
          <w:bCs/>
          <w:sz w:val="21"/>
          <w:szCs w:val="21"/>
        </w:rPr>
        <w:t>2012</w:t>
      </w:r>
      <w:r>
        <w:rPr>
          <w:rFonts w:ascii="黑体" w:hAnsi="黑体" w:cs="黑体" w:eastAsia="黑体" w:hint="default"/>
          <w:b/>
          <w:bCs/>
          <w:sz w:val="21"/>
          <w:szCs w:val="21"/>
        </w:rPr>
        <w:t>）</w:t>
      </w:r>
      <w:r>
        <w:rPr>
          <w:rFonts w:ascii="Arial Narrow" w:hAnsi="Arial Narrow" w:cs="Arial Narrow" w:eastAsia="Arial Narrow" w:hint="default"/>
          <w:b/>
          <w:bCs/>
          <w:sz w:val="21"/>
          <w:szCs w:val="21"/>
        </w:rPr>
        <w:t>GF</w:t>
      </w:r>
      <w:r>
        <w:rPr>
          <w:rFonts w:ascii="Arial Narrow" w:hAnsi="Arial Narrow" w:cs="Arial Narrow" w:eastAsia="Arial Narrow" w:hint="default"/>
          <w:b/>
          <w:bCs/>
          <w:spacing w:val="1"/>
          <w:sz w:val="21"/>
          <w:szCs w:val="21"/>
        </w:rPr>
        <w:t> </w:t>
      </w:r>
      <w:r>
        <w:rPr>
          <w:rFonts w:ascii="黑体" w:hAnsi="黑体" w:cs="黑体" w:eastAsia="黑体" w:hint="default"/>
          <w:b/>
          <w:bCs/>
          <w:sz w:val="21"/>
          <w:szCs w:val="21"/>
        </w:rPr>
        <w:t>字第</w:t>
      </w:r>
      <w:r>
        <w:rPr>
          <w:rFonts w:ascii="黑体" w:hAnsi="黑体" w:cs="黑体" w:eastAsia="黑体" w:hint="default"/>
          <w:b/>
          <w:bCs/>
          <w:spacing w:val="-55"/>
          <w:sz w:val="21"/>
          <w:szCs w:val="21"/>
        </w:rPr>
        <w:t> </w:t>
      </w:r>
      <w:r>
        <w:rPr>
          <w:rFonts w:ascii="Arial Narrow" w:hAnsi="Arial Narrow" w:cs="Arial Narrow" w:eastAsia="Arial Narrow" w:hint="default"/>
          <w:b/>
          <w:bCs/>
          <w:sz w:val="21"/>
          <w:szCs w:val="21"/>
        </w:rPr>
        <w:t>020013</w:t>
      </w:r>
      <w:r>
        <w:rPr>
          <w:rFonts w:ascii="Arial Narrow" w:hAnsi="Arial Narrow" w:cs="Arial Narrow" w:eastAsia="Arial Narrow" w:hint="default"/>
          <w:b/>
          <w:bCs/>
          <w:spacing w:val="1"/>
          <w:sz w:val="21"/>
          <w:szCs w:val="21"/>
        </w:rPr>
        <w:t> </w:t>
      </w:r>
      <w:r>
        <w:rPr>
          <w:rFonts w:ascii="黑体" w:hAnsi="黑体" w:cs="黑体" w:eastAsia="黑体" w:hint="default"/>
          <w:b/>
          <w:bCs/>
          <w:sz w:val="21"/>
          <w:szCs w:val="21"/>
        </w:rPr>
        <w:t>号</w:t>
      </w:r>
      <w:r>
        <w:rPr>
          <w:rFonts w:ascii="黑体" w:hAnsi="黑体" w:cs="黑体" w:eastAsia="黑体" w:hint="default"/>
          <w:sz w:val="21"/>
          <w:szCs w:val="21"/>
        </w:rPr>
      </w:r>
    </w:p>
    <w:p>
      <w:pPr>
        <w:pStyle w:val="Heading3"/>
        <w:spacing w:line="240" w:lineRule="auto" w:before="113"/>
        <w:ind w:left="120" w:right="114"/>
        <w:jc w:val="left"/>
        <w:rPr>
          <w:b w:val="0"/>
          <w:bCs w:val="0"/>
        </w:rPr>
      </w:pPr>
      <w:r>
        <w:rPr>
          <w:w w:val="99"/>
        </w:rPr>
      </w:r>
      <w:r>
        <w:rPr>
          <w:u w:val="single" w:color="000000"/>
        </w:rPr>
        <w:t>厦门市美亚柏科信息股份有限公司全体股东：</w:t>
      </w:r>
      <w:r>
        <w:rPr/>
      </w:r>
      <w:r>
        <w:rPr>
          <w:b w:val="0"/>
          <w:bCs w:val="0"/>
        </w:rPr>
      </w:r>
    </w:p>
    <w:p>
      <w:pPr>
        <w:spacing w:line="240" w:lineRule="auto" w:before="5"/>
        <w:rPr>
          <w:rFonts w:ascii="宋体" w:hAnsi="宋体" w:cs="宋体" w:eastAsia="宋体" w:hint="default"/>
          <w:b/>
          <w:bCs/>
          <w:sz w:val="9"/>
          <w:szCs w:val="9"/>
        </w:rPr>
      </w:pPr>
    </w:p>
    <w:p>
      <w:pPr>
        <w:spacing w:line="348" w:lineRule="auto" w:before="35"/>
        <w:ind w:left="119" w:right="101" w:firstLine="420"/>
        <w:jc w:val="left"/>
        <w:rPr>
          <w:rFonts w:ascii="宋体" w:hAnsi="宋体" w:cs="宋体" w:eastAsia="宋体" w:hint="default"/>
          <w:sz w:val="21"/>
          <w:szCs w:val="21"/>
        </w:rPr>
      </w:pPr>
      <w:r>
        <w:rPr>
          <w:rFonts w:ascii="宋体" w:hAnsi="宋体" w:cs="宋体" w:eastAsia="宋体" w:hint="default"/>
          <w:spacing w:val="-2"/>
          <w:sz w:val="21"/>
          <w:szCs w:val="21"/>
        </w:rPr>
        <w:t>我们审计了后附的厦门市美亚柏科信息股份有限公司（以下简称美亚柏科公司）财务报表，</w:t>
      </w:r>
      <w:r>
        <w:rPr>
          <w:rFonts w:ascii="宋体" w:hAnsi="宋体" w:cs="宋体" w:eastAsia="宋体" w:hint="default"/>
          <w:sz w:val="21"/>
          <w:szCs w:val="21"/>
        </w:rPr>
        <w:t> 包括</w:t>
      </w:r>
      <w:r>
        <w:rPr>
          <w:rFonts w:ascii="宋体" w:hAnsi="宋体" w:cs="宋体" w:eastAsia="宋体" w:hint="default"/>
          <w:spacing w:val="-59"/>
          <w:sz w:val="21"/>
          <w:szCs w:val="21"/>
        </w:rPr>
        <w:t> </w:t>
      </w:r>
      <w:r>
        <w:rPr>
          <w:rFonts w:ascii="Arial" w:hAnsi="Arial" w:cs="Arial" w:eastAsia="Arial" w:hint="default"/>
          <w:spacing w:val="-5"/>
          <w:sz w:val="21"/>
          <w:szCs w:val="21"/>
        </w:rPr>
        <w:t>2011</w:t>
      </w:r>
      <w:r>
        <w:rPr>
          <w:rFonts w:ascii="Arial" w:hAnsi="Arial" w:cs="Arial" w:eastAsia="Arial"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Arial" w:hAnsi="Arial" w:cs="Arial" w:eastAsia="Arial" w:hint="default"/>
          <w:sz w:val="21"/>
          <w:szCs w:val="21"/>
        </w:rPr>
        <w:t>12</w:t>
      </w:r>
      <w:r>
        <w:rPr>
          <w:rFonts w:ascii="Arial" w:hAnsi="Arial" w:cs="Arial" w:eastAsia="Arial"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9"/>
          <w:sz w:val="21"/>
          <w:szCs w:val="21"/>
        </w:rPr>
        <w:t> </w:t>
      </w:r>
      <w:r>
        <w:rPr>
          <w:rFonts w:ascii="Arial" w:hAnsi="Arial" w:cs="Arial" w:eastAsia="Arial" w:hint="default"/>
          <w:sz w:val="21"/>
          <w:szCs w:val="21"/>
        </w:rPr>
        <w:t>31</w:t>
      </w:r>
      <w:r>
        <w:rPr>
          <w:rFonts w:ascii="Arial" w:hAnsi="Arial" w:cs="Arial" w:eastAsia="Arial" w:hint="default"/>
          <w:spacing w:val="-12"/>
          <w:sz w:val="21"/>
          <w:szCs w:val="21"/>
        </w:rPr>
        <w:t> </w:t>
      </w:r>
      <w:r>
        <w:rPr>
          <w:rFonts w:ascii="宋体" w:hAnsi="宋体" w:cs="宋体" w:eastAsia="宋体" w:hint="default"/>
          <w:sz w:val="21"/>
          <w:szCs w:val="21"/>
        </w:rPr>
        <w:t>日的合并及公司资产负债表、</w:t>
      </w:r>
      <w:r>
        <w:rPr>
          <w:rFonts w:ascii="Arial" w:hAnsi="Arial" w:cs="Arial" w:eastAsia="Arial" w:hint="default"/>
          <w:sz w:val="21"/>
          <w:szCs w:val="21"/>
        </w:rPr>
        <w:t>2011</w:t>
      </w:r>
      <w:r>
        <w:rPr>
          <w:rFonts w:ascii="Arial" w:hAnsi="Arial" w:cs="Arial" w:eastAsia="Arial" w:hint="default"/>
          <w:spacing w:val="-11"/>
          <w:sz w:val="21"/>
          <w:szCs w:val="21"/>
        </w:rPr>
        <w:t> </w:t>
      </w:r>
      <w:r>
        <w:rPr>
          <w:rFonts w:ascii="宋体" w:hAnsi="宋体" w:cs="宋体" w:eastAsia="宋体" w:hint="default"/>
          <w:sz w:val="21"/>
          <w:szCs w:val="21"/>
        </w:rPr>
        <w:t>年度的合并及公司利润表、合并及公 司现金流量表和合并及公司股东权益变动表，以及财务报表附注。</w:t>
      </w:r>
    </w:p>
    <w:p>
      <w:pPr>
        <w:spacing w:line="355" w:lineRule="auto" w:before="40"/>
        <w:ind w:left="539" w:right="114" w:firstLine="2"/>
        <w:jc w:val="left"/>
        <w:rPr>
          <w:rFonts w:ascii="宋体" w:hAnsi="宋体" w:cs="宋体" w:eastAsia="宋体" w:hint="default"/>
          <w:sz w:val="21"/>
          <w:szCs w:val="21"/>
        </w:rPr>
      </w:pPr>
      <w:r>
        <w:rPr>
          <w:rFonts w:ascii="宋体" w:hAnsi="宋体" w:cs="宋体" w:eastAsia="宋体" w:hint="default"/>
          <w:b/>
          <w:bCs/>
          <w:sz w:val="21"/>
          <w:szCs w:val="21"/>
        </w:rPr>
        <w:t>一、管理层对财务报表的责任</w:t>
      </w:r>
      <w:r>
        <w:rPr>
          <w:rFonts w:ascii="宋体" w:hAnsi="宋体" w:cs="宋体" w:eastAsia="宋体" w:hint="default"/>
          <w:b/>
          <w:bCs/>
          <w:spacing w:val="1"/>
          <w:w w:val="99"/>
          <w:sz w:val="21"/>
          <w:szCs w:val="21"/>
        </w:rPr>
        <w:t> </w:t>
      </w:r>
      <w:r>
        <w:rPr>
          <w:rFonts w:ascii="宋体" w:hAnsi="宋体" w:cs="宋体" w:eastAsia="宋体" w:hint="default"/>
          <w:spacing w:val="-3"/>
          <w:w w:val="99"/>
          <w:sz w:val="21"/>
          <w:szCs w:val="21"/>
        </w:rPr>
        <w:t>编制和公允列报财务报表是美亚柏科公司管理层的责任。这种责任包括：（</w:t>
      </w:r>
      <w:r>
        <w:rPr>
          <w:rFonts w:ascii="Arial" w:hAnsi="Arial" w:cs="Arial" w:eastAsia="Arial" w:hint="default"/>
          <w:spacing w:val="-3"/>
          <w:w w:val="99"/>
          <w:sz w:val="21"/>
          <w:szCs w:val="21"/>
        </w:rPr>
        <w:t>1</w:t>
      </w:r>
      <w:r>
        <w:rPr>
          <w:rFonts w:ascii="宋体" w:hAnsi="宋体" w:cs="宋体" w:eastAsia="宋体" w:hint="default"/>
          <w:spacing w:val="-3"/>
          <w:w w:val="99"/>
          <w:sz w:val="21"/>
          <w:szCs w:val="21"/>
        </w:rPr>
        <w:t>）按照企业会</w:t>
      </w:r>
    </w:p>
    <w:p>
      <w:pPr>
        <w:spacing w:line="338" w:lineRule="auto" w:before="5"/>
        <w:ind w:left="119" w:right="114" w:firstLine="0"/>
        <w:jc w:val="left"/>
        <w:rPr>
          <w:rFonts w:ascii="宋体" w:hAnsi="宋体" w:cs="宋体" w:eastAsia="宋体" w:hint="default"/>
          <w:sz w:val="21"/>
          <w:szCs w:val="21"/>
        </w:rPr>
      </w:pPr>
      <w:r>
        <w:rPr>
          <w:rFonts w:ascii="宋体" w:hAnsi="宋体" w:cs="宋体" w:eastAsia="宋体" w:hint="default"/>
          <w:spacing w:val="-3"/>
          <w:w w:val="99"/>
          <w:sz w:val="21"/>
          <w:szCs w:val="21"/>
        </w:rPr>
        <w:t>计准则的规定编制财务报表，并使其实现公允反映；（</w:t>
      </w:r>
      <w:r>
        <w:rPr>
          <w:rFonts w:ascii="Arial" w:hAnsi="Arial" w:cs="Arial" w:eastAsia="Arial" w:hint="default"/>
          <w:spacing w:val="-3"/>
          <w:w w:val="99"/>
          <w:sz w:val="21"/>
          <w:szCs w:val="21"/>
        </w:rPr>
        <w:t>2</w:t>
      </w:r>
      <w:r>
        <w:rPr>
          <w:rFonts w:ascii="宋体" w:hAnsi="宋体" w:cs="宋体" w:eastAsia="宋体" w:hint="default"/>
          <w:spacing w:val="-3"/>
          <w:w w:val="99"/>
          <w:sz w:val="21"/>
          <w:szCs w:val="21"/>
        </w:rPr>
        <w:t>）设计、执行和维护必要的内部控制，</w:t>
      </w:r>
      <w:r>
        <w:rPr>
          <w:rFonts w:ascii="宋体" w:hAnsi="宋体" w:cs="宋体" w:eastAsia="宋体" w:hint="default"/>
          <w:spacing w:val="-71"/>
          <w:w w:val="99"/>
          <w:sz w:val="21"/>
          <w:szCs w:val="21"/>
        </w:rPr>
        <w:t> </w:t>
      </w:r>
      <w:r>
        <w:rPr>
          <w:rFonts w:ascii="宋体" w:hAnsi="宋体" w:cs="宋体" w:eastAsia="宋体" w:hint="default"/>
          <w:spacing w:val="-71"/>
          <w:w w:val="99"/>
          <w:sz w:val="21"/>
          <w:szCs w:val="21"/>
        </w:rPr>
      </w:r>
      <w:r>
        <w:rPr>
          <w:rFonts w:ascii="宋体" w:hAnsi="宋体" w:cs="宋体" w:eastAsia="宋体" w:hint="default"/>
          <w:sz w:val="21"/>
          <w:szCs w:val="21"/>
        </w:rPr>
        <w:t>以使财务报表不存在由于舞弊或错误而导致的重大错报。</w:t>
      </w:r>
    </w:p>
    <w:p>
      <w:pPr>
        <w:spacing w:line="357" w:lineRule="auto" w:before="47"/>
        <w:ind w:left="539" w:right="114" w:firstLine="2"/>
        <w:jc w:val="left"/>
        <w:rPr>
          <w:rFonts w:ascii="宋体" w:hAnsi="宋体" w:cs="宋体" w:eastAsia="宋体" w:hint="default"/>
          <w:sz w:val="21"/>
          <w:szCs w:val="21"/>
        </w:rPr>
      </w:pPr>
      <w:r>
        <w:rPr>
          <w:rFonts w:ascii="宋体" w:hAnsi="宋体" w:cs="宋体" w:eastAsia="宋体" w:hint="default"/>
          <w:b/>
          <w:bCs/>
          <w:sz w:val="21"/>
          <w:szCs w:val="21"/>
        </w:rPr>
        <w:t>二、注册会计师的责任</w:t>
      </w:r>
      <w:r>
        <w:rPr>
          <w:rFonts w:ascii="宋体" w:hAnsi="宋体" w:cs="宋体" w:eastAsia="宋体" w:hint="default"/>
          <w:b/>
          <w:bCs/>
          <w:w w:val="99"/>
          <w:sz w:val="21"/>
          <w:szCs w:val="21"/>
        </w:rPr>
        <w:t> </w:t>
      </w:r>
      <w:r>
        <w:rPr>
          <w:rFonts w:ascii="宋体" w:hAnsi="宋体" w:cs="宋体" w:eastAsia="宋体" w:hint="default"/>
          <w:sz w:val="21"/>
          <w:szCs w:val="21"/>
        </w:rPr>
        <w:t>我们的责任是在执行审计工作的基础上对财务报表发表审计意见。我们按照中国注册会计</w:t>
      </w:r>
    </w:p>
    <w:p>
      <w:pPr>
        <w:spacing w:line="357" w:lineRule="auto" w:before="30"/>
        <w:ind w:left="119" w:right="114" w:firstLine="0"/>
        <w:jc w:val="left"/>
        <w:rPr>
          <w:rFonts w:ascii="宋体" w:hAnsi="宋体" w:cs="宋体" w:eastAsia="宋体" w:hint="default"/>
          <w:sz w:val="21"/>
          <w:szCs w:val="21"/>
        </w:rPr>
      </w:pPr>
      <w:r>
        <w:rPr>
          <w:rFonts w:ascii="宋体" w:hAnsi="宋体" w:cs="宋体" w:eastAsia="宋体" w:hint="default"/>
          <w:sz w:val="21"/>
          <w:szCs w:val="21"/>
        </w:rPr>
        <w:t>师审计准则的规定执行了审计工作。中国注册会计师审计准则要求我们遵守中国注册会计师职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业道德守则，计划和执行审计工作以对财务报表是否不存在重大错报获取合理保证。</w:t>
      </w:r>
    </w:p>
    <w:p>
      <w:pPr>
        <w:spacing w:line="357" w:lineRule="auto" w:before="30"/>
        <w:ind w:left="119" w:right="219" w:firstLine="420"/>
        <w:jc w:val="both"/>
        <w:rPr>
          <w:rFonts w:ascii="宋体" w:hAnsi="宋体" w:cs="宋体" w:eastAsia="宋体" w:hint="default"/>
          <w:sz w:val="21"/>
          <w:szCs w:val="21"/>
        </w:rPr>
      </w:pPr>
      <w:r>
        <w:rPr>
          <w:rFonts w:ascii="宋体" w:hAnsi="宋体" w:cs="宋体" w:eastAsia="宋体" w:hint="default"/>
          <w:sz w:val="21"/>
          <w:szCs w:val="21"/>
        </w:rPr>
        <w:t>审计工作涉及实施审计程序，以获取有关财务报表金额和披露的审计证据。选择的审计程 序取决于注册会计师的判断，包括对由于舞弊或错误导致的财务报表重大错报风险的评估。在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进行风险评估时，注册会计师考虑与财务报表编制和公允列报相关的内部控制，以设计恰当的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审计程序，但目的并非对内部控制的有效性发表意见。审计工作还包括评价管理层选用会计政</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策的恰当性和做出会计估计的合理性，以及评价财务报表的总体列报。</w:t>
      </w:r>
    </w:p>
    <w:p>
      <w:pPr>
        <w:spacing w:line="357" w:lineRule="auto" w:before="30"/>
        <w:ind w:left="539" w:right="114" w:firstLine="0"/>
        <w:jc w:val="left"/>
        <w:rPr>
          <w:rFonts w:ascii="宋体" w:hAnsi="宋体" w:cs="宋体" w:eastAsia="宋体" w:hint="default"/>
          <w:sz w:val="21"/>
          <w:szCs w:val="21"/>
        </w:rPr>
      </w:pPr>
      <w:r>
        <w:rPr>
          <w:rFonts w:ascii="宋体" w:hAnsi="宋体" w:cs="宋体" w:eastAsia="宋体" w:hint="default"/>
          <w:sz w:val="21"/>
          <w:szCs w:val="21"/>
        </w:rPr>
        <w:t>我们相信，我们获取的审计证据是充分、适当的，为发表审计意见提供了基础。 </w:t>
      </w:r>
      <w:r>
        <w:rPr>
          <w:rFonts w:ascii="宋体" w:hAnsi="宋体" w:cs="宋体" w:eastAsia="宋体" w:hint="default"/>
          <w:b/>
          <w:bCs/>
          <w:sz w:val="21"/>
          <w:szCs w:val="21"/>
        </w:rPr>
        <w:t>三、审计意见</w:t>
      </w:r>
      <w:r>
        <w:rPr>
          <w:rFonts w:ascii="宋体" w:hAnsi="宋体" w:cs="宋体" w:eastAsia="宋体" w:hint="default"/>
          <w:b/>
          <w:bCs/>
          <w:w w:val="99"/>
          <w:sz w:val="21"/>
          <w:szCs w:val="21"/>
        </w:rPr>
        <w:t> </w:t>
      </w:r>
      <w:r>
        <w:rPr>
          <w:rFonts w:ascii="宋体" w:hAnsi="宋体" w:cs="宋体" w:eastAsia="宋体" w:hint="default"/>
          <w:sz w:val="21"/>
          <w:szCs w:val="21"/>
        </w:rPr>
        <w:t>我们认为，美亚柏科公司财务报表在所有重大方面按照企业会计准则的规定编制，公允反</w:t>
      </w:r>
    </w:p>
    <w:p>
      <w:pPr>
        <w:spacing w:line="338" w:lineRule="auto" w:before="30"/>
        <w:ind w:left="118" w:right="213" w:firstLine="0"/>
        <w:jc w:val="left"/>
        <w:rPr>
          <w:rFonts w:ascii="宋体" w:hAnsi="宋体" w:cs="宋体" w:eastAsia="宋体" w:hint="default"/>
          <w:sz w:val="21"/>
          <w:szCs w:val="21"/>
        </w:rPr>
      </w:pPr>
      <w:r>
        <w:rPr>
          <w:rFonts w:ascii="宋体" w:hAnsi="宋体" w:cs="宋体" w:eastAsia="宋体" w:hint="default"/>
          <w:sz w:val="21"/>
          <w:szCs w:val="21"/>
        </w:rPr>
        <w:t>映了美亚柏科公司</w:t>
      </w:r>
      <w:r>
        <w:rPr>
          <w:rFonts w:ascii="宋体" w:hAnsi="宋体" w:cs="宋体" w:eastAsia="宋体" w:hint="default"/>
          <w:spacing w:val="-63"/>
          <w:sz w:val="21"/>
          <w:szCs w:val="21"/>
        </w:rPr>
        <w:t> </w:t>
      </w:r>
      <w:r>
        <w:rPr>
          <w:rFonts w:ascii="Arial" w:hAnsi="Arial" w:cs="Arial" w:eastAsia="Arial" w:hint="default"/>
          <w:spacing w:val="-5"/>
          <w:sz w:val="21"/>
          <w:szCs w:val="21"/>
        </w:rPr>
        <w:t>2011</w:t>
      </w:r>
      <w:r>
        <w:rPr>
          <w:rFonts w:ascii="Arial" w:hAnsi="Arial" w:cs="Arial" w:eastAsia="Arial" w:hint="default"/>
          <w:spacing w:val="-16"/>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Arial" w:hAnsi="Arial" w:cs="Arial" w:eastAsia="Arial" w:hint="default"/>
          <w:sz w:val="21"/>
          <w:szCs w:val="21"/>
        </w:rPr>
        <w:t>12</w:t>
      </w:r>
      <w:r>
        <w:rPr>
          <w:rFonts w:ascii="Arial" w:hAnsi="Arial" w:cs="Arial" w:eastAsia="Arial" w:hint="default"/>
          <w:spacing w:val="-16"/>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Arial" w:hAnsi="Arial" w:cs="Arial" w:eastAsia="Arial" w:hint="default"/>
          <w:sz w:val="21"/>
          <w:szCs w:val="21"/>
        </w:rPr>
        <w:t>31</w:t>
      </w:r>
      <w:r>
        <w:rPr>
          <w:rFonts w:ascii="Arial" w:hAnsi="Arial" w:cs="Arial" w:eastAsia="Arial" w:hint="default"/>
          <w:spacing w:val="-16"/>
          <w:sz w:val="21"/>
          <w:szCs w:val="21"/>
        </w:rPr>
        <w:t> </w:t>
      </w:r>
      <w:r>
        <w:rPr>
          <w:rFonts w:ascii="宋体" w:hAnsi="宋体" w:cs="宋体" w:eastAsia="宋体" w:hint="default"/>
          <w:sz w:val="21"/>
          <w:szCs w:val="21"/>
        </w:rPr>
        <w:t>日的合并及公司财务状况以及</w:t>
      </w:r>
      <w:r>
        <w:rPr>
          <w:rFonts w:ascii="宋体" w:hAnsi="宋体" w:cs="宋体" w:eastAsia="宋体" w:hint="default"/>
          <w:spacing w:val="-63"/>
          <w:sz w:val="21"/>
          <w:szCs w:val="21"/>
        </w:rPr>
        <w:t> </w:t>
      </w:r>
      <w:r>
        <w:rPr>
          <w:rFonts w:ascii="Arial" w:hAnsi="Arial" w:cs="Arial" w:eastAsia="Arial" w:hint="default"/>
          <w:spacing w:val="-5"/>
          <w:sz w:val="21"/>
          <w:szCs w:val="21"/>
        </w:rPr>
        <w:t>2011</w:t>
      </w:r>
      <w:r>
        <w:rPr>
          <w:rFonts w:ascii="Arial" w:hAnsi="Arial" w:cs="Arial" w:eastAsia="Arial" w:hint="default"/>
          <w:spacing w:val="-16"/>
          <w:sz w:val="21"/>
          <w:szCs w:val="21"/>
        </w:rPr>
        <w:t> </w:t>
      </w:r>
      <w:r>
        <w:rPr>
          <w:rFonts w:ascii="宋体" w:hAnsi="宋体" w:cs="宋体" w:eastAsia="宋体" w:hint="default"/>
          <w:sz w:val="21"/>
          <w:szCs w:val="21"/>
        </w:rPr>
        <w:t>年度的合并及公司经营 成果和现金流量。</w:t>
      </w:r>
    </w:p>
    <w:p>
      <w:pPr>
        <w:tabs>
          <w:tab w:pos="7024" w:val="left" w:leader="none"/>
        </w:tabs>
        <w:spacing w:line="273" w:lineRule="exact" w:before="46"/>
        <w:ind w:left="5338" w:right="114" w:firstLine="0"/>
        <w:jc w:val="left"/>
        <w:rPr>
          <w:rFonts w:ascii="宋体" w:hAnsi="宋体" w:cs="宋体" w:eastAsia="宋体" w:hint="default"/>
          <w:sz w:val="21"/>
          <w:szCs w:val="21"/>
        </w:rPr>
      </w:pPr>
      <w:r>
        <w:rPr>
          <w:rFonts w:ascii="宋体" w:hAnsi="宋体" w:cs="宋体" w:eastAsia="宋体" w:hint="default"/>
          <w:b/>
          <w:bCs/>
          <w:w w:val="95"/>
          <w:sz w:val="21"/>
          <w:szCs w:val="21"/>
        </w:rPr>
        <w:t>中国注册会计师</w:t>
        <w:tab/>
      </w:r>
      <w:r>
        <w:rPr>
          <w:rFonts w:ascii="宋体" w:hAnsi="宋体" w:cs="宋体" w:eastAsia="宋体" w:hint="default"/>
          <w:b/>
          <w:bCs/>
          <w:sz w:val="21"/>
          <w:szCs w:val="21"/>
          <w:u w:val="single" w:color="000000"/>
        </w:rPr>
        <w:t>周俊超</w:t>
      </w:r>
      <w:r>
        <w:rPr>
          <w:rFonts w:ascii="宋体" w:hAnsi="宋体" w:cs="宋体" w:eastAsia="宋体" w:hint="default"/>
          <w:b/>
          <w:bCs/>
          <w:sz w:val="21"/>
          <w:szCs w:val="21"/>
        </w:rPr>
      </w:r>
      <w:r>
        <w:rPr>
          <w:rFonts w:ascii="宋体" w:hAnsi="宋体" w:cs="宋体" w:eastAsia="宋体" w:hint="default"/>
          <w:sz w:val="21"/>
          <w:szCs w:val="21"/>
        </w:rPr>
      </w:r>
    </w:p>
    <w:p>
      <w:pPr>
        <w:spacing w:line="273" w:lineRule="exact" w:before="0"/>
        <w:ind w:left="657" w:right="114" w:firstLine="0"/>
        <w:jc w:val="left"/>
        <w:rPr>
          <w:rFonts w:ascii="宋体" w:hAnsi="宋体" w:cs="宋体" w:eastAsia="宋体" w:hint="default"/>
          <w:sz w:val="21"/>
          <w:szCs w:val="21"/>
        </w:rPr>
      </w:pPr>
      <w:r>
        <w:rPr>
          <w:rFonts w:ascii="宋体" w:hAnsi="宋体" w:cs="宋体" w:eastAsia="宋体" w:hint="default"/>
          <w:b/>
          <w:bCs/>
          <w:sz w:val="21"/>
          <w:szCs w:val="21"/>
        </w:rPr>
        <w:t>天健正信会计师事务所有限公司</w:t>
      </w:r>
      <w:r>
        <w:rPr>
          <w:rFonts w:ascii="宋体" w:hAnsi="宋体" w:cs="宋体" w:eastAsia="宋体" w:hint="default"/>
          <w:sz w:val="21"/>
          <w:szCs w:val="21"/>
        </w:rPr>
      </w:r>
    </w:p>
    <w:p>
      <w:pPr>
        <w:tabs>
          <w:tab w:pos="1807" w:val="left" w:leader="none"/>
          <w:tab w:pos="2227" w:val="left" w:leader="none"/>
          <w:tab w:pos="5339" w:val="left" w:leader="none"/>
          <w:tab w:pos="7026" w:val="left" w:leader="none"/>
        </w:tabs>
        <w:spacing w:line="272" w:lineRule="exact" w:before="0"/>
        <w:ind w:left="1173" w:right="114" w:firstLine="0"/>
        <w:jc w:val="left"/>
        <w:rPr>
          <w:rFonts w:ascii="宋体" w:hAnsi="宋体" w:cs="宋体" w:eastAsia="宋体" w:hint="default"/>
          <w:sz w:val="21"/>
          <w:szCs w:val="21"/>
        </w:rPr>
      </w:pPr>
      <w:r>
        <w:rPr>
          <w:rFonts w:ascii="宋体" w:hAnsi="宋体" w:cs="宋体" w:eastAsia="宋体" w:hint="default"/>
          <w:b/>
          <w:bCs/>
          <w:w w:val="95"/>
          <w:sz w:val="21"/>
          <w:szCs w:val="21"/>
        </w:rPr>
        <w:t>中国</w:t>
        <w:tab/>
        <w:t>·</w:t>
        <w:tab/>
        <w:t>北京</w:t>
        <w:tab/>
        <w:t>中国注册会计师</w:t>
        <w:tab/>
      </w:r>
      <w:r>
        <w:rPr>
          <w:rFonts w:ascii="宋体" w:hAnsi="宋体" w:cs="宋体" w:eastAsia="宋体" w:hint="default"/>
          <w:b/>
          <w:bCs/>
          <w:sz w:val="21"/>
          <w:szCs w:val="21"/>
          <w:u w:val="single" w:color="000000"/>
        </w:rPr>
        <w:t>吴莉莉</w:t>
      </w:r>
      <w:r>
        <w:rPr>
          <w:rFonts w:ascii="宋体" w:hAnsi="宋体" w:cs="宋体" w:eastAsia="宋体" w:hint="default"/>
          <w:b/>
          <w:bCs/>
          <w:sz w:val="21"/>
          <w:szCs w:val="21"/>
        </w:rPr>
      </w:r>
      <w:r>
        <w:rPr>
          <w:rFonts w:ascii="宋体" w:hAnsi="宋体" w:cs="宋体" w:eastAsia="宋体" w:hint="default"/>
          <w:sz w:val="21"/>
          <w:szCs w:val="21"/>
        </w:rPr>
      </w:r>
    </w:p>
    <w:p>
      <w:pPr>
        <w:spacing w:line="240" w:lineRule="auto" w:before="7"/>
        <w:rPr>
          <w:rFonts w:ascii="宋体" w:hAnsi="宋体" w:cs="宋体" w:eastAsia="宋体" w:hint="default"/>
          <w:b/>
          <w:bCs/>
          <w:sz w:val="15"/>
          <w:szCs w:val="15"/>
        </w:rPr>
      </w:pPr>
    </w:p>
    <w:p>
      <w:pPr>
        <w:spacing w:before="35"/>
        <w:ind w:left="5348" w:right="114" w:firstLine="0"/>
        <w:jc w:val="left"/>
        <w:rPr>
          <w:rFonts w:ascii="宋体" w:hAnsi="宋体" w:cs="宋体" w:eastAsia="宋体" w:hint="default"/>
          <w:sz w:val="21"/>
          <w:szCs w:val="21"/>
        </w:rPr>
      </w:pPr>
      <w:r>
        <w:rPr>
          <w:rFonts w:ascii="宋体" w:hAnsi="宋体" w:cs="宋体" w:eastAsia="宋体" w:hint="default"/>
          <w:sz w:val="21"/>
          <w:szCs w:val="21"/>
        </w:rPr>
        <w:t>报告日期：</w:t>
      </w:r>
      <w:r>
        <w:rPr>
          <w:rFonts w:ascii="宋体" w:hAnsi="宋体" w:cs="宋体" w:eastAsia="宋体" w:hint="default"/>
          <w:spacing w:val="-2"/>
          <w:sz w:val="21"/>
          <w:szCs w:val="21"/>
        </w:rPr>
        <w:t> </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z w:val="21"/>
          <w:szCs w:val="21"/>
          <w:shd w:fill="FFFF00" w:color="auto" w:val="clear"/>
        </w:rPr>
        <w:t>2012</w:t>
      </w:r>
      <w:r>
        <w:rPr>
          <w:rFonts w:ascii="Times New Roman" w:hAnsi="Times New Roman" w:cs="Times New Roman" w:eastAsia="Times New Roman" w:hint="default"/>
          <w:spacing w:val="-2"/>
          <w:sz w:val="21"/>
          <w:szCs w:val="21"/>
          <w:shd w:fill="FFFF00" w:color="auto" w:val="clear"/>
        </w:rPr>
        <w:t> </w:t>
      </w:r>
      <w:r>
        <w:rPr>
          <w:rFonts w:ascii="宋体" w:hAnsi="宋体" w:cs="宋体" w:eastAsia="宋体" w:hint="default"/>
          <w:sz w:val="21"/>
          <w:szCs w:val="21"/>
          <w:shd w:fill="FFFF00" w:color="auto" w:val="clear"/>
        </w:rPr>
        <w:t>年</w:t>
      </w:r>
      <w:r>
        <w:rPr>
          <w:rFonts w:ascii="宋体" w:hAnsi="宋体" w:cs="宋体" w:eastAsia="宋体" w:hint="default"/>
          <w:spacing w:val="-54"/>
          <w:sz w:val="21"/>
          <w:szCs w:val="21"/>
          <w:shd w:fill="FFFF00" w:color="auto" w:val="clear"/>
        </w:rPr>
        <w:t> </w:t>
      </w:r>
      <w:r>
        <w:rPr>
          <w:rFonts w:ascii="Times New Roman" w:hAnsi="Times New Roman" w:cs="Times New Roman" w:eastAsia="Times New Roman" w:hint="default"/>
          <w:sz w:val="21"/>
          <w:szCs w:val="21"/>
          <w:shd w:fill="FFFF00" w:color="auto" w:val="clear"/>
        </w:rPr>
        <w:t>3</w:t>
      </w:r>
      <w:r>
        <w:rPr>
          <w:rFonts w:ascii="Times New Roman" w:hAnsi="Times New Roman" w:cs="Times New Roman" w:eastAsia="Times New Roman" w:hint="default"/>
          <w:spacing w:val="-2"/>
          <w:sz w:val="21"/>
          <w:szCs w:val="21"/>
          <w:shd w:fill="FFFF00" w:color="auto" w:val="clear"/>
        </w:rPr>
        <w:t> </w:t>
      </w:r>
      <w:r>
        <w:rPr>
          <w:rFonts w:ascii="宋体" w:hAnsi="宋体" w:cs="宋体" w:eastAsia="宋体" w:hint="default"/>
          <w:sz w:val="21"/>
          <w:szCs w:val="21"/>
          <w:shd w:fill="FFFF00" w:color="auto" w:val="clear"/>
        </w:rPr>
        <w:t>月</w:t>
      </w:r>
      <w:r>
        <w:rPr>
          <w:rFonts w:ascii="宋体" w:hAnsi="宋体" w:cs="宋体" w:eastAsia="宋体" w:hint="default"/>
          <w:spacing w:val="-55"/>
          <w:sz w:val="21"/>
          <w:szCs w:val="21"/>
          <w:shd w:fill="FFFF00" w:color="auto" w:val="clear"/>
        </w:rPr>
        <w:t> </w:t>
      </w:r>
      <w:r>
        <w:rPr>
          <w:rFonts w:ascii="Times New Roman" w:hAnsi="Times New Roman" w:cs="Times New Roman" w:eastAsia="Times New Roman" w:hint="default"/>
          <w:sz w:val="21"/>
          <w:szCs w:val="21"/>
          <w:shd w:fill="FFFF00" w:color="auto" w:val="clear"/>
        </w:rPr>
        <w:t>28</w:t>
      </w:r>
      <w:r>
        <w:rPr>
          <w:rFonts w:ascii="Times New Roman" w:hAnsi="Times New Roman" w:cs="Times New Roman" w:eastAsia="Times New Roman" w:hint="default"/>
          <w:spacing w:val="-1"/>
          <w:sz w:val="21"/>
          <w:szCs w:val="21"/>
          <w:shd w:fill="FFFF00" w:color="auto" w:val="clear"/>
        </w:rPr>
        <w:t> </w:t>
      </w:r>
      <w:r>
        <w:rPr>
          <w:rFonts w:ascii="宋体" w:hAnsi="宋体" w:cs="宋体" w:eastAsia="宋体" w:hint="default"/>
          <w:sz w:val="21"/>
          <w:szCs w:val="21"/>
          <w:shd w:fill="FFFF00" w:color="auto" w:val="clear"/>
        </w:rPr>
        <w:t>日</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2240" w:h="15840"/>
          <w:pgMar w:header="0" w:footer="688" w:top="1500" w:bottom="880" w:left="1680" w:right="1580"/>
        </w:sectPr>
      </w:pPr>
    </w:p>
    <w:p>
      <w:pPr>
        <w:pStyle w:val="Heading1"/>
        <w:spacing w:line="405" w:lineRule="exact"/>
        <w:ind w:right="1"/>
        <w:jc w:val="center"/>
        <w:rPr>
          <w:b w:val="0"/>
          <w:bCs w:val="0"/>
        </w:rPr>
      </w:pPr>
      <w:bookmarkStart w:name="财务报表" w:id="11"/>
      <w:bookmarkEnd w:id="11"/>
      <w:r>
        <w:rPr>
          <w:b w:val="0"/>
          <w:bCs w:val="0"/>
        </w:rPr>
      </w:r>
      <w:r>
        <w:rPr/>
        <w:t>财务报表</w:t>
      </w:r>
      <w:r>
        <w:rPr>
          <w:b w:val="0"/>
          <w:bCs w:val="0"/>
        </w:rPr>
      </w:r>
    </w:p>
    <w:p>
      <w:pPr>
        <w:spacing w:line="240" w:lineRule="auto" w:before="11"/>
        <w:rPr>
          <w:rFonts w:ascii="黑体" w:hAnsi="黑体" w:cs="黑体" w:eastAsia="黑体" w:hint="default"/>
          <w:b/>
          <w:bCs/>
          <w:sz w:val="40"/>
          <w:szCs w:val="40"/>
        </w:rPr>
      </w:pPr>
    </w:p>
    <w:p>
      <w:pPr>
        <w:spacing w:before="0"/>
        <w:ind w:left="0" w:right="1" w:firstLine="0"/>
        <w:jc w:val="center"/>
        <w:rPr>
          <w:rFonts w:ascii="宋体" w:hAnsi="宋体" w:cs="宋体" w:eastAsia="宋体" w:hint="default"/>
          <w:sz w:val="32"/>
          <w:szCs w:val="32"/>
        </w:rPr>
      </w:pPr>
      <w:r>
        <w:rPr>
          <w:rFonts w:ascii="宋体" w:hAnsi="宋体" w:cs="宋体" w:eastAsia="宋体" w:hint="default"/>
          <w:b/>
          <w:bCs/>
          <w:sz w:val="32"/>
          <w:szCs w:val="32"/>
        </w:rPr>
        <w:t>资产负债表</w:t>
      </w:r>
      <w:r>
        <w:rPr>
          <w:rFonts w:ascii="宋体" w:hAnsi="宋体" w:cs="宋体" w:eastAsia="宋体" w:hint="default"/>
          <w:sz w:val="32"/>
          <w:szCs w:val="32"/>
        </w:rPr>
      </w:r>
    </w:p>
    <w:p>
      <w:pPr>
        <w:spacing w:line="240" w:lineRule="auto" w:before="5"/>
        <w:rPr>
          <w:rFonts w:ascii="宋体" w:hAnsi="宋体" w:cs="宋体" w:eastAsia="宋体" w:hint="default"/>
          <w:b/>
          <w:bCs/>
          <w:sz w:val="14"/>
          <w:szCs w:val="14"/>
        </w:rPr>
      </w:pPr>
    </w:p>
    <w:p>
      <w:pPr>
        <w:spacing w:before="35"/>
        <w:ind w:left="0" w:right="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before="117"/>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01</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7446" w:val="left" w:leader="none"/>
        </w:tabs>
        <w:spacing w:before="118"/>
        <w:ind w:left="239" w:right="133" w:firstLine="0"/>
        <w:jc w:val="left"/>
        <w:rPr>
          <w:rFonts w:ascii="宋体" w:hAnsi="宋体" w:cs="宋体" w:eastAsia="宋体" w:hint="default"/>
          <w:sz w:val="21"/>
          <w:szCs w:val="21"/>
        </w:rPr>
      </w:pPr>
      <w:r>
        <w:rPr>
          <w:rFonts w:ascii="宋体" w:hAnsi="宋体" w:cs="宋体" w:eastAsia="宋体" w:hint="default"/>
          <w:spacing w:val="-2"/>
          <w:sz w:val="21"/>
          <w:szCs w:val="21"/>
        </w:rPr>
        <w:t>编制单位：厦门市美亚柏科信息股份有限公司</w:t>
        <w:tab/>
      </w:r>
      <w:r>
        <w:rPr>
          <w:rFonts w:ascii="宋体" w:hAnsi="宋体" w:cs="宋体" w:eastAsia="宋体" w:hint="default"/>
          <w:spacing w:val="-6"/>
          <w:sz w:val="21"/>
          <w:szCs w:val="21"/>
        </w:rPr>
        <w:t>单位：人民币元</w:t>
      </w:r>
    </w:p>
    <w:p>
      <w:pPr>
        <w:spacing w:line="240" w:lineRule="auto" w:before="11"/>
        <w:rPr>
          <w:rFonts w:ascii="宋体" w:hAnsi="宋体" w:cs="宋体" w:eastAsia="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1777"/>
        <w:gridCol w:w="796"/>
        <w:gridCol w:w="1357"/>
        <w:gridCol w:w="1357"/>
        <w:gridCol w:w="856"/>
        <w:gridCol w:w="1357"/>
        <w:gridCol w:w="1357"/>
      </w:tblGrid>
      <w:tr>
        <w:trPr>
          <w:trHeight w:val="367" w:hRule="exact"/>
        </w:trPr>
        <w:tc>
          <w:tcPr>
            <w:tcW w:w="1777" w:type="dxa"/>
            <w:vMerge w:val="restart"/>
            <w:tcBorders>
              <w:top w:val="single" w:sz="12" w:space="0" w:color="000000"/>
              <w:left w:val="single" w:sz="12" w:space="0" w:color="000000"/>
              <w:right w:val="single" w:sz="6"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tabs>
                <w:tab w:pos="1234" w:val="left" w:leader="none"/>
              </w:tabs>
              <w:spacing w:line="240" w:lineRule="auto"/>
              <w:ind w:left="331" w:right="0"/>
              <w:jc w:val="left"/>
              <w:rPr>
                <w:rFonts w:ascii="宋体" w:hAnsi="宋体" w:cs="宋体" w:eastAsia="宋体" w:hint="default"/>
                <w:sz w:val="18"/>
                <w:szCs w:val="18"/>
              </w:rPr>
            </w:pPr>
            <w:r>
              <w:rPr>
                <w:rFonts w:ascii="宋体" w:hAnsi="宋体" w:cs="宋体" w:eastAsia="宋体" w:hint="default"/>
                <w:b/>
                <w:bCs/>
                <w:w w:val="95"/>
                <w:sz w:val="18"/>
                <w:szCs w:val="18"/>
              </w:rPr>
              <w:t>资</w:t>
              <w:tab/>
            </w:r>
            <w:r>
              <w:rPr>
                <w:rFonts w:ascii="宋体" w:hAnsi="宋体" w:cs="宋体" w:eastAsia="宋体" w:hint="default"/>
                <w:b/>
                <w:bCs/>
                <w:sz w:val="18"/>
                <w:szCs w:val="18"/>
              </w:rPr>
              <w:t>产</w:t>
            </w:r>
            <w:r>
              <w:rPr>
                <w:rFonts w:ascii="宋体" w:hAnsi="宋体" w:cs="宋体" w:eastAsia="宋体" w:hint="default"/>
                <w:sz w:val="18"/>
                <w:szCs w:val="18"/>
              </w:rPr>
            </w:r>
          </w:p>
        </w:tc>
        <w:tc>
          <w:tcPr>
            <w:tcW w:w="3510"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25"/>
              <w:ind w:right="1"/>
              <w:jc w:val="center"/>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sz w:val="18"/>
                <w:szCs w:val="18"/>
              </w:rPr>
            </w:r>
          </w:p>
        </w:tc>
        <w:tc>
          <w:tcPr>
            <w:tcW w:w="3569" w:type="dxa"/>
            <w:gridSpan w:val="3"/>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5"/>
              <w:ind w:left="99" w:right="0"/>
              <w:jc w:val="center"/>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c>
      </w:tr>
      <w:tr>
        <w:trPr>
          <w:trHeight w:val="346" w:hRule="exact"/>
        </w:trPr>
        <w:tc>
          <w:tcPr>
            <w:tcW w:w="1777" w:type="dxa"/>
            <w:vMerge/>
            <w:tcBorders>
              <w:left w:val="single" w:sz="12" w:space="0" w:color="000000"/>
              <w:bottom w:val="single" w:sz="6" w:space="0" w:color="000000"/>
              <w:right w:val="single" w:sz="6" w:space="0" w:color="000000"/>
            </w:tcBorders>
          </w:tcPr>
          <w:p>
            <w:pP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30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30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right="0"/>
              <w:jc w:val="center"/>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30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9"/>
              <w:ind w:left="30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18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五（一）</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551,280,614.43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99,706,990.64</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528,296,232.80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96,350,501.52</w:t>
            </w:r>
            <w:r>
              <w:rPr>
                <w:rFonts w:ascii="Arial Narrow"/>
                <w:sz w:val="20"/>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right="128"/>
              <w:jc w:val="right"/>
              <w:rPr>
                <w:rFonts w:ascii="宋体" w:hAnsi="宋体" w:cs="宋体" w:eastAsia="宋体" w:hint="default"/>
                <w:sz w:val="18"/>
                <w:szCs w:val="18"/>
              </w:rPr>
            </w:pPr>
            <w:r>
              <w:rPr>
                <w:rFonts w:ascii="宋体" w:hAnsi="宋体" w:cs="宋体" w:eastAsia="宋体" w:hint="default"/>
                <w:sz w:val="18"/>
                <w:szCs w:val="18"/>
              </w:rPr>
              <w:t>交易性金融资产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五（二）</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85,637,767.36</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41,724,473.41</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79" w:right="0"/>
              <w:jc w:val="center"/>
              <w:rPr>
                <w:rFonts w:ascii="宋体" w:hAnsi="宋体" w:cs="宋体" w:eastAsia="宋体" w:hint="default"/>
                <w:sz w:val="16"/>
                <w:szCs w:val="16"/>
              </w:rPr>
            </w:pPr>
            <w:r>
              <w:rPr>
                <w:rFonts w:ascii="宋体" w:hAnsi="宋体" w:cs="宋体" w:eastAsia="宋体" w:hint="default"/>
                <w:w w:val="99"/>
                <w:sz w:val="16"/>
                <w:szCs w:val="16"/>
              </w:rPr>
              <w:t>十</w:t>
            </w:r>
            <w:r>
              <w:rPr>
                <w:rFonts w:ascii="宋体" w:hAnsi="宋体" w:cs="宋体" w:eastAsia="宋体" w:hint="default"/>
                <w:spacing w:val="-81"/>
                <w:w w:val="99"/>
                <w:sz w:val="16"/>
                <w:szCs w:val="16"/>
              </w:rPr>
              <w:t>一</w:t>
            </w:r>
            <w:r>
              <w:rPr>
                <w:rFonts w:ascii="宋体" w:hAnsi="宋体" w:cs="宋体" w:eastAsia="宋体" w:hint="default"/>
                <w:spacing w:val="1"/>
                <w:w w:val="99"/>
                <w:sz w:val="16"/>
                <w:szCs w:val="16"/>
              </w:rPr>
              <w:t>（</w:t>
            </w:r>
            <w:r>
              <w:rPr>
                <w:rFonts w:ascii="宋体" w:hAnsi="宋体" w:cs="宋体" w:eastAsia="宋体" w:hint="default"/>
                <w:spacing w:val="-1"/>
                <w:w w:val="99"/>
                <w:sz w:val="16"/>
                <w:szCs w:val="16"/>
              </w:rPr>
              <w:t>一</w:t>
            </w:r>
            <w:r>
              <w:rPr>
                <w:rFonts w:ascii="宋体" w:hAnsi="宋体" w:cs="宋体" w:eastAsia="宋体" w:hint="default"/>
                <w:w w:val="99"/>
                <w:sz w:val="16"/>
                <w:szCs w:val="16"/>
              </w:rPr>
              <w:t>）</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83,315,947.59</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41,425,547.16</w:t>
            </w:r>
            <w:r>
              <w:rPr>
                <w:rFonts w:ascii="Arial Narrow"/>
                <w:sz w:val="20"/>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五（三）</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9,873,989.12</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4,168,258.79</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9,812,124.72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2"/>
                <w:sz w:val="20"/>
              </w:rPr>
              <w:t>4,112,547.73</w:t>
            </w:r>
            <w:r>
              <w:rPr>
                <w:rFonts w:ascii="Arial Narrow"/>
                <w:sz w:val="20"/>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五（四）</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6,665,465.63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6,665,465.63</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五（五）</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23,031,463.73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5,076,056.39</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79" w:right="0"/>
              <w:jc w:val="center"/>
              <w:rPr>
                <w:rFonts w:ascii="宋体" w:hAnsi="宋体" w:cs="宋体" w:eastAsia="宋体" w:hint="default"/>
                <w:sz w:val="16"/>
                <w:szCs w:val="16"/>
              </w:rPr>
            </w:pPr>
            <w:r>
              <w:rPr>
                <w:rFonts w:ascii="宋体" w:hAnsi="宋体" w:cs="宋体" w:eastAsia="宋体" w:hint="default"/>
                <w:w w:val="99"/>
                <w:sz w:val="16"/>
                <w:szCs w:val="16"/>
              </w:rPr>
              <w:t>十</w:t>
            </w:r>
            <w:r>
              <w:rPr>
                <w:rFonts w:ascii="宋体" w:hAnsi="宋体" w:cs="宋体" w:eastAsia="宋体" w:hint="default"/>
                <w:spacing w:val="-81"/>
                <w:w w:val="99"/>
                <w:sz w:val="16"/>
                <w:szCs w:val="16"/>
              </w:rPr>
              <w:t>一</w:t>
            </w:r>
            <w:r>
              <w:rPr>
                <w:rFonts w:ascii="宋体" w:hAnsi="宋体" w:cs="宋体" w:eastAsia="宋体" w:hint="default"/>
                <w:spacing w:val="1"/>
                <w:w w:val="99"/>
                <w:sz w:val="16"/>
                <w:szCs w:val="16"/>
              </w:rPr>
              <w:t>（</w:t>
            </w:r>
            <w:r>
              <w:rPr>
                <w:rFonts w:ascii="宋体" w:hAnsi="宋体" w:cs="宋体" w:eastAsia="宋体" w:hint="default"/>
                <w:spacing w:val="-1"/>
                <w:w w:val="99"/>
                <w:sz w:val="16"/>
                <w:szCs w:val="16"/>
              </w:rPr>
              <w:t>二</w:t>
            </w:r>
            <w:r>
              <w:rPr>
                <w:rFonts w:ascii="宋体" w:hAnsi="宋体" w:cs="宋体" w:eastAsia="宋体" w:hint="default"/>
                <w:w w:val="99"/>
                <w:sz w:val="16"/>
                <w:szCs w:val="16"/>
              </w:rPr>
              <w:t>）</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2"/>
                <w:sz w:val="20"/>
              </w:rPr>
              <w:t>23,119,158.92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6,330,088.20</w:t>
            </w:r>
            <w:r>
              <w:rPr>
                <w:rFonts w:ascii="Arial Narrow"/>
                <w:sz w:val="20"/>
              </w:rPr>
            </w:r>
          </w:p>
        </w:tc>
      </w:tr>
      <w:tr>
        <w:trPr>
          <w:trHeight w:val="482"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买入返售金融资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五（六）</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2"/>
                <w:sz w:val="20"/>
              </w:rPr>
              <w:t>80,513,811.26</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24,082,607.37</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2"/>
                <w:sz w:val="20"/>
              </w:rPr>
              <w:t>80,513,811.26</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24,082,607.37</w:t>
            </w:r>
            <w:r>
              <w:rPr>
                <w:rFonts w:ascii="Arial Narrow"/>
                <w:sz w:val="20"/>
              </w:rPr>
            </w:r>
          </w:p>
        </w:tc>
      </w:tr>
      <w:tr>
        <w:trPr>
          <w:trHeight w:val="482"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一年内到期的非</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78"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3"/>
                <w:sz w:val="20"/>
              </w:rPr>
              <w:t>757,003,111.53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174,758,386.60</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731,722,740.92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172,301,291.98</w:t>
            </w:r>
            <w:r>
              <w:rPr>
                <w:rFonts w:ascii="Arial Narrow"/>
                <w:sz w:val="20"/>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18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可供出售金融资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right="128"/>
              <w:jc w:val="right"/>
              <w:rPr>
                <w:rFonts w:ascii="宋体" w:hAnsi="宋体" w:cs="宋体" w:eastAsia="宋体" w:hint="default"/>
                <w:sz w:val="18"/>
                <w:szCs w:val="18"/>
              </w:rPr>
            </w:pPr>
            <w:r>
              <w:rPr>
                <w:rFonts w:ascii="宋体" w:hAnsi="宋体" w:cs="宋体" w:eastAsia="宋体" w:hint="default"/>
                <w:sz w:val="18"/>
                <w:szCs w:val="18"/>
              </w:rPr>
              <w:t>持有至到期投资</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79" w:right="0"/>
              <w:jc w:val="center"/>
              <w:rPr>
                <w:rFonts w:ascii="宋体" w:hAnsi="宋体" w:cs="宋体" w:eastAsia="宋体" w:hint="default"/>
                <w:sz w:val="16"/>
                <w:szCs w:val="16"/>
              </w:rPr>
            </w:pPr>
            <w:r>
              <w:rPr>
                <w:rFonts w:ascii="宋体" w:hAnsi="宋体" w:cs="宋体" w:eastAsia="宋体" w:hint="default"/>
                <w:w w:val="99"/>
                <w:sz w:val="16"/>
                <w:szCs w:val="16"/>
              </w:rPr>
              <w:t>十</w:t>
            </w:r>
            <w:r>
              <w:rPr>
                <w:rFonts w:ascii="宋体" w:hAnsi="宋体" w:cs="宋体" w:eastAsia="宋体" w:hint="default"/>
                <w:spacing w:val="-81"/>
                <w:w w:val="99"/>
                <w:sz w:val="16"/>
                <w:szCs w:val="16"/>
              </w:rPr>
              <w:t>一</w:t>
            </w:r>
            <w:r>
              <w:rPr>
                <w:rFonts w:ascii="宋体" w:hAnsi="宋体" w:cs="宋体" w:eastAsia="宋体" w:hint="default"/>
                <w:spacing w:val="1"/>
                <w:w w:val="99"/>
                <w:sz w:val="16"/>
                <w:szCs w:val="16"/>
              </w:rPr>
              <w:t>（</w:t>
            </w:r>
            <w:r>
              <w:rPr>
                <w:rFonts w:ascii="宋体" w:hAnsi="宋体" w:cs="宋体" w:eastAsia="宋体" w:hint="default"/>
                <w:spacing w:val="-1"/>
                <w:w w:val="99"/>
                <w:sz w:val="16"/>
                <w:szCs w:val="16"/>
              </w:rPr>
              <w:t>三</w:t>
            </w:r>
            <w:r>
              <w:rPr>
                <w:rFonts w:ascii="宋体" w:hAnsi="宋体" w:cs="宋体" w:eastAsia="宋体" w:hint="default"/>
                <w:w w:val="99"/>
                <w:sz w:val="16"/>
                <w:szCs w:val="16"/>
              </w:rPr>
              <w:t>）</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20,000,000.00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3,000,000.00</w:t>
            </w:r>
            <w:r>
              <w:rPr>
                <w:rFonts w:ascii="Arial Narrow"/>
                <w:sz w:val="20"/>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五（七）</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44,579,561.84</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37,549,848.22</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44,543,390.01</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37,494,819.83</w:t>
            </w:r>
            <w:r>
              <w:rPr>
                <w:rFonts w:ascii="Arial Narrow"/>
                <w:sz w:val="20"/>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left="58" w:right="0"/>
              <w:jc w:val="center"/>
              <w:rPr>
                <w:rFonts w:ascii="宋体" w:hAnsi="宋体" w:cs="宋体" w:eastAsia="宋体" w:hint="default"/>
                <w:sz w:val="16"/>
                <w:szCs w:val="16"/>
              </w:rPr>
            </w:pPr>
            <w:r>
              <w:rPr>
                <w:rFonts w:ascii="宋体" w:hAnsi="宋体" w:cs="宋体" w:eastAsia="宋体" w:hint="default"/>
                <w:sz w:val="16"/>
                <w:szCs w:val="16"/>
              </w:rPr>
              <w:t>五（八）</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4,772,987.52</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4,772,987.52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83" w:hRule="exact"/>
        </w:trPr>
        <w:tc>
          <w:tcPr>
            <w:tcW w:w="177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9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2240" w:h="15840"/>
          <w:pgMar w:header="0" w:footer="688" w:top="1400" w:bottom="88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777"/>
        <w:gridCol w:w="796"/>
        <w:gridCol w:w="1357"/>
        <w:gridCol w:w="1357"/>
        <w:gridCol w:w="856"/>
        <w:gridCol w:w="1357"/>
        <w:gridCol w:w="1357"/>
      </w:tblGrid>
      <w:tr>
        <w:trPr>
          <w:trHeight w:val="382" w:hRule="exact"/>
        </w:trPr>
        <w:tc>
          <w:tcPr>
            <w:tcW w:w="177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2"/>
              <w:ind w:right="128"/>
              <w:jc w:val="right"/>
              <w:rPr>
                <w:rFonts w:ascii="宋体" w:hAnsi="宋体" w:cs="宋体" w:eastAsia="宋体" w:hint="default"/>
                <w:sz w:val="18"/>
                <w:szCs w:val="18"/>
              </w:rPr>
            </w:pPr>
            <w:r>
              <w:rPr>
                <w:rFonts w:ascii="宋体" w:hAnsi="宋体" w:cs="宋体" w:eastAsia="宋体" w:hint="default"/>
                <w:sz w:val="18"/>
                <w:szCs w:val="18"/>
              </w:rPr>
              <w:t>生产性生物资产</w:t>
            </w:r>
          </w:p>
        </w:tc>
        <w:tc>
          <w:tcPr>
            <w:tcW w:w="796"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72"/>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3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41"/>
              <w:jc w:val="right"/>
              <w:rPr>
                <w:rFonts w:ascii="宋体" w:hAnsi="宋体" w:cs="宋体" w:eastAsia="宋体" w:hint="default"/>
                <w:sz w:val="16"/>
                <w:szCs w:val="16"/>
              </w:rPr>
            </w:pPr>
            <w:r>
              <w:rPr>
                <w:rFonts w:ascii="宋体" w:hAnsi="宋体" w:cs="宋体" w:eastAsia="宋体" w:hint="default"/>
                <w:w w:val="95"/>
                <w:sz w:val="16"/>
                <w:szCs w:val="16"/>
              </w:rPr>
              <w:t>五（九）</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787,252.38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121,085.24</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787,252.38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121,085.24</w:t>
            </w:r>
            <w:r>
              <w:rPr>
                <w:rFonts w:ascii="Arial Narrow"/>
                <w:sz w:val="20"/>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41"/>
              <w:jc w:val="right"/>
              <w:rPr>
                <w:rFonts w:ascii="宋体" w:hAnsi="宋体" w:cs="宋体" w:eastAsia="宋体" w:hint="default"/>
                <w:sz w:val="16"/>
                <w:szCs w:val="16"/>
              </w:rPr>
            </w:pPr>
            <w:r>
              <w:rPr>
                <w:rFonts w:ascii="宋体" w:hAnsi="宋体" w:cs="宋体" w:eastAsia="宋体" w:hint="default"/>
                <w:w w:val="95"/>
                <w:sz w:val="16"/>
                <w:szCs w:val="16"/>
              </w:rPr>
              <w:t>五（九）</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7,503,510.59</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7,503,510.59</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3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3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9"/>
              <w:ind w:right="41"/>
              <w:jc w:val="right"/>
              <w:rPr>
                <w:rFonts w:ascii="宋体" w:hAnsi="宋体" w:cs="宋体" w:eastAsia="宋体" w:hint="default"/>
                <w:sz w:val="16"/>
                <w:szCs w:val="16"/>
              </w:rPr>
            </w:pPr>
            <w:r>
              <w:rPr>
                <w:rFonts w:ascii="宋体" w:hAnsi="宋体" w:cs="宋体" w:eastAsia="宋体" w:hint="default"/>
                <w:w w:val="95"/>
                <w:sz w:val="16"/>
                <w:szCs w:val="16"/>
              </w:rPr>
              <w:t>五（十）</w:t>
            </w:r>
            <w:r>
              <w:rPr>
                <w:rFonts w:ascii="宋体" w:hAnsi="宋体" w:cs="宋体" w:eastAsia="宋体" w:hint="default"/>
                <w:sz w:val="16"/>
                <w:szCs w:val="16"/>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1,846,835.03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1,182,149.66</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1,846,835.03</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1,182,149.66</w:t>
            </w:r>
            <w:r>
              <w:rPr>
                <w:rFonts w:ascii="Arial Narrow"/>
                <w:sz w:val="20"/>
              </w:rPr>
            </w:r>
          </w:p>
        </w:tc>
      </w:tr>
      <w:tr>
        <w:trPr>
          <w:trHeight w:val="430"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right="128"/>
              <w:jc w:val="right"/>
              <w:rPr>
                <w:rFonts w:ascii="宋体" w:hAnsi="宋体" w:cs="宋体" w:eastAsia="宋体" w:hint="default"/>
                <w:sz w:val="18"/>
                <w:szCs w:val="18"/>
              </w:rPr>
            </w:pPr>
            <w:r>
              <w:rPr>
                <w:rFonts w:ascii="宋体" w:hAnsi="宋体" w:cs="宋体" w:eastAsia="宋体" w:hint="default"/>
                <w:sz w:val="18"/>
                <w:szCs w:val="18"/>
              </w:rPr>
              <w:t>递延所得税资产</w:t>
            </w:r>
          </w:p>
        </w:tc>
        <w:tc>
          <w:tcPr>
            <w:tcW w:w="796"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30"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8" w:lineRule="exact"/>
              <w:ind w:left="230" w:right="0"/>
              <w:jc w:val="left"/>
              <w:rPr>
                <w:rFonts w:ascii="宋体" w:hAnsi="宋体" w:cs="宋体" w:eastAsia="宋体" w:hint="default"/>
                <w:sz w:val="16"/>
                <w:szCs w:val="16"/>
              </w:rPr>
            </w:pPr>
            <w:r>
              <w:rPr>
                <w:rFonts w:ascii="宋体" w:hAnsi="宋体" w:cs="宋体" w:eastAsia="宋体" w:hint="default"/>
                <w:sz w:val="16"/>
                <w:szCs w:val="16"/>
              </w:rPr>
              <w:t>一）</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99"/>
              <w:jc w:val="right"/>
              <w:rPr>
                <w:rFonts w:ascii="Arial Narrow" w:hAnsi="Arial Narrow" w:cs="Arial Narrow" w:eastAsia="Arial Narrow" w:hint="default"/>
                <w:sz w:val="20"/>
                <w:szCs w:val="20"/>
              </w:rPr>
            </w:pPr>
            <w:r>
              <w:rPr>
                <w:rFonts w:ascii="Arial Narrow"/>
                <w:spacing w:val="-1"/>
                <w:sz w:val="20"/>
              </w:rPr>
              <w:t>4,386,618.98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99"/>
              <w:jc w:val="right"/>
              <w:rPr>
                <w:rFonts w:ascii="Arial Narrow" w:hAnsi="Arial Narrow" w:cs="Arial Narrow" w:eastAsia="Arial Narrow" w:hint="default"/>
                <w:sz w:val="20"/>
                <w:szCs w:val="20"/>
              </w:rPr>
            </w:pPr>
            <w:r>
              <w:rPr>
                <w:rFonts w:ascii="Arial Narrow"/>
                <w:spacing w:val="-1"/>
                <w:sz w:val="20"/>
              </w:rPr>
              <w:t>3,213,257.83</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99"/>
              <w:jc w:val="right"/>
              <w:rPr>
                <w:rFonts w:ascii="Arial Narrow" w:hAnsi="Arial Narrow" w:cs="Arial Narrow" w:eastAsia="Arial Narrow" w:hint="default"/>
                <w:sz w:val="20"/>
                <w:szCs w:val="20"/>
              </w:rPr>
            </w:pPr>
            <w:r>
              <w:rPr>
                <w:rFonts w:ascii="Arial Narrow"/>
                <w:spacing w:val="-1"/>
                <w:sz w:val="20"/>
              </w:rPr>
              <w:t>4,336,205.44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0"/>
              <w:jc w:val="right"/>
              <w:rPr>
                <w:rFonts w:ascii="Arial Narrow" w:hAnsi="Arial Narrow" w:cs="Arial Narrow" w:eastAsia="Arial Narrow" w:hint="default"/>
                <w:sz w:val="20"/>
                <w:szCs w:val="20"/>
              </w:rPr>
            </w:pPr>
            <w:r>
              <w:rPr>
                <w:rFonts w:ascii="Arial Narrow"/>
                <w:spacing w:val="-2"/>
                <w:sz w:val="20"/>
              </w:rPr>
              <w:t>3,211,900.64</w:t>
            </w:r>
            <w:r>
              <w:rPr>
                <w:rFonts w:ascii="Arial Narrow"/>
                <w:sz w:val="20"/>
              </w:rPr>
            </w:r>
          </w:p>
        </w:tc>
      </w:tr>
      <w:tr>
        <w:trPr>
          <w:trHeight w:val="374"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right="128"/>
              <w:jc w:val="right"/>
              <w:rPr>
                <w:rFonts w:ascii="宋体" w:hAnsi="宋体" w:cs="宋体" w:eastAsia="宋体" w:hint="default"/>
                <w:sz w:val="18"/>
                <w:szCs w:val="18"/>
              </w:rPr>
            </w:pPr>
            <w:r>
              <w:rPr>
                <w:rFonts w:ascii="宋体" w:hAnsi="宋体" w:cs="宋体" w:eastAsia="宋体" w:hint="default"/>
                <w:sz w:val="18"/>
                <w:szCs w:val="18"/>
              </w:rPr>
              <w:t>其他非流动资产</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177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88"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79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63,876,766.34</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42,066,340.95</w:t>
            </w:r>
            <w:r>
              <w:rPr>
                <w:rFonts w:ascii="Arial Narrow"/>
                <w:sz w:val="20"/>
              </w:rPr>
            </w:r>
          </w:p>
        </w:tc>
        <w:tc>
          <w:tcPr>
            <w:tcW w:w="8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83,790,180.97</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45,009,955.37</w:t>
            </w:r>
            <w:r>
              <w:rPr>
                <w:rFonts w:ascii="Arial Narrow"/>
                <w:sz w:val="20"/>
              </w:rPr>
            </w:r>
          </w:p>
        </w:tc>
      </w:tr>
      <w:tr>
        <w:trPr>
          <w:trHeight w:val="382" w:hRule="exact"/>
        </w:trPr>
        <w:tc>
          <w:tcPr>
            <w:tcW w:w="1777"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3"/>
              <w:ind w:left="558"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79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b/>
                <w:spacing w:val="-1"/>
                <w:sz w:val="20"/>
              </w:rPr>
              <w:t>820,879,877.87</w:t>
            </w:r>
            <w:r>
              <w:rPr>
                <w:rFonts w:ascii="Arial Narrow"/>
                <w:sz w:val="20"/>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b/>
                <w:spacing w:val="-1"/>
                <w:sz w:val="20"/>
              </w:rPr>
              <w:t>216,824,727.55</w:t>
            </w:r>
            <w:r>
              <w:rPr>
                <w:rFonts w:ascii="Arial Narrow"/>
                <w:sz w:val="20"/>
              </w:rPr>
            </w:r>
          </w:p>
        </w:tc>
        <w:tc>
          <w:tcPr>
            <w:tcW w:w="85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b/>
                <w:spacing w:val="-1"/>
                <w:sz w:val="20"/>
              </w:rPr>
              <w:t>815,512,921.89</w:t>
            </w:r>
            <w:r>
              <w:rPr>
                <w:rFonts w:ascii="Arial Narrow"/>
                <w:sz w:val="20"/>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5"/>
              <w:ind w:right="92"/>
              <w:jc w:val="right"/>
              <w:rPr>
                <w:rFonts w:ascii="Arial Narrow" w:hAnsi="Arial Narrow" w:cs="Arial Narrow" w:eastAsia="Arial Narrow" w:hint="default"/>
                <w:sz w:val="20"/>
                <w:szCs w:val="20"/>
              </w:rPr>
            </w:pPr>
            <w:r>
              <w:rPr>
                <w:rFonts w:ascii="Arial Narrow"/>
                <w:b/>
                <w:spacing w:val="-2"/>
                <w:sz w:val="20"/>
              </w:rPr>
              <w:t>217,311,247.35</w:t>
            </w:r>
            <w:r>
              <w:rPr>
                <w:rFonts w:ascii="Arial Narrow"/>
                <w:sz w:val="20"/>
              </w:rPr>
            </w:r>
          </w:p>
        </w:tc>
      </w:tr>
    </w:tbl>
    <w:p>
      <w:pPr>
        <w:tabs>
          <w:tab w:pos="2706" w:val="left" w:leader="none"/>
          <w:tab w:pos="6250" w:val="left" w:leader="none"/>
        </w:tabs>
        <w:spacing w:line="241" w:lineRule="exact" w:before="0"/>
        <w:ind w:left="0" w:right="0" w:firstLine="0"/>
        <w:jc w:val="center"/>
        <w:rPr>
          <w:rFonts w:ascii="宋体" w:hAnsi="宋体" w:cs="宋体" w:eastAsia="宋体" w:hint="default"/>
          <w:sz w:val="21"/>
          <w:szCs w:val="21"/>
        </w:rPr>
      </w:pPr>
      <w:r>
        <w:rPr>
          <w:rFonts w:ascii="宋体" w:hAnsi="宋体" w:cs="宋体" w:eastAsia="宋体" w:hint="default"/>
          <w:spacing w:val="-3"/>
          <w:sz w:val="21"/>
          <w:szCs w:val="21"/>
        </w:rPr>
        <w:t>法定代表人：刘祥南</w:t>
        <w:tab/>
        <w:t>主管会计工作负责人：张乃军</w:t>
        <w:tab/>
      </w:r>
      <w:r>
        <w:rPr>
          <w:rFonts w:ascii="宋体" w:hAnsi="宋体" w:cs="宋体" w:eastAsia="宋体" w:hint="default"/>
          <w:sz w:val="21"/>
          <w:szCs w:val="21"/>
        </w:rPr>
        <w:t>会计机构负责人：</w:t>
      </w:r>
      <w:r>
        <w:rPr>
          <w:rFonts w:ascii="宋体" w:hAnsi="宋体" w:cs="宋体" w:eastAsia="宋体" w:hint="default"/>
          <w:spacing w:val="-27"/>
          <w:sz w:val="21"/>
          <w:szCs w:val="21"/>
        </w:rPr>
        <w:t> </w:t>
      </w:r>
      <w:r>
        <w:rPr>
          <w:rFonts w:ascii="宋体" w:hAnsi="宋体" w:cs="宋体" w:eastAsia="宋体" w:hint="default"/>
          <w:sz w:val="21"/>
          <w:szCs w:val="21"/>
        </w:rPr>
        <w:t>陈志友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240" w:lineRule="auto" w:before="143"/>
        <w:ind w:right="0"/>
        <w:jc w:val="center"/>
        <w:rPr>
          <w:rFonts w:ascii="宋体" w:hAnsi="宋体" w:cs="宋体" w:eastAsia="宋体" w:hint="default"/>
          <w:b w:val="0"/>
          <w:bCs w:val="0"/>
        </w:rPr>
      </w:pPr>
      <w:r>
        <w:rPr>
          <w:rFonts w:ascii="宋体" w:hAnsi="宋体" w:cs="宋体" w:eastAsia="宋体" w:hint="default"/>
        </w:rPr>
        <w:t>资产负债表（续）</w:t>
      </w:r>
      <w:r>
        <w:rPr>
          <w:rFonts w:ascii="宋体" w:hAnsi="宋体" w:cs="宋体" w:eastAsia="宋体" w:hint="default"/>
          <w:b w:val="0"/>
          <w:bCs w:val="0"/>
        </w:rPr>
      </w:r>
    </w:p>
    <w:p>
      <w:pPr>
        <w:spacing w:line="240" w:lineRule="auto" w:before="4"/>
        <w:rPr>
          <w:rFonts w:ascii="宋体" w:hAnsi="宋体" w:cs="宋体" w:eastAsia="宋体" w:hint="default"/>
          <w:b/>
          <w:bCs/>
          <w:sz w:val="14"/>
          <w:szCs w:val="14"/>
        </w:rPr>
      </w:pPr>
    </w:p>
    <w:p>
      <w:pPr>
        <w:spacing w:before="35"/>
        <w:ind w:left="0" w:right="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p>
      <w:pPr>
        <w:spacing w:before="118"/>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01</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6958" w:val="left" w:leader="none"/>
        </w:tabs>
        <w:spacing w:before="118"/>
        <w:ind w:left="239" w:right="133" w:firstLine="0"/>
        <w:jc w:val="left"/>
        <w:rPr>
          <w:rFonts w:ascii="宋体" w:hAnsi="宋体" w:cs="宋体" w:eastAsia="宋体" w:hint="default"/>
          <w:sz w:val="21"/>
          <w:szCs w:val="21"/>
        </w:rPr>
      </w:pPr>
      <w:r>
        <w:rPr>
          <w:rFonts w:ascii="宋体" w:hAnsi="宋体" w:cs="宋体" w:eastAsia="宋体" w:hint="default"/>
          <w:sz w:val="21"/>
          <w:szCs w:val="21"/>
        </w:rPr>
        <w:t>编制单位：厦门市美亚柏科信息股份有限公司</w:t>
        <w:tab/>
        <w:t>单位：人民币元</w:t>
      </w:r>
    </w:p>
    <w:p>
      <w:pPr>
        <w:spacing w:line="240" w:lineRule="auto" w:before="11"/>
        <w:rPr>
          <w:rFonts w:ascii="宋体" w:hAnsi="宋体" w:cs="宋体" w:eastAsia="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2098"/>
        <w:gridCol w:w="763"/>
        <w:gridCol w:w="1357"/>
        <w:gridCol w:w="1357"/>
        <w:gridCol w:w="566"/>
        <w:gridCol w:w="1357"/>
        <w:gridCol w:w="1357"/>
      </w:tblGrid>
      <w:tr>
        <w:trPr>
          <w:trHeight w:val="401" w:hRule="exact"/>
        </w:trPr>
        <w:tc>
          <w:tcPr>
            <w:tcW w:w="2098" w:type="dxa"/>
            <w:vMerge w:val="restart"/>
            <w:tcBorders>
              <w:top w:val="single" w:sz="12" w:space="0" w:color="000000"/>
              <w:left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02" w:right="0"/>
              <w:jc w:val="left"/>
              <w:rPr>
                <w:rFonts w:ascii="宋体" w:hAnsi="宋体" w:cs="宋体" w:eastAsia="宋体" w:hint="default"/>
                <w:sz w:val="18"/>
                <w:szCs w:val="18"/>
              </w:rPr>
            </w:pPr>
            <w:r>
              <w:rPr>
                <w:rFonts w:ascii="宋体" w:hAnsi="宋体" w:cs="宋体" w:eastAsia="宋体" w:hint="default"/>
                <w:b/>
                <w:bCs/>
                <w:sz w:val="18"/>
                <w:szCs w:val="18"/>
              </w:rPr>
              <w:t>负债和股东权益</w:t>
            </w:r>
            <w:r>
              <w:rPr>
                <w:rFonts w:ascii="宋体" w:hAnsi="宋体" w:cs="宋体" w:eastAsia="宋体" w:hint="default"/>
                <w:sz w:val="18"/>
                <w:szCs w:val="18"/>
              </w:rPr>
            </w:r>
          </w:p>
        </w:tc>
        <w:tc>
          <w:tcPr>
            <w:tcW w:w="3478"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sz w:val="18"/>
                <w:szCs w:val="18"/>
              </w:rPr>
            </w:r>
          </w:p>
        </w:tc>
        <w:tc>
          <w:tcPr>
            <w:tcW w:w="3280" w:type="dxa"/>
            <w:gridSpan w:val="3"/>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1"/>
              <w:ind w:left="98" w:right="0"/>
              <w:jc w:val="center"/>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c>
      </w:tr>
      <w:tr>
        <w:trPr>
          <w:trHeight w:val="481" w:hRule="exact"/>
        </w:trPr>
        <w:tc>
          <w:tcPr>
            <w:tcW w:w="2098" w:type="dxa"/>
            <w:vMerge/>
            <w:tcBorders>
              <w:left w:val="single" w:sz="12" w:space="0" w:color="000000"/>
              <w:bottom w:val="single" w:sz="6" w:space="0" w:color="000000"/>
              <w:right w:val="single" w:sz="6" w:space="0" w:color="000000"/>
            </w:tcBorders>
          </w:tcPr>
          <w:p>
            <w:pP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93" w:right="0"/>
              <w:jc w:val="left"/>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0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0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c>
          <w:tcPr>
            <w:tcW w:w="56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注</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释</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09" w:right="0"/>
              <w:jc w:val="left"/>
              <w:rPr>
                <w:rFonts w:ascii="宋体" w:hAnsi="宋体" w:cs="宋体" w:eastAsia="宋体" w:hint="default"/>
                <w:sz w:val="18"/>
                <w:szCs w:val="18"/>
              </w:rPr>
            </w:pPr>
            <w:r>
              <w:rPr>
                <w:rFonts w:ascii="宋体" w:hAnsi="宋体" w:cs="宋体" w:eastAsia="宋体" w:hint="default"/>
                <w:b/>
                <w:bCs/>
                <w:sz w:val="18"/>
                <w:szCs w:val="18"/>
              </w:rPr>
              <w:t>年末余额</w:t>
            </w:r>
            <w:r>
              <w:rPr>
                <w:rFonts w:ascii="宋体" w:hAnsi="宋体" w:cs="宋体" w:eastAsia="宋体" w:hint="default"/>
                <w:sz w:val="18"/>
                <w:szCs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7"/>
              <w:ind w:left="309" w:right="0"/>
              <w:jc w:val="left"/>
              <w:rPr>
                <w:rFonts w:ascii="宋体" w:hAnsi="宋体" w:cs="宋体" w:eastAsia="宋体" w:hint="default"/>
                <w:sz w:val="18"/>
                <w:szCs w:val="18"/>
              </w:rPr>
            </w:pPr>
            <w:r>
              <w:rPr>
                <w:rFonts w:ascii="宋体" w:hAnsi="宋体" w:cs="宋体" w:eastAsia="宋体" w:hint="default"/>
                <w:b/>
                <w:bCs/>
                <w:sz w:val="18"/>
                <w:szCs w:val="18"/>
              </w:rPr>
              <w:t>年初余额</w:t>
            </w:r>
            <w:r>
              <w:rPr>
                <w:rFonts w:ascii="宋体" w:hAnsi="宋体" w:cs="宋体" w:eastAsia="宋体" w:hint="default"/>
                <w:sz w:val="18"/>
                <w:szCs w:val="18"/>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三）</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32,024,625.08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21,484,464.31</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32,024,625.08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21,474,464.31</w:t>
            </w:r>
            <w:r>
              <w:rPr>
                <w:rFonts w:ascii="Arial Narrow"/>
                <w:sz w:val="20"/>
              </w:rPr>
            </w:r>
          </w:p>
        </w:tc>
      </w:tr>
      <w:tr>
        <w:trPr>
          <w:trHeight w:val="43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四）</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51,067,806.23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28,876,326.73</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46,505,916.41</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28,180,763.48</w:t>
            </w:r>
            <w:r>
              <w:rPr>
                <w:rFonts w:ascii="Arial Narrow"/>
                <w:sz w:val="20"/>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五）</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25,687,120.68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13,850,178.91</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24,597,267.81</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13,047,333.40</w:t>
            </w:r>
            <w:r>
              <w:rPr>
                <w:rFonts w:ascii="Arial Narrow"/>
                <w:sz w:val="20"/>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六）</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14,985,805.15</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10,510,425.66</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14,855,074.30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10,567,418.25</w:t>
            </w:r>
            <w:r>
              <w:rPr>
                <w:rFonts w:ascii="Arial Narrow"/>
                <w:sz w:val="20"/>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七）</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3,066,481.73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1,854,806.81</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2,956,751.92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1,854,806.81</w:t>
            </w:r>
            <w:r>
              <w:rPr>
                <w:rFonts w:ascii="Arial Narrow"/>
                <w:sz w:val="20"/>
              </w:rPr>
            </w:r>
          </w:p>
        </w:tc>
      </w:tr>
      <w:tr>
        <w:trPr>
          <w:trHeight w:val="48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273" w:right="0"/>
              <w:jc w:val="left"/>
              <w:rPr>
                <w:rFonts w:ascii="宋体" w:hAnsi="宋体" w:cs="宋体" w:eastAsia="宋体" w:hint="default"/>
                <w:sz w:val="18"/>
                <w:szCs w:val="18"/>
              </w:rPr>
            </w:pPr>
            <w:r>
              <w:rPr>
                <w:rFonts w:ascii="宋体" w:hAnsi="宋体" w:cs="宋体" w:eastAsia="宋体" w:hint="default"/>
                <w:sz w:val="18"/>
                <w:szCs w:val="18"/>
              </w:rPr>
              <w:t>一年内到期的非流动</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2,042,142.60</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2,042,142.60</w:t>
            </w:r>
            <w:r>
              <w:rPr>
                <w:rFonts w:ascii="Arial Narrow"/>
                <w:sz w:val="20"/>
              </w:rPr>
            </w:r>
          </w:p>
        </w:tc>
      </w:tr>
      <w:tr>
        <w:trPr>
          <w:trHeight w:val="383" w:hRule="exact"/>
        </w:trPr>
        <w:tc>
          <w:tcPr>
            <w:tcW w:w="209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63"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2240" w:h="15840"/>
          <w:pgMar w:header="0" w:footer="688" w:top="1360" w:bottom="880" w:left="1560" w:right="1560"/>
        </w:sectPr>
      </w:pPr>
    </w:p>
    <w:p>
      <w:pPr>
        <w:spacing w:line="240" w:lineRule="auto" w:before="1"/>
        <w:rPr>
          <w:rFonts w:ascii="宋体" w:hAnsi="宋体" w:cs="宋体" w:eastAsia="宋体"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2098"/>
        <w:gridCol w:w="763"/>
        <w:gridCol w:w="1357"/>
        <w:gridCol w:w="1357"/>
        <w:gridCol w:w="566"/>
        <w:gridCol w:w="1357"/>
        <w:gridCol w:w="1357"/>
      </w:tblGrid>
      <w:tr>
        <w:trPr>
          <w:trHeight w:val="382" w:hRule="exact"/>
        </w:trPr>
        <w:tc>
          <w:tcPr>
            <w:tcW w:w="209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32"/>
              <w:ind w:left="67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763"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Arial Narrow" w:hAnsi="Arial Narrow" w:cs="Arial Narrow" w:eastAsia="Arial Narrow" w:hint="default"/>
                <w:sz w:val="20"/>
                <w:szCs w:val="20"/>
              </w:rPr>
            </w:pPr>
            <w:r>
              <w:rPr>
                <w:rFonts w:ascii="Arial Narrow"/>
                <w:spacing w:val="-1"/>
                <w:sz w:val="20"/>
              </w:rPr>
              <w:t>126,831,838.87</w:t>
            </w:r>
            <w:r>
              <w:rPr>
                <w:rFonts w:ascii="Arial Narrow"/>
                <w:sz w:val="20"/>
              </w:rPr>
            </w: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Arial Narrow" w:hAnsi="Arial Narrow" w:cs="Arial Narrow" w:eastAsia="Arial Narrow" w:hint="default"/>
                <w:sz w:val="20"/>
                <w:szCs w:val="20"/>
              </w:rPr>
            </w:pPr>
            <w:r>
              <w:rPr>
                <w:rFonts w:ascii="Arial Narrow"/>
                <w:spacing w:val="-1"/>
                <w:sz w:val="20"/>
              </w:rPr>
              <w:t>78,618,345.02</w:t>
            </w:r>
            <w:r>
              <w:rPr>
                <w:rFonts w:ascii="Arial Narrow"/>
                <w:sz w:val="20"/>
              </w:rPr>
            </w:r>
          </w:p>
        </w:tc>
        <w:tc>
          <w:tcPr>
            <w:tcW w:w="566"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Arial Narrow" w:hAnsi="Arial Narrow" w:cs="Arial Narrow" w:eastAsia="Arial Narrow" w:hint="default"/>
                <w:sz w:val="20"/>
                <w:szCs w:val="20"/>
              </w:rPr>
            </w:pPr>
            <w:r>
              <w:rPr>
                <w:rFonts w:ascii="Arial Narrow"/>
                <w:spacing w:val="-1"/>
                <w:sz w:val="20"/>
              </w:rPr>
              <w:t>120,939,635.52</w:t>
            </w:r>
            <w:r>
              <w:rPr>
                <w:rFonts w:ascii="Arial Narrow"/>
                <w:sz w:val="20"/>
              </w:rPr>
            </w:r>
          </w:p>
        </w:tc>
        <w:tc>
          <w:tcPr>
            <w:tcW w:w="135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64"/>
              <w:ind w:right="90"/>
              <w:jc w:val="right"/>
              <w:rPr>
                <w:rFonts w:ascii="Arial Narrow" w:hAnsi="Arial Narrow" w:cs="Arial Narrow" w:eastAsia="Arial Narrow" w:hint="default"/>
                <w:sz w:val="20"/>
                <w:szCs w:val="20"/>
              </w:rPr>
            </w:pPr>
            <w:r>
              <w:rPr>
                <w:rFonts w:ascii="Arial Narrow"/>
                <w:spacing w:val="-1"/>
                <w:sz w:val="20"/>
              </w:rPr>
              <w:t>77,166,928.85</w:t>
            </w:r>
            <w:r>
              <w:rPr>
                <w:rFonts w:ascii="Arial Narrow"/>
                <w:sz w:val="20"/>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9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8" w:lineRule="exact"/>
              <w:ind w:left="214" w:right="0"/>
              <w:jc w:val="left"/>
              <w:rPr>
                <w:rFonts w:ascii="宋体" w:hAnsi="宋体" w:cs="宋体" w:eastAsia="宋体" w:hint="default"/>
                <w:sz w:val="16"/>
                <w:szCs w:val="16"/>
              </w:rPr>
            </w:pPr>
            <w:r>
              <w:rPr>
                <w:rFonts w:ascii="宋体" w:hAnsi="宋体" w:cs="宋体" w:eastAsia="宋体" w:hint="default"/>
                <w:sz w:val="16"/>
                <w:szCs w:val="16"/>
              </w:rPr>
              <w:t>八）</w:t>
            </w: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2"/>
              <w:ind w:right="99"/>
              <w:jc w:val="right"/>
              <w:rPr>
                <w:rFonts w:ascii="Arial Narrow" w:hAnsi="Arial Narrow" w:cs="Arial Narrow" w:eastAsia="Arial Narrow" w:hint="default"/>
                <w:sz w:val="20"/>
                <w:szCs w:val="20"/>
              </w:rPr>
            </w:pPr>
            <w:r>
              <w:rPr>
                <w:rFonts w:ascii="Arial Narrow"/>
                <w:spacing w:val="-1"/>
                <w:sz w:val="20"/>
              </w:rPr>
              <w:t>10,858,393.72</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2"/>
              <w:ind w:right="90"/>
              <w:jc w:val="right"/>
              <w:rPr>
                <w:rFonts w:ascii="Arial Narrow" w:hAnsi="Arial Narrow" w:cs="Arial Narrow" w:eastAsia="Arial Narrow" w:hint="default"/>
                <w:sz w:val="20"/>
                <w:szCs w:val="20"/>
              </w:rPr>
            </w:pPr>
            <w:r>
              <w:rPr>
                <w:rFonts w:ascii="Arial Narrow"/>
                <w:spacing w:val="-1"/>
                <w:sz w:val="20"/>
              </w:rPr>
              <w:t>10,858,393.72</w:t>
            </w:r>
            <w:r>
              <w:rPr>
                <w:rFonts w:ascii="Arial Narrow"/>
                <w:sz w:val="20"/>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五（十</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九）</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8"/>
              <w:jc w:val="right"/>
              <w:rPr>
                <w:rFonts w:ascii="Arial Narrow" w:hAnsi="Arial Narrow" w:cs="Arial Narrow" w:eastAsia="Arial Narrow" w:hint="default"/>
                <w:sz w:val="20"/>
                <w:szCs w:val="20"/>
              </w:rPr>
            </w:pPr>
            <w:r>
              <w:rPr>
                <w:rFonts w:ascii="Arial Narrow"/>
                <w:spacing w:val="-1"/>
                <w:sz w:val="20"/>
              </w:rPr>
              <w:t>300,000.00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1,100,000.00</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8"/>
              <w:jc w:val="right"/>
              <w:rPr>
                <w:rFonts w:ascii="Arial Narrow" w:hAnsi="Arial Narrow" w:cs="Arial Narrow" w:eastAsia="Arial Narrow" w:hint="default"/>
                <w:sz w:val="20"/>
                <w:szCs w:val="20"/>
              </w:rPr>
            </w:pPr>
            <w:r>
              <w:rPr>
                <w:rFonts w:ascii="Arial Narrow"/>
                <w:spacing w:val="-1"/>
                <w:sz w:val="20"/>
              </w:rPr>
              <w:t>300,000.00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1,100,000.00</w:t>
            </w:r>
            <w:r>
              <w:rPr>
                <w:rFonts w:ascii="Arial Narrow"/>
                <w:sz w:val="20"/>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14" w:right="0" w:hanging="81"/>
              <w:jc w:val="left"/>
              <w:rPr>
                <w:rFonts w:ascii="宋体" w:hAnsi="宋体" w:cs="宋体" w:eastAsia="宋体" w:hint="default"/>
                <w:sz w:val="16"/>
                <w:szCs w:val="16"/>
              </w:rPr>
            </w:pPr>
            <w:r>
              <w:rPr>
                <w:rFonts w:ascii="宋体" w:hAnsi="宋体" w:cs="宋体" w:eastAsia="宋体" w:hint="default"/>
                <w:sz w:val="16"/>
                <w:szCs w:val="16"/>
              </w:rPr>
              <w:t>五（二</w:t>
            </w:r>
          </w:p>
          <w:p>
            <w:pPr>
              <w:pStyle w:val="TableParagraph"/>
              <w:spacing w:line="209" w:lineRule="exact"/>
              <w:ind w:left="214" w:right="0"/>
              <w:jc w:val="left"/>
              <w:rPr>
                <w:rFonts w:ascii="宋体" w:hAnsi="宋体" w:cs="宋体" w:eastAsia="宋体" w:hint="default"/>
                <w:sz w:val="16"/>
                <w:szCs w:val="16"/>
              </w:rPr>
            </w:pPr>
            <w:r>
              <w:rPr>
                <w:rFonts w:ascii="宋体" w:hAnsi="宋体" w:cs="宋体" w:eastAsia="宋体" w:hint="default"/>
                <w:sz w:val="16"/>
                <w:szCs w:val="16"/>
              </w:rPr>
              <w:t>十）</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20,059,304.17</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15,470,270.76</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20,059,304.17</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15,470,270.76</w:t>
            </w:r>
            <w:r>
              <w:rPr>
                <w:rFonts w:ascii="Arial Narrow"/>
                <w:sz w:val="20"/>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40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20,359,304.17</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27,428,664.48</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20,359,304.17</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27,428,664.48</w:t>
            </w:r>
            <w:r>
              <w:rPr>
                <w:rFonts w:ascii="Arial Narrow"/>
                <w:sz w:val="20"/>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67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147,191,143.04</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106,047,009.50</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141,298,939.69</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1"/>
                <w:sz w:val="20"/>
              </w:rPr>
              <w:t>104,595,593.33</w:t>
            </w:r>
            <w:r>
              <w:rPr>
                <w:rFonts w:ascii="Arial Narrow"/>
                <w:sz w:val="20"/>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股东权益：</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36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35" w:right="0" w:hanging="2"/>
              <w:jc w:val="left"/>
              <w:rPr>
                <w:rFonts w:ascii="宋体" w:hAnsi="宋体" w:cs="宋体" w:eastAsia="宋体" w:hint="default"/>
                <w:sz w:val="16"/>
                <w:szCs w:val="16"/>
              </w:rPr>
            </w:pPr>
            <w:r>
              <w:rPr>
                <w:rFonts w:ascii="宋体" w:hAnsi="宋体" w:cs="宋体" w:eastAsia="宋体" w:hint="default"/>
                <w:sz w:val="16"/>
                <w:szCs w:val="16"/>
              </w:rPr>
              <w:t>五（二</w:t>
            </w:r>
          </w:p>
          <w:p>
            <w:pPr>
              <w:pStyle w:val="TableParagraph"/>
              <w:spacing w:line="209" w:lineRule="exact"/>
              <w:ind w:left="135" w:right="0"/>
              <w:jc w:val="left"/>
              <w:rPr>
                <w:rFonts w:ascii="宋体" w:hAnsi="宋体" w:cs="宋体" w:eastAsia="宋体" w:hint="default"/>
                <w:sz w:val="16"/>
                <w:szCs w:val="16"/>
              </w:rPr>
            </w:pPr>
            <w:r>
              <w:rPr>
                <w:rFonts w:ascii="宋体" w:hAnsi="宋体" w:cs="宋体" w:eastAsia="宋体" w:hint="default"/>
                <w:sz w:val="16"/>
                <w:szCs w:val="16"/>
              </w:rPr>
              <w:t>十一）</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53,500,000.00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40,000,000.00</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53,500,000.00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40,000,000.00</w:t>
            </w:r>
            <w:r>
              <w:rPr>
                <w:rFonts w:ascii="Arial Narrow"/>
                <w:sz w:val="20"/>
              </w:rPr>
            </w:r>
          </w:p>
        </w:tc>
      </w:tr>
      <w:tr>
        <w:trPr>
          <w:trHeight w:val="43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35" w:right="0" w:hanging="2"/>
              <w:jc w:val="left"/>
              <w:rPr>
                <w:rFonts w:ascii="宋体" w:hAnsi="宋体" w:cs="宋体" w:eastAsia="宋体" w:hint="default"/>
                <w:sz w:val="16"/>
                <w:szCs w:val="16"/>
              </w:rPr>
            </w:pPr>
            <w:r>
              <w:rPr>
                <w:rFonts w:ascii="宋体" w:hAnsi="宋体" w:cs="宋体" w:eastAsia="宋体" w:hint="default"/>
                <w:sz w:val="16"/>
                <w:szCs w:val="16"/>
              </w:rPr>
              <w:t>五（二</w:t>
            </w:r>
          </w:p>
          <w:p>
            <w:pPr>
              <w:pStyle w:val="TableParagraph"/>
              <w:spacing w:line="209" w:lineRule="exact"/>
              <w:ind w:left="135" w:right="0"/>
              <w:jc w:val="left"/>
              <w:rPr>
                <w:rFonts w:ascii="宋体" w:hAnsi="宋体" w:cs="宋体" w:eastAsia="宋体" w:hint="default"/>
                <w:sz w:val="16"/>
                <w:szCs w:val="16"/>
              </w:rPr>
            </w:pPr>
            <w:r>
              <w:rPr>
                <w:rFonts w:ascii="宋体" w:hAnsi="宋体" w:cs="宋体" w:eastAsia="宋体" w:hint="default"/>
                <w:sz w:val="16"/>
                <w:szCs w:val="16"/>
              </w:rPr>
              <w:t>十二）</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503,182,020.13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15,275,985.13</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503,182,020.13</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15,275,985.13</w:t>
            </w:r>
            <w:r>
              <w:rPr>
                <w:rFonts w:ascii="Arial Narrow"/>
                <w:sz w:val="20"/>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35" w:right="0" w:hanging="2"/>
              <w:jc w:val="left"/>
              <w:rPr>
                <w:rFonts w:ascii="宋体" w:hAnsi="宋体" w:cs="宋体" w:eastAsia="宋体" w:hint="default"/>
                <w:sz w:val="16"/>
                <w:szCs w:val="16"/>
              </w:rPr>
            </w:pPr>
            <w:r>
              <w:rPr>
                <w:rFonts w:ascii="宋体" w:hAnsi="宋体" w:cs="宋体" w:eastAsia="宋体" w:hint="default"/>
                <w:sz w:val="16"/>
                <w:szCs w:val="16"/>
              </w:rPr>
              <w:t>五（二</w:t>
            </w:r>
          </w:p>
          <w:p>
            <w:pPr>
              <w:pStyle w:val="TableParagraph"/>
              <w:spacing w:line="209" w:lineRule="exact"/>
              <w:ind w:left="135" w:right="0"/>
              <w:jc w:val="left"/>
              <w:rPr>
                <w:rFonts w:ascii="宋体" w:hAnsi="宋体" w:cs="宋体" w:eastAsia="宋体" w:hint="default"/>
                <w:sz w:val="16"/>
                <w:szCs w:val="16"/>
              </w:rPr>
            </w:pPr>
            <w:r>
              <w:rPr>
                <w:rFonts w:ascii="宋体" w:hAnsi="宋体" w:cs="宋体" w:eastAsia="宋体" w:hint="default"/>
                <w:sz w:val="16"/>
                <w:szCs w:val="16"/>
              </w:rPr>
              <w:t>十三）</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12,338,591.73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6,329,362.41</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12,338,591.73</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1"/>
                <w:sz w:val="20"/>
              </w:rPr>
              <w:t>6,329,362.41</w:t>
            </w:r>
            <w:r>
              <w:rPr>
                <w:rFonts w:ascii="Arial Narrow"/>
                <w:sz w:val="20"/>
              </w:rPr>
            </w:r>
          </w:p>
        </w:tc>
      </w:tr>
      <w:tr>
        <w:trPr>
          <w:trHeight w:val="430"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63"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35" w:right="0" w:hanging="2"/>
              <w:jc w:val="left"/>
              <w:rPr>
                <w:rFonts w:ascii="宋体" w:hAnsi="宋体" w:cs="宋体" w:eastAsia="宋体" w:hint="default"/>
                <w:sz w:val="16"/>
                <w:szCs w:val="16"/>
              </w:rPr>
            </w:pPr>
            <w:r>
              <w:rPr>
                <w:rFonts w:ascii="宋体" w:hAnsi="宋体" w:cs="宋体" w:eastAsia="宋体" w:hint="default"/>
                <w:sz w:val="16"/>
                <w:szCs w:val="16"/>
              </w:rPr>
              <w:t>五（二</w:t>
            </w:r>
          </w:p>
          <w:p>
            <w:pPr>
              <w:pStyle w:val="TableParagraph"/>
              <w:spacing w:line="209" w:lineRule="exact"/>
              <w:ind w:left="135" w:right="0"/>
              <w:jc w:val="left"/>
              <w:rPr>
                <w:rFonts w:ascii="宋体" w:hAnsi="宋体" w:cs="宋体" w:eastAsia="宋体" w:hint="default"/>
                <w:sz w:val="16"/>
                <w:szCs w:val="16"/>
              </w:rPr>
            </w:pPr>
            <w:r>
              <w:rPr>
                <w:rFonts w:ascii="宋体" w:hAnsi="宋体" w:cs="宋体" w:eastAsia="宋体" w:hint="default"/>
                <w:sz w:val="16"/>
                <w:szCs w:val="16"/>
              </w:rPr>
              <w:t>十四）</w:t>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104,668,122.97</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49,172,370.51</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3"/>
              <w:ind w:right="99"/>
              <w:jc w:val="right"/>
              <w:rPr>
                <w:rFonts w:ascii="Arial Narrow" w:hAnsi="Arial Narrow" w:cs="Arial Narrow" w:eastAsia="Arial Narrow" w:hint="default"/>
                <w:sz w:val="20"/>
                <w:szCs w:val="20"/>
              </w:rPr>
            </w:pPr>
            <w:r>
              <w:rPr>
                <w:rFonts w:ascii="Arial Narrow"/>
                <w:spacing w:val="-1"/>
                <w:sz w:val="20"/>
              </w:rPr>
              <w:t>105,193,370.34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3"/>
              <w:ind w:right="90"/>
              <w:jc w:val="right"/>
              <w:rPr>
                <w:rFonts w:ascii="Arial Narrow" w:hAnsi="Arial Narrow" w:cs="Arial Narrow" w:eastAsia="Arial Narrow" w:hint="default"/>
                <w:sz w:val="20"/>
                <w:szCs w:val="20"/>
              </w:rPr>
            </w:pPr>
            <w:r>
              <w:rPr>
                <w:rFonts w:ascii="Arial Narrow"/>
                <w:spacing w:val="-2"/>
                <w:sz w:val="20"/>
              </w:rPr>
              <w:t>51,110,306.48</w:t>
            </w:r>
            <w:r>
              <w:rPr>
                <w:rFonts w:ascii="Arial Narrow"/>
                <w:sz w:val="20"/>
              </w:rPr>
            </w: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14" w:right="0"/>
              <w:jc w:val="left"/>
              <w:rPr>
                <w:rFonts w:ascii="宋体" w:hAnsi="宋体" w:cs="宋体" w:eastAsia="宋体" w:hint="default"/>
                <w:sz w:val="18"/>
                <w:szCs w:val="18"/>
              </w:rPr>
            </w:pPr>
            <w:r>
              <w:rPr>
                <w:rFonts w:ascii="宋体" w:hAnsi="宋体" w:cs="宋体" w:eastAsia="宋体" w:hint="default"/>
                <w:sz w:val="18"/>
                <w:szCs w:val="18"/>
              </w:rPr>
              <w:t>归属于母公司股东权</w:t>
            </w:r>
          </w:p>
          <w:p>
            <w:pPr>
              <w:pStyle w:val="TableParagraph"/>
              <w:spacing w:line="234" w:lineRule="exact"/>
              <w:ind w:right="5"/>
              <w:jc w:val="center"/>
              <w:rPr>
                <w:rFonts w:ascii="宋体" w:hAnsi="宋体" w:cs="宋体" w:eastAsia="宋体" w:hint="default"/>
                <w:sz w:val="18"/>
                <w:szCs w:val="18"/>
              </w:rPr>
            </w:pPr>
            <w:r>
              <w:rPr>
                <w:rFonts w:ascii="宋体" w:hAnsi="宋体" w:cs="宋体" w:eastAsia="宋体" w:hint="default"/>
                <w:sz w:val="18"/>
                <w:szCs w:val="18"/>
              </w:rPr>
              <w:t>益合计</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673,688,734.83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2"/>
                <w:sz w:val="20"/>
              </w:rPr>
              <w:t>110,777,718.05</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376"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27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3"/>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74" w:hRule="exact"/>
        </w:trPr>
        <w:tc>
          <w:tcPr>
            <w:tcW w:w="20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3"/>
              <w:ind w:left="494" w:right="0"/>
              <w:jc w:val="left"/>
              <w:rPr>
                <w:rFonts w:ascii="宋体" w:hAnsi="宋体" w:cs="宋体" w:eastAsia="宋体" w:hint="default"/>
                <w:sz w:val="18"/>
                <w:szCs w:val="18"/>
              </w:rPr>
            </w:pPr>
            <w:r>
              <w:rPr>
                <w:rFonts w:ascii="宋体" w:hAnsi="宋体" w:cs="宋体" w:eastAsia="宋体" w:hint="default"/>
                <w:sz w:val="18"/>
                <w:szCs w:val="18"/>
              </w:rPr>
              <w:t>股东权益合计</w:t>
            </w:r>
          </w:p>
        </w:tc>
        <w:tc>
          <w:tcPr>
            <w:tcW w:w="763"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673,688,734.83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2"/>
                <w:sz w:val="20"/>
              </w:rPr>
              <w:t>110,777,718.05</w:t>
            </w:r>
            <w:r>
              <w:rPr>
                <w:rFonts w:ascii="Arial Narrow"/>
                <w:sz w:val="20"/>
              </w:rPr>
            </w:r>
          </w:p>
        </w:tc>
        <w:tc>
          <w:tcPr>
            <w:tcW w:w="56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674,213,982.20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2"/>
                <w:sz w:val="20"/>
              </w:rPr>
              <w:t>112,715,654.02</w:t>
            </w:r>
            <w:r>
              <w:rPr>
                <w:rFonts w:ascii="Arial Narrow"/>
                <w:sz w:val="20"/>
              </w:rPr>
            </w:r>
          </w:p>
        </w:tc>
      </w:tr>
      <w:tr>
        <w:trPr>
          <w:trHeight w:val="383" w:hRule="exact"/>
        </w:trPr>
        <w:tc>
          <w:tcPr>
            <w:tcW w:w="209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3"/>
              <w:ind w:left="224" w:right="0"/>
              <w:jc w:val="left"/>
              <w:rPr>
                <w:rFonts w:ascii="宋体" w:hAnsi="宋体" w:cs="宋体" w:eastAsia="宋体" w:hint="default"/>
                <w:sz w:val="18"/>
                <w:szCs w:val="18"/>
              </w:rPr>
            </w:pPr>
            <w:r>
              <w:rPr>
                <w:rFonts w:ascii="宋体" w:hAnsi="宋体" w:cs="宋体" w:eastAsia="宋体" w:hint="default"/>
                <w:sz w:val="18"/>
                <w:szCs w:val="18"/>
              </w:rPr>
              <w:t>负债和股东权益总计</w:t>
            </w:r>
          </w:p>
        </w:tc>
        <w:tc>
          <w:tcPr>
            <w:tcW w:w="763"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820,879,877.87</w:t>
            </w:r>
            <w:r>
              <w:rPr>
                <w:rFonts w:ascii="Arial Narrow"/>
                <w:sz w:val="20"/>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216,824,727.55</w:t>
            </w:r>
            <w:r>
              <w:rPr>
                <w:rFonts w:ascii="Arial Narrow"/>
                <w:sz w:val="20"/>
              </w:rPr>
            </w:r>
          </w:p>
        </w:tc>
        <w:tc>
          <w:tcPr>
            <w:tcW w:w="56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815,512,921.89</w:t>
            </w:r>
            <w:r>
              <w:rPr>
                <w:rFonts w:ascii="Arial Narrow"/>
                <w:sz w:val="20"/>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5"/>
              <w:ind w:right="90"/>
              <w:jc w:val="right"/>
              <w:rPr>
                <w:rFonts w:ascii="Arial Narrow" w:hAnsi="Arial Narrow" w:cs="Arial Narrow" w:eastAsia="Arial Narrow" w:hint="default"/>
                <w:sz w:val="20"/>
                <w:szCs w:val="20"/>
              </w:rPr>
            </w:pPr>
            <w:r>
              <w:rPr>
                <w:rFonts w:ascii="Arial Narrow"/>
                <w:spacing w:val="-2"/>
                <w:sz w:val="20"/>
              </w:rPr>
              <w:t>217,311,247.35</w:t>
            </w:r>
            <w:r>
              <w:rPr>
                <w:rFonts w:ascii="Arial Narrow"/>
                <w:sz w:val="20"/>
              </w:rPr>
            </w:r>
          </w:p>
        </w:tc>
      </w:tr>
    </w:tbl>
    <w:p>
      <w:pPr>
        <w:tabs>
          <w:tab w:pos="2729" w:val="left" w:leader="none"/>
          <w:tab w:pos="6298" w:val="left" w:leader="none"/>
        </w:tabs>
        <w:spacing w:line="241" w:lineRule="exact" w:before="0"/>
        <w:ind w:left="0" w:right="30" w:firstLine="0"/>
        <w:jc w:val="center"/>
        <w:rPr>
          <w:rFonts w:ascii="宋体" w:hAnsi="宋体" w:cs="宋体" w:eastAsia="宋体" w:hint="default"/>
          <w:sz w:val="21"/>
          <w:szCs w:val="21"/>
        </w:rPr>
      </w:pPr>
      <w:r>
        <w:rPr>
          <w:rFonts w:ascii="宋体" w:hAnsi="宋体" w:cs="宋体" w:eastAsia="宋体" w:hint="default"/>
          <w:sz w:val="21"/>
          <w:szCs w:val="21"/>
        </w:rPr>
        <w:t>法定代表人：刘祥南</w:t>
        <w:tab/>
      </w:r>
      <w:r>
        <w:rPr>
          <w:rFonts w:ascii="宋体" w:hAnsi="宋体" w:cs="宋体" w:eastAsia="宋体" w:hint="default"/>
          <w:spacing w:val="-1"/>
          <w:sz w:val="21"/>
          <w:szCs w:val="21"/>
        </w:rPr>
        <w:t>主管会计工作负责人：张乃军</w:t>
        <w:tab/>
        <w:t>会计机构负责人：陈志友</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1"/>
        <w:spacing w:line="240" w:lineRule="auto"/>
        <w:ind w:right="0"/>
        <w:jc w:val="center"/>
        <w:rPr>
          <w:rFonts w:ascii="宋体" w:hAnsi="宋体" w:cs="宋体" w:eastAsia="宋体" w:hint="default"/>
          <w:b w:val="0"/>
          <w:bCs w:val="0"/>
        </w:rPr>
      </w:pPr>
      <w:r>
        <w:rPr>
          <w:rFonts w:ascii="宋体" w:hAnsi="宋体" w:cs="宋体" w:eastAsia="宋体" w:hint="default"/>
        </w:rPr>
        <w:t>利润表</w:t>
      </w:r>
      <w:r>
        <w:rPr>
          <w:rFonts w:ascii="宋体" w:hAnsi="宋体" w:cs="宋体" w:eastAsia="宋体" w:hint="default"/>
          <w:b w:val="0"/>
          <w:bCs w:val="0"/>
        </w:rPr>
      </w:r>
    </w:p>
    <w:p>
      <w:pPr>
        <w:spacing w:line="240" w:lineRule="auto" w:before="5"/>
        <w:rPr>
          <w:rFonts w:ascii="宋体" w:hAnsi="宋体" w:cs="宋体" w:eastAsia="宋体" w:hint="default"/>
          <w:b/>
          <w:bCs/>
          <w:sz w:val="14"/>
          <w:szCs w:val="14"/>
        </w:rPr>
      </w:pPr>
    </w:p>
    <w:p>
      <w:pPr>
        <w:spacing w:before="35"/>
        <w:ind w:left="0" w:right="1"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before="117"/>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02</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7446" w:val="left" w:leader="none"/>
        </w:tabs>
        <w:spacing w:before="119"/>
        <w:ind w:left="239" w:right="133" w:firstLine="0"/>
        <w:jc w:val="left"/>
        <w:rPr>
          <w:rFonts w:ascii="宋体" w:hAnsi="宋体" w:cs="宋体" w:eastAsia="宋体" w:hint="default"/>
          <w:sz w:val="21"/>
          <w:szCs w:val="21"/>
        </w:rPr>
      </w:pPr>
      <w:r>
        <w:rPr>
          <w:rFonts w:ascii="宋体" w:hAnsi="宋体" w:cs="宋体" w:eastAsia="宋体" w:hint="default"/>
          <w:spacing w:val="-2"/>
          <w:sz w:val="21"/>
          <w:szCs w:val="21"/>
        </w:rPr>
        <w:t>编制单位：厦门市美亚柏科信息股份有限公司</w:t>
        <w:tab/>
      </w:r>
      <w:r>
        <w:rPr>
          <w:rFonts w:ascii="宋体" w:hAnsi="宋体" w:cs="宋体" w:eastAsia="宋体" w:hint="default"/>
          <w:spacing w:val="-6"/>
          <w:sz w:val="21"/>
          <w:szCs w:val="21"/>
        </w:rPr>
        <w:t>单位：人民币元</w:t>
      </w:r>
    </w:p>
    <w:p>
      <w:pPr>
        <w:spacing w:line="240" w:lineRule="auto" w:before="10"/>
        <w:rPr>
          <w:rFonts w:ascii="宋体" w:hAnsi="宋体" w:cs="宋体" w:eastAsia="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1882"/>
        <w:gridCol w:w="714"/>
        <w:gridCol w:w="1356"/>
        <w:gridCol w:w="1357"/>
        <w:gridCol w:w="696"/>
        <w:gridCol w:w="1494"/>
        <w:gridCol w:w="1357"/>
      </w:tblGrid>
      <w:tr>
        <w:trPr>
          <w:trHeight w:val="322" w:hRule="exact"/>
        </w:trPr>
        <w:tc>
          <w:tcPr>
            <w:tcW w:w="1882" w:type="dxa"/>
            <w:vMerge w:val="restart"/>
            <w:tcBorders>
              <w:top w:val="single" w:sz="12" w:space="0" w:color="000000"/>
              <w:left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21"/>
                <w:szCs w:val="21"/>
              </w:rPr>
            </w:pPr>
          </w:p>
          <w:p>
            <w:pPr>
              <w:pStyle w:val="TableParagraph"/>
              <w:tabs>
                <w:tab w:pos="1197" w:val="left" w:leader="none"/>
              </w:tabs>
              <w:spacing w:line="240" w:lineRule="auto"/>
              <w:ind w:left="474"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3427"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2"/>
              <w:ind w:right="0"/>
              <w:jc w:val="center"/>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sz w:val="18"/>
                <w:szCs w:val="18"/>
              </w:rPr>
            </w:r>
          </w:p>
        </w:tc>
        <w:tc>
          <w:tcPr>
            <w:tcW w:w="3547" w:type="dxa"/>
            <w:gridSpan w:val="3"/>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
              <w:ind w:left="98" w:right="0"/>
              <w:jc w:val="center"/>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c>
      </w:tr>
      <w:tr>
        <w:trPr>
          <w:trHeight w:val="593" w:hRule="exact"/>
        </w:trPr>
        <w:tc>
          <w:tcPr>
            <w:tcW w:w="1882" w:type="dxa"/>
            <w:vMerge/>
            <w:tcBorders>
              <w:left w:val="single" w:sz="12" w:space="0" w:color="000000"/>
              <w:bottom w:val="single" w:sz="12" w:space="0" w:color="000000"/>
              <w:right w:val="single" w:sz="6" w:space="0" w:color="000000"/>
            </w:tcBorders>
          </w:tcPr>
          <w:p>
            <w:pPr/>
          </w:p>
        </w:tc>
        <w:tc>
          <w:tcPr>
            <w:tcW w:w="7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9"/>
              <w:ind w:left="168" w:right="0"/>
              <w:jc w:val="left"/>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3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9"/>
              <w:ind w:left="399" w:right="0"/>
              <w:jc w:val="left"/>
              <w:rPr>
                <w:rFonts w:ascii="宋体" w:hAnsi="宋体" w:cs="宋体" w:eastAsia="宋体" w:hint="default"/>
                <w:sz w:val="18"/>
                <w:szCs w:val="18"/>
              </w:rPr>
            </w:pPr>
            <w:r>
              <w:rPr>
                <w:rFonts w:ascii="宋体" w:hAnsi="宋体" w:cs="宋体" w:eastAsia="宋体" w:hint="default"/>
                <w:b/>
                <w:bCs/>
                <w:sz w:val="18"/>
                <w:szCs w:val="18"/>
              </w:rPr>
              <w:t>本年数</w:t>
            </w:r>
            <w:r>
              <w:rPr>
                <w:rFonts w:ascii="宋体" w:hAnsi="宋体" w:cs="宋体" w:eastAsia="宋体" w:hint="default"/>
                <w:sz w:val="18"/>
                <w:szCs w:val="18"/>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9"/>
              <w:ind w:left="399" w:right="0"/>
              <w:jc w:val="left"/>
              <w:rPr>
                <w:rFonts w:ascii="宋体" w:hAnsi="宋体" w:cs="宋体" w:eastAsia="宋体" w:hint="default"/>
                <w:sz w:val="18"/>
                <w:szCs w:val="18"/>
              </w:rPr>
            </w:pPr>
            <w:r>
              <w:rPr>
                <w:rFonts w:ascii="宋体" w:hAnsi="宋体" w:cs="宋体" w:eastAsia="宋体" w:hint="default"/>
                <w:b/>
                <w:bCs/>
                <w:sz w:val="18"/>
                <w:szCs w:val="18"/>
              </w:rPr>
              <w:t>上年数</w:t>
            </w:r>
            <w:r>
              <w:rPr>
                <w:rFonts w:ascii="宋体" w:hAnsi="宋体" w:cs="宋体" w:eastAsia="宋体" w:hint="default"/>
                <w:sz w:val="18"/>
                <w:szCs w:val="18"/>
              </w:rPr>
            </w:r>
          </w:p>
        </w:tc>
        <w:tc>
          <w:tcPr>
            <w:tcW w:w="6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9"/>
              <w:ind w:left="159" w:right="0"/>
              <w:jc w:val="left"/>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4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39"/>
              <w:ind w:left="468" w:right="0"/>
              <w:jc w:val="left"/>
              <w:rPr>
                <w:rFonts w:ascii="宋体" w:hAnsi="宋体" w:cs="宋体" w:eastAsia="宋体" w:hint="default"/>
                <w:sz w:val="18"/>
                <w:szCs w:val="18"/>
              </w:rPr>
            </w:pPr>
            <w:r>
              <w:rPr>
                <w:rFonts w:ascii="宋体" w:hAnsi="宋体" w:cs="宋体" w:eastAsia="宋体" w:hint="default"/>
                <w:b/>
                <w:bCs/>
                <w:sz w:val="18"/>
                <w:szCs w:val="18"/>
              </w:rPr>
              <w:t>本年数</w:t>
            </w:r>
            <w:r>
              <w:rPr>
                <w:rFonts w:ascii="宋体" w:hAnsi="宋体" w:cs="宋体" w:eastAsia="宋体" w:hint="default"/>
                <w:sz w:val="18"/>
                <w:szCs w:val="18"/>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39"/>
              <w:ind w:left="399" w:right="0"/>
              <w:jc w:val="left"/>
              <w:rPr>
                <w:rFonts w:ascii="宋体" w:hAnsi="宋体" w:cs="宋体" w:eastAsia="宋体" w:hint="default"/>
                <w:sz w:val="18"/>
                <w:szCs w:val="18"/>
              </w:rPr>
            </w:pPr>
            <w:r>
              <w:rPr>
                <w:rFonts w:ascii="宋体" w:hAnsi="宋体" w:cs="宋体" w:eastAsia="宋体" w:hint="default"/>
                <w:b/>
                <w:bCs/>
                <w:sz w:val="18"/>
                <w:szCs w:val="18"/>
              </w:rPr>
              <w:t>上年数</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882"/>
        <w:gridCol w:w="714"/>
        <w:gridCol w:w="1356"/>
        <w:gridCol w:w="1357"/>
        <w:gridCol w:w="696"/>
        <w:gridCol w:w="1494"/>
        <w:gridCol w:w="1357"/>
      </w:tblGrid>
      <w:tr>
        <w:trPr>
          <w:trHeight w:val="461" w:hRule="exact"/>
        </w:trPr>
        <w:tc>
          <w:tcPr>
            <w:tcW w:w="188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71"/>
              <w:ind w:left="9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714" w:type="dxa"/>
            <w:tcBorders>
              <w:top w:val="single" w:sz="12"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十五）</w:t>
            </w:r>
          </w:p>
        </w:tc>
        <w:tc>
          <w:tcPr>
            <w:tcW w:w="13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4"/>
              <w:ind w:right="97"/>
              <w:jc w:val="right"/>
              <w:rPr>
                <w:rFonts w:ascii="Arial Narrow" w:hAnsi="Arial Narrow" w:cs="Arial Narrow" w:eastAsia="Arial Narrow" w:hint="default"/>
                <w:sz w:val="20"/>
                <w:szCs w:val="20"/>
              </w:rPr>
            </w:pPr>
            <w:r>
              <w:rPr>
                <w:rFonts w:ascii="Arial Narrow"/>
                <w:spacing w:val="-1"/>
                <w:sz w:val="20"/>
              </w:rPr>
              <w:t>268,515,584.75</w:t>
            </w:r>
            <w:r>
              <w:rPr>
                <w:rFonts w:ascii="Arial Narrow"/>
                <w:sz w:val="20"/>
              </w:rPr>
            </w: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4"/>
              <w:ind w:right="99"/>
              <w:jc w:val="right"/>
              <w:rPr>
                <w:rFonts w:ascii="Arial Narrow" w:hAnsi="Arial Narrow" w:cs="Arial Narrow" w:eastAsia="Arial Narrow" w:hint="default"/>
                <w:sz w:val="20"/>
                <w:szCs w:val="20"/>
              </w:rPr>
            </w:pPr>
            <w:r>
              <w:rPr>
                <w:rFonts w:ascii="Arial Narrow"/>
                <w:spacing w:val="-1"/>
                <w:sz w:val="20"/>
              </w:rPr>
              <w:t>187,996,001.19</w:t>
            </w:r>
            <w:r>
              <w:rPr>
                <w:rFonts w:ascii="Arial Narrow"/>
                <w:sz w:val="20"/>
              </w:rPr>
            </w:r>
          </w:p>
        </w:tc>
        <w:tc>
          <w:tcPr>
            <w:tcW w:w="696" w:type="dxa"/>
            <w:tcBorders>
              <w:top w:val="single" w:sz="12" w:space="0" w:color="000000"/>
              <w:left w:val="single" w:sz="6" w:space="0" w:color="000000"/>
              <w:bottom w:val="single" w:sz="6" w:space="0" w:color="000000"/>
              <w:right w:val="single" w:sz="6" w:space="0" w:color="000000"/>
            </w:tcBorders>
          </w:tcPr>
          <w:p>
            <w:pPr>
              <w:pStyle w:val="TableParagraph"/>
              <w:spacing w:line="193" w:lineRule="exact"/>
              <w:ind w:left="179" w:right="0"/>
              <w:jc w:val="left"/>
              <w:rPr>
                <w:rFonts w:ascii="宋体" w:hAnsi="宋体" w:cs="宋体" w:eastAsia="宋体" w:hint="default"/>
                <w:sz w:val="16"/>
                <w:szCs w:val="16"/>
              </w:rPr>
            </w:pPr>
            <w:r>
              <w:rPr>
                <w:rFonts w:ascii="宋体" w:hAnsi="宋体" w:cs="宋体" w:eastAsia="宋体" w:hint="default"/>
                <w:sz w:val="16"/>
                <w:szCs w:val="16"/>
              </w:rPr>
              <w:t>十一</w:t>
            </w:r>
          </w:p>
          <w:p>
            <w:pPr>
              <w:pStyle w:val="TableParagraph"/>
              <w:spacing w:line="209" w:lineRule="exact"/>
              <w:ind w:left="100" w:right="0"/>
              <w:jc w:val="left"/>
              <w:rPr>
                <w:rFonts w:ascii="宋体" w:hAnsi="宋体" w:cs="宋体" w:eastAsia="宋体" w:hint="default"/>
                <w:sz w:val="16"/>
                <w:szCs w:val="16"/>
              </w:rPr>
            </w:pPr>
            <w:r>
              <w:rPr>
                <w:rFonts w:ascii="宋体" w:hAnsi="宋体" w:cs="宋体" w:eastAsia="宋体" w:hint="default"/>
                <w:sz w:val="16"/>
                <w:szCs w:val="16"/>
              </w:rPr>
              <w:t>（四）</w:t>
            </w:r>
          </w:p>
        </w:tc>
        <w:tc>
          <w:tcPr>
            <w:tcW w:w="149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4"/>
              <w:ind w:right="99"/>
              <w:jc w:val="right"/>
              <w:rPr>
                <w:rFonts w:ascii="Arial Narrow" w:hAnsi="Arial Narrow" w:cs="Arial Narrow" w:eastAsia="Arial Narrow" w:hint="default"/>
                <w:sz w:val="20"/>
                <w:szCs w:val="20"/>
              </w:rPr>
            </w:pPr>
            <w:r>
              <w:rPr>
                <w:rFonts w:ascii="Arial Narrow"/>
                <w:spacing w:val="-1"/>
                <w:sz w:val="20"/>
              </w:rPr>
              <w:t>262,968,912.27</w:t>
            </w:r>
            <w:r>
              <w:rPr>
                <w:rFonts w:ascii="Arial Narrow"/>
                <w:sz w:val="20"/>
              </w:rPr>
            </w:r>
          </w:p>
        </w:tc>
        <w:tc>
          <w:tcPr>
            <w:tcW w:w="135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4"/>
              <w:ind w:right="90"/>
              <w:jc w:val="right"/>
              <w:rPr>
                <w:rFonts w:ascii="Arial Narrow" w:hAnsi="Arial Narrow" w:cs="Arial Narrow" w:eastAsia="Arial Narrow" w:hint="default"/>
                <w:sz w:val="20"/>
                <w:szCs w:val="20"/>
              </w:rPr>
            </w:pPr>
            <w:r>
              <w:rPr>
                <w:rFonts w:ascii="Arial Narrow"/>
                <w:spacing w:val="-1"/>
                <w:sz w:val="20"/>
              </w:rPr>
              <w:t>185,349,899.26</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45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十五）</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98,071,682.24</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81,263,144.09</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Style w:val="TableParagraph"/>
              <w:spacing w:line="193" w:lineRule="exact"/>
              <w:ind w:left="179" w:right="0"/>
              <w:jc w:val="left"/>
              <w:rPr>
                <w:rFonts w:ascii="宋体" w:hAnsi="宋体" w:cs="宋体" w:eastAsia="宋体" w:hint="default"/>
                <w:sz w:val="16"/>
                <w:szCs w:val="16"/>
              </w:rPr>
            </w:pPr>
            <w:r>
              <w:rPr>
                <w:rFonts w:ascii="宋体" w:hAnsi="宋体" w:cs="宋体" w:eastAsia="宋体" w:hint="default"/>
                <w:sz w:val="16"/>
                <w:szCs w:val="16"/>
              </w:rPr>
              <w:t>十一</w:t>
            </w:r>
          </w:p>
          <w:p>
            <w:pPr>
              <w:pStyle w:val="TableParagraph"/>
              <w:spacing w:line="209" w:lineRule="exact"/>
              <w:ind w:left="100" w:right="0"/>
              <w:jc w:val="left"/>
              <w:rPr>
                <w:rFonts w:ascii="宋体" w:hAnsi="宋体" w:cs="宋体" w:eastAsia="宋体" w:hint="default"/>
                <w:sz w:val="16"/>
                <w:szCs w:val="16"/>
              </w:rPr>
            </w:pPr>
            <w:r>
              <w:rPr>
                <w:rFonts w:ascii="宋体" w:hAnsi="宋体" w:cs="宋体" w:eastAsia="宋体" w:hint="default"/>
                <w:sz w:val="16"/>
                <w:szCs w:val="16"/>
              </w:rPr>
              <w:t>（四）</w:t>
            </w: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98,056,952.24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81,216,464.07</w:t>
            </w:r>
            <w:r>
              <w:rPr>
                <w:rFonts w:ascii="Arial Narrow"/>
                <w:sz w:val="20"/>
              </w:rPr>
            </w:r>
          </w:p>
        </w:tc>
      </w:tr>
      <w:tr>
        <w:trPr>
          <w:trHeight w:val="482"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813" w:right="0"/>
              <w:jc w:val="left"/>
              <w:rPr>
                <w:rFonts w:ascii="宋体" w:hAnsi="宋体" w:cs="宋体" w:eastAsia="宋体" w:hint="default"/>
                <w:sz w:val="18"/>
                <w:szCs w:val="18"/>
              </w:rPr>
            </w:pPr>
            <w:r>
              <w:rPr>
                <w:rFonts w:ascii="宋体" w:hAnsi="宋体" w:cs="宋体" w:eastAsia="宋体" w:hint="default"/>
                <w:sz w:val="18"/>
                <w:szCs w:val="18"/>
              </w:rPr>
              <w:t>营业税金及</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附加</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十六）</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3,740,573.81</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2,446,674.54</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3,477,776.16</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2,305,633.64</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81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十七）</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53,520,690.90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25,637,340.61</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51,618,566.70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24,321,486.60</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81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十八）</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67,127,438.02</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46,236,030.75</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65,424,632.43</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44,792,302.45</w:t>
            </w:r>
            <w:r>
              <w:rPr>
                <w:rFonts w:ascii="Arial Narrow"/>
                <w:sz w:val="20"/>
              </w:rPr>
            </w:r>
          </w:p>
        </w:tc>
      </w:tr>
      <w:tr>
        <w:trPr>
          <w:trHeight w:val="455"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81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五（二</w:t>
            </w:r>
            <w:r>
              <w:rPr>
                <w:rFonts w:ascii="宋体" w:hAnsi="宋体" w:cs="宋体" w:eastAsia="宋体" w:hint="default"/>
                <w:w w:val="99"/>
                <w:sz w:val="16"/>
                <w:szCs w:val="16"/>
              </w:rPr>
              <w:t> </w:t>
            </w:r>
            <w:r>
              <w:rPr>
                <w:rFonts w:ascii="宋体" w:hAnsi="宋体" w:cs="宋体" w:eastAsia="宋体" w:hint="default"/>
                <w:sz w:val="16"/>
                <w:szCs w:val="16"/>
              </w:rPr>
              <w:t>十九）</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8"/>
              <w:jc w:val="right"/>
              <w:rPr>
                <w:rFonts w:ascii="Arial Narrow" w:hAnsi="Arial Narrow" w:cs="Arial Narrow" w:eastAsia="Arial Narrow" w:hint="default"/>
                <w:sz w:val="20"/>
                <w:szCs w:val="20"/>
              </w:rPr>
            </w:pPr>
            <w:r>
              <w:rPr>
                <w:rFonts w:ascii="Arial Narrow"/>
                <w:spacing w:val="-2"/>
                <w:sz w:val="20"/>
              </w:rPr>
              <w:t>-10,118,127.40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360,069.13</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00"/>
              <w:jc w:val="right"/>
              <w:rPr>
                <w:rFonts w:ascii="Times New Roman" w:hAnsi="Times New Roman" w:cs="Times New Roman" w:eastAsia="Times New Roman" w:hint="default"/>
                <w:sz w:val="21"/>
                <w:szCs w:val="21"/>
              </w:rPr>
            </w:pPr>
            <w:r>
              <w:rPr>
                <w:rFonts w:ascii="Times New Roman"/>
                <w:spacing w:val="-1"/>
                <w:sz w:val="21"/>
              </w:rPr>
              <w:t>-10,081,322.64</w:t>
            </w:r>
            <w:r>
              <w:rPr>
                <w:rFonts w:ascii="Times New Roman"/>
                <w:sz w:val="21"/>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373,380.17</w:t>
            </w:r>
            <w:r>
              <w:rPr>
                <w:rFonts w:ascii="Arial Narrow"/>
                <w:sz w:val="20"/>
              </w:rPr>
            </w:r>
          </w:p>
        </w:tc>
      </w:tr>
      <w:tr>
        <w:trPr>
          <w:trHeight w:val="481"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813" w:right="0"/>
              <w:jc w:val="left"/>
              <w:rPr>
                <w:rFonts w:ascii="宋体" w:hAnsi="宋体" w:cs="宋体" w:eastAsia="宋体" w:hint="default"/>
                <w:sz w:val="18"/>
                <w:szCs w:val="18"/>
              </w:rPr>
            </w:pPr>
            <w:r>
              <w:rPr>
                <w:rFonts w:ascii="宋体" w:hAnsi="宋体" w:cs="宋体" w:eastAsia="宋体" w:hint="default"/>
                <w:sz w:val="18"/>
                <w:szCs w:val="18"/>
              </w:rPr>
              <w:t>资产减值损</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失</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89" w:right="109" w:hanging="81"/>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3,983,191.58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1,359,916.92</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3,706,331.94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1,364,992.81</w:t>
            </w:r>
            <w:r>
              <w:rPr>
                <w:rFonts w:ascii="Arial Narrow"/>
                <w:sz w:val="20"/>
              </w:rPr>
            </w:r>
          </w:p>
        </w:tc>
      </w:tr>
      <w:tr>
        <w:trPr>
          <w:trHeight w:val="715"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firstLine="450"/>
              <w:jc w:val="left"/>
              <w:rPr>
                <w:rFonts w:ascii="宋体" w:hAnsi="宋体" w:cs="宋体" w:eastAsia="宋体" w:hint="default"/>
                <w:sz w:val="18"/>
                <w:szCs w:val="18"/>
              </w:rPr>
            </w:pPr>
            <w:r>
              <w:rPr>
                <w:rFonts w:ascii="宋体" w:hAnsi="宋体" w:cs="宋体" w:eastAsia="宋体" w:hint="default"/>
                <w:spacing w:val="-7"/>
                <w:sz w:val="18"/>
                <w:szCs w:val="18"/>
              </w:rPr>
              <w:t>加：公允价值变</w:t>
            </w:r>
          </w:p>
          <w:p>
            <w:pPr>
              <w:pStyle w:val="TableParagraph"/>
              <w:spacing w:line="232" w:lineRule="exact" w:before="24"/>
              <w:ind w:left="93" w:right="104"/>
              <w:jc w:val="left"/>
              <w:rPr>
                <w:rFonts w:ascii="宋体" w:hAnsi="宋体" w:cs="宋体" w:eastAsia="宋体" w:hint="default"/>
                <w:sz w:val="18"/>
                <w:szCs w:val="18"/>
              </w:rPr>
            </w:pPr>
            <w:r>
              <w:rPr>
                <w:rFonts w:ascii="宋体" w:hAnsi="宋体" w:cs="宋体" w:eastAsia="宋体" w:hint="default"/>
                <w:sz w:val="18"/>
                <w:szCs w:val="18"/>
              </w:rPr>
              <w:t>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 填列）</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813" w:right="0"/>
              <w:jc w:val="left"/>
              <w:rPr>
                <w:rFonts w:ascii="宋体" w:hAnsi="宋体" w:cs="宋体" w:eastAsia="宋体" w:hint="default"/>
                <w:sz w:val="18"/>
                <w:szCs w:val="18"/>
              </w:rPr>
            </w:pPr>
            <w:r>
              <w:rPr>
                <w:rFonts w:ascii="宋体" w:hAnsi="宋体" w:cs="宋体" w:eastAsia="宋体" w:hint="default"/>
                <w:sz w:val="18"/>
                <w:szCs w:val="18"/>
              </w:rPr>
              <w:t>投资收益</w:t>
            </w:r>
          </w:p>
          <w:p>
            <w:pPr>
              <w:pStyle w:val="TableParagraph"/>
              <w:spacing w:line="232" w:lineRule="exact" w:before="24"/>
              <w:ind w:left="93" w:right="344"/>
              <w:jc w:val="left"/>
              <w:rPr>
                <w:rFonts w:ascii="宋体" w:hAnsi="宋体" w:cs="宋体" w:eastAsia="宋体" w:hint="default"/>
                <w:sz w:val="18"/>
                <w:szCs w:val="18"/>
              </w:rPr>
            </w:pPr>
            <w:r>
              <w:rPr>
                <w:rFonts w:ascii="宋体" w:hAnsi="宋体" w:cs="宋体" w:eastAsia="宋体" w:hint="default"/>
                <w:sz w:val="18"/>
                <w:szCs w:val="18"/>
              </w:rPr>
              <w:t>（损失以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716"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firstLine="810"/>
              <w:jc w:val="left"/>
              <w:rPr>
                <w:rFonts w:ascii="宋体" w:hAnsi="宋体" w:cs="宋体" w:eastAsia="宋体" w:hint="default"/>
                <w:sz w:val="18"/>
                <w:szCs w:val="18"/>
              </w:rPr>
            </w:pPr>
            <w:r>
              <w:rPr>
                <w:rFonts w:ascii="宋体" w:hAnsi="宋体" w:cs="宋体" w:eastAsia="宋体" w:hint="default"/>
                <w:spacing w:val="-9"/>
                <w:sz w:val="18"/>
                <w:szCs w:val="18"/>
              </w:rPr>
              <w:t>其中：对联</w:t>
            </w:r>
          </w:p>
          <w:p>
            <w:pPr>
              <w:pStyle w:val="TableParagraph"/>
              <w:spacing w:line="240" w:lineRule="auto"/>
              <w:ind w:left="93" w:right="144"/>
              <w:jc w:val="left"/>
              <w:rPr>
                <w:rFonts w:ascii="宋体" w:hAnsi="宋体" w:cs="宋体" w:eastAsia="宋体" w:hint="default"/>
                <w:sz w:val="18"/>
                <w:szCs w:val="18"/>
              </w:rPr>
            </w:pPr>
            <w:r>
              <w:rPr>
                <w:rFonts w:ascii="宋体" w:hAnsi="宋体" w:cs="宋体" w:eastAsia="宋体" w:hint="default"/>
                <w:sz w:val="18"/>
                <w:szCs w:val="18"/>
              </w:rPr>
              <w:t>营企业和合营企业的 投资收益</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81"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二、营业利润（亏损</w:t>
            </w:r>
          </w:p>
          <w:p>
            <w:pPr>
              <w:pStyle w:val="TableParagraph"/>
              <w:spacing w:line="248" w:lineRule="exact"/>
              <w:ind w:left="93"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52,190,135.60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30,692,825.15</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50,765,975.44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30,975,639.52</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right="144"/>
              <w:jc w:val="right"/>
              <w:rPr>
                <w:rFonts w:ascii="宋体" w:hAnsi="宋体" w:cs="宋体" w:eastAsia="宋体" w:hint="default"/>
                <w:sz w:val="18"/>
                <w:szCs w:val="18"/>
              </w:rPr>
            </w:pPr>
            <w:r>
              <w:rPr>
                <w:rFonts w:ascii="宋体" w:hAnsi="宋体" w:cs="宋体" w:eastAsia="宋体" w:hint="default"/>
                <w:sz w:val="18"/>
                <w:szCs w:val="18"/>
              </w:rPr>
              <w:t>加：营业外收入</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十一）</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18,256,337.80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18,047,697.08</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18,253,064.08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18,045,005.47</w:t>
            </w:r>
            <w:r>
              <w:rPr>
                <w:rFonts w:ascii="Arial Narrow"/>
                <w:sz w:val="20"/>
              </w:rPr>
            </w:r>
          </w:p>
        </w:tc>
      </w:tr>
      <w:tr>
        <w:trPr>
          <w:trHeight w:val="455"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right="144"/>
              <w:jc w:val="right"/>
              <w:rPr>
                <w:rFonts w:ascii="宋体" w:hAnsi="宋体" w:cs="宋体" w:eastAsia="宋体" w:hint="default"/>
                <w:sz w:val="18"/>
                <w:szCs w:val="18"/>
              </w:rPr>
            </w:pPr>
            <w:r>
              <w:rPr>
                <w:rFonts w:ascii="宋体" w:hAnsi="宋体" w:cs="宋体" w:eastAsia="宋体" w:hint="default"/>
                <w:sz w:val="18"/>
                <w:szCs w:val="18"/>
              </w:rPr>
              <w:t>减：营业外支出</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十二）</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237,283.50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247,595.38</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8"/>
              <w:jc w:val="right"/>
              <w:rPr>
                <w:rFonts w:ascii="Arial Narrow" w:hAnsi="Arial Narrow" w:cs="Arial Narrow" w:eastAsia="Arial Narrow" w:hint="default"/>
                <w:sz w:val="20"/>
                <w:szCs w:val="20"/>
              </w:rPr>
            </w:pPr>
            <w:r>
              <w:rPr>
                <w:rFonts w:ascii="Arial Narrow"/>
                <w:spacing w:val="-1"/>
                <w:sz w:val="20"/>
              </w:rPr>
              <w:t>237,283.50</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247,595.38</w:t>
            </w:r>
            <w:r>
              <w:rPr>
                <w:rFonts w:ascii="Arial Narrow"/>
                <w:sz w:val="20"/>
              </w:rPr>
            </w:r>
          </w:p>
        </w:tc>
      </w:tr>
      <w:tr>
        <w:trPr>
          <w:trHeight w:val="481"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723" w:right="0"/>
              <w:jc w:val="left"/>
              <w:rPr>
                <w:rFonts w:ascii="宋体" w:hAnsi="宋体" w:cs="宋体" w:eastAsia="宋体" w:hint="default"/>
                <w:sz w:val="18"/>
                <w:szCs w:val="18"/>
              </w:rPr>
            </w:pPr>
            <w:r>
              <w:rPr>
                <w:rFonts w:ascii="宋体" w:hAnsi="宋体" w:cs="宋体" w:eastAsia="宋体" w:hint="default"/>
                <w:spacing w:val="-8"/>
                <w:sz w:val="18"/>
                <w:szCs w:val="18"/>
              </w:rPr>
              <w:t>其中：非流动</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资产处置损失</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三、利润总额（亏损</w:t>
            </w:r>
          </w:p>
          <w:p>
            <w:pPr>
              <w:pStyle w:val="TableParagraph"/>
              <w:spacing w:line="248" w:lineRule="exact"/>
              <w:ind w:left="93" w:right="0"/>
              <w:jc w:val="left"/>
              <w:rPr>
                <w:rFonts w:ascii="宋体" w:hAnsi="宋体" w:cs="宋体" w:eastAsia="宋体" w:hint="default"/>
                <w:sz w:val="18"/>
                <w:szCs w:val="18"/>
              </w:rPr>
            </w:pPr>
            <w:r>
              <w:rPr>
                <w:rFonts w:ascii="宋体" w:hAnsi="宋体" w:cs="宋体" w:eastAsia="宋体" w:hint="default"/>
                <w:sz w:val="18"/>
                <w:szCs w:val="18"/>
              </w:rPr>
              <w:t>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70,209,189.90</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48,492,926.85</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68,781,756.02</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48,773,049.61</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right="144"/>
              <w:jc w:val="right"/>
              <w:rPr>
                <w:rFonts w:ascii="宋体" w:hAnsi="宋体" w:cs="宋体" w:eastAsia="宋体" w:hint="default"/>
                <w:sz w:val="18"/>
                <w:szCs w:val="18"/>
              </w:rPr>
            </w:pPr>
            <w:r>
              <w:rPr>
                <w:rFonts w:ascii="宋体" w:hAnsi="宋体" w:cs="宋体" w:eastAsia="宋体" w:hint="default"/>
                <w:sz w:val="18"/>
                <w:szCs w:val="18"/>
              </w:rPr>
              <w:t>减：所得税费用</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5"/>
              <w:ind w:left="110" w:right="108" w:hanging="2"/>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十三）</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8,704,208.12</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7,447,356.38</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8,689,462.84</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2"/>
                <w:sz w:val="20"/>
              </w:rPr>
              <w:t>7,366,989.11</w:t>
            </w:r>
          </w:p>
        </w:tc>
      </w:tr>
      <w:tr>
        <w:trPr>
          <w:trHeight w:val="482"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四、净利润（净亏损</w:t>
            </w:r>
          </w:p>
          <w:p>
            <w:pPr>
              <w:pStyle w:val="TableParagraph"/>
              <w:spacing w:line="248" w:lineRule="exact"/>
              <w:ind w:left="93" w:right="0"/>
              <w:jc w:val="left"/>
              <w:rPr>
                <w:rFonts w:ascii="宋体" w:hAnsi="宋体" w:cs="宋体" w:eastAsia="宋体" w:hint="default"/>
                <w:sz w:val="18"/>
                <w:szCs w:val="18"/>
              </w:rPr>
            </w:pPr>
            <w:r>
              <w:rPr>
                <w:rFonts w:ascii="宋体" w:hAnsi="宋体" w:cs="宋体" w:eastAsia="宋体" w:hint="default"/>
                <w:sz w:val="18"/>
                <w:szCs w:val="18"/>
              </w:rPr>
              <w:t>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61,504,981.78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41,045,570.47</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60,092,293.18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41,406,060.50</w:t>
            </w:r>
            <w:r>
              <w:rPr>
                <w:rFonts w:ascii="Arial Narrow"/>
                <w:sz w:val="20"/>
              </w:rPr>
            </w:r>
          </w:p>
        </w:tc>
      </w:tr>
      <w:tr>
        <w:trPr>
          <w:trHeight w:val="481"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其中：被合并方在合</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并前实现的净利润</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归属于母公司所有者</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的净利润</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61,504,981.78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41,045,570.47</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60,092,293.18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41,406,060.50</w:t>
            </w:r>
            <w:r>
              <w:rPr>
                <w:rFonts w:ascii="Arial Narrow"/>
                <w:sz w:val="20"/>
              </w:rPr>
            </w: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9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1"/>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55"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93" w:right="0"/>
              <w:jc w:val="left"/>
              <w:rPr>
                <w:rFonts w:ascii="宋体" w:hAnsi="宋体" w:cs="宋体" w:eastAsia="宋体" w:hint="default"/>
                <w:sz w:val="18"/>
                <w:szCs w:val="18"/>
              </w:rPr>
            </w:pPr>
            <w:r>
              <w:rPr>
                <w:rFonts w:ascii="宋体" w:hAnsi="宋体" w:cs="宋体" w:eastAsia="宋体" w:hint="default"/>
                <w:sz w:val="18"/>
                <w:szCs w:val="18"/>
              </w:rPr>
              <w:t>五、每股收益：</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81"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63" w:right="0"/>
              <w:jc w:val="left"/>
              <w:rPr>
                <w:rFonts w:ascii="宋体" w:hAnsi="宋体" w:cs="宋体" w:eastAsia="宋体" w:hint="default"/>
                <w:sz w:val="18"/>
                <w:szCs w:val="18"/>
              </w:rPr>
            </w:pPr>
            <w:r>
              <w:rPr>
                <w:rFonts w:ascii="宋体" w:hAnsi="宋体" w:cs="宋体" w:eastAsia="宋体" w:hint="default"/>
                <w:spacing w:val="-6"/>
                <w:sz w:val="18"/>
                <w:szCs w:val="18"/>
              </w:rPr>
              <w:t>（一）基本每股收</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10" w:right="108" w:hanging="2"/>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十四）</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1.23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1.03</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pacing w:val="-6"/>
                <w:sz w:val="18"/>
                <w:szCs w:val="18"/>
              </w:rPr>
              <w:t>（二）稀释每股收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10" w:right="108" w:hanging="2"/>
              <w:jc w:val="left"/>
              <w:rPr>
                <w:rFonts w:ascii="宋体" w:hAnsi="宋体" w:cs="宋体" w:eastAsia="宋体" w:hint="default"/>
                <w:sz w:val="16"/>
                <w:szCs w:val="16"/>
              </w:rPr>
            </w:pPr>
            <w:r>
              <w:rPr>
                <w:rFonts w:ascii="宋体" w:hAnsi="宋体" w:cs="宋体" w:eastAsia="宋体" w:hint="default"/>
                <w:sz w:val="16"/>
                <w:szCs w:val="16"/>
              </w:rPr>
              <w:t>五（三</w:t>
            </w:r>
            <w:r>
              <w:rPr>
                <w:rFonts w:ascii="宋体" w:hAnsi="宋体" w:cs="宋体" w:eastAsia="宋体" w:hint="default"/>
                <w:w w:val="99"/>
                <w:sz w:val="16"/>
                <w:szCs w:val="16"/>
              </w:rPr>
              <w:t> </w:t>
            </w:r>
            <w:r>
              <w:rPr>
                <w:rFonts w:ascii="宋体" w:hAnsi="宋体" w:cs="宋体" w:eastAsia="宋体" w:hint="default"/>
                <w:sz w:val="16"/>
                <w:szCs w:val="16"/>
              </w:rPr>
              <w:t>十四）</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1.23</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1.03</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183" w:right="0"/>
              <w:jc w:val="left"/>
              <w:rPr>
                <w:rFonts w:ascii="宋体" w:hAnsi="宋体" w:cs="宋体" w:eastAsia="宋体" w:hint="default"/>
                <w:sz w:val="18"/>
                <w:szCs w:val="18"/>
              </w:rPr>
            </w:pPr>
            <w:r>
              <w:rPr>
                <w:rFonts w:ascii="宋体" w:hAnsi="宋体" w:cs="宋体" w:eastAsia="宋体" w:hint="default"/>
                <w:sz w:val="18"/>
                <w:szCs w:val="18"/>
              </w:rPr>
              <w:t>六、其他综合收益</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6" w:space="0" w:color="000000"/>
            </w:tcBorders>
          </w:tcPr>
          <w:p>
            <w:pP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
        </w:tc>
        <w:tc>
          <w:tcPr>
            <w:tcW w:w="1357" w:type="dxa"/>
            <w:tcBorders>
              <w:top w:val="single" w:sz="6" w:space="0" w:color="000000"/>
              <w:left w:val="single" w:sz="6" w:space="0" w:color="000000"/>
              <w:bottom w:val="single" w:sz="6" w:space="0" w:color="000000"/>
              <w:right w:val="single" w:sz="12" w:space="0" w:color="000000"/>
            </w:tcBorders>
          </w:tcPr>
          <w:p>
            <w:pPr/>
          </w:p>
        </w:tc>
      </w:tr>
      <w:tr>
        <w:trPr>
          <w:trHeight w:val="454" w:hRule="exact"/>
        </w:trPr>
        <w:tc>
          <w:tcPr>
            <w:tcW w:w="18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3"/>
              <w:ind w:left="18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714"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7"/>
              <w:jc w:val="right"/>
              <w:rPr>
                <w:rFonts w:ascii="Arial Narrow" w:hAnsi="Arial Narrow" w:cs="Arial Narrow" w:eastAsia="Arial Narrow" w:hint="default"/>
                <w:sz w:val="20"/>
                <w:szCs w:val="20"/>
              </w:rPr>
            </w:pPr>
            <w:r>
              <w:rPr>
                <w:rFonts w:ascii="Arial Narrow"/>
                <w:spacing w:val="-1"/>
                <w:sz w:val="20"/>
              </w:rPr>
              <w:t>61,504,981.78</w:t>
            </w:r>
            <w:r>
              <w:rPr>
                <w:rFonts w:ascii="Arial Narrow"/>
                <w:sz w:val="20"/>
              </w:rPr>
            </w:r>
          </w:p>
        </w:tc>
        <w:tc>
          <w:tcPr>
            <w:tcW w:w="1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41,045,570.47</w:t>
            </w:r>
            <w:r>
              <w:rPr>
                <w:rFonts w:ascii="Arial Narrow"/>
                <w:sz w:val="20"/>
              </w:rPr>
            </w:r>
          </w:p>
        </w:tc>
        <w:tc>
          <w:tcPr>
            <w:tcW w:w="696" w:type="dxa"/>
            <w:tcBorders>
              <w:top w:val="single" w:sz="6" w:space="0" w:color="000000"/>
              <w:left w:val="single" w:sz="6" w:space="0" w:color="000000"/>
              <w:bottom w:val="single" w:sz="6" w:space="0" w:color="000000"/>
              <w:right w:val="single" w:sz="6" w:space="0" w:color="000000"/>
            </w:tcBorders>
          </w:tcPr>
          <w:p>
            <w:pPr/>
          </w:p>
        </w:tc>
        <w:tc>
          <w:tcPr>
            <w:tcW w:w="14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5"/>
              <w:ind w:right="99"/>
              <w:jc w:val="right"/>
              <w:rPr>
                <w:rFonts w:ascii="Arial Narrow" w:hAnsi="Arial Narrow" w:cs="Arial Narrow" w:eastAsia="Arial Narrow" w:hint="default"/>
                <w:sz w:val="20"/>
                <w:szCs w:val="20"/>
              </w:rPr>
            </w:pPr>
            <w:r>
              <w:rPr>
                <w:rFonts w:ascii="Arial Narrow"/>
                <w:spacing w:val="-1"/>
                <w:sz w:val="20"/>
              </w:rPr>
              <w:t>60,092,293.18</w:t>
            </w:r>
            <w:r>
              <w:rPr>
                <w:rFonts w:ascii="Arial Narrow"/>
                <w:sz w:val="20"/>
              </w:rPr>
            </w:r>
          </w:p>
        </w:tc>
        <w:tc>
          <w:tcPr>
            <w:tcW w:w="13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5"/>
              <w:ind w:right="90"/>
              <w:jc w:val="right"/>
              <w:rPr>
                <w:rFonts w:ascii="Arial Narrow" w:hAnsi="Arial Narrow" w:cs="Arial Narrow" w:eastAsia="Arial Narrow" w:hint="default"/>
                <w:sz w:val="20"/>
                <w:szCs w:val="20"/>
              </w:rPr>
            </w:pPr>
            <w:r>
              <w:rPr>
                <w:rFonts w:ascii="Arial Narrow"/>
                <w:spacing w:val="-1"/>
                <w:sz w:val="20"/>
              </w:rPr>
              <w:t>41,406,060.50</w:t>
            </w:r>
            <w:r>
              <w:rPr>
                <w:rFonts w:ascii="Arial Narrow"/>
                <w:sz w:val="20"/>
              </w:rPr>
            </w:r>
          </w:p>
        </w:tc>
      </w:tr>
      <w:tr>
        <w:trPr>
          <w:trHeight w:val="490" w:hRule="exact"/>
        </w:trPr>
        <w:tc>
          <w:tcPr>
            <w:tcW w:w="1882" w:type="dxa"/>
            <w:tcBorders>
              <w:top w:val="single" w:sz="6" w:space="0" w:color="000000"/>
              <w:left w:val="single" w:sz="12" w:space="0" w:color="000000"/>
              <w:bottom w:val="single" w:sz="12" w:space="0" w:color="000000"/>
              <w:right w:val="single" w:sz="6" w:space="0" w:color="000000"/>
            </w:tcBorders>
          </w:tcPr>
          <w:p>
            <w:pPr>
              <w:pStyle w:val="TableParagraph"/>
              <w:spacing w:line="206" w:lineRule="exact"/>
              <w:ind w:left="543" w:right="0"/>
              <w:jc w:val="left"/>
              <w:rPr>
                <w:rFonts w:ascii="宋体" w:hAnsi="宋体" w:cs="宋体" w:eastAsia="宋体" w:hint="default"/>
                <w:sz w:val="18"/>
                <w:szCs w:val="18"/>
              </w:rPr>
            </w:pPr>
            <w:r>
              <w:rPr>
                <w:rFonts w:ascii="宋体" w:hAnsi="宋体" w:cs="宋体" w:eastAsia="宋体" w:hint="default"/>
                <w:sz w:val="18"/>
                <w:szCs w:val="18"/>
              </w:rPr>
              <w:t>归属于母公司</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所有者的综合收益总</w:t>
            </w:r>
          </w:p>
        </w:tc>
        <w:tc>
          <w:tcPr>
            <w:tcW w:w="714" w:type="dxa"/>
            <w:tcBorders>
              <w:top w:val="single" w:sz="6" w:space="0" w:color="000000"/>
              <w:left w:val="single" w:sz="6" w:space="0" w:color="000000"/>
              <w:bottom w:val="single" w:sz="12" w:space="0" w:color="000000"/>
              <w:right w:val="single" w:sz="6" w:space="0" w:color="000000"/>
            </w:tcBorders>
          </w:tcPr>
          <w:p>
            <w:pPr/>
          </w:p>
        </w:tc>
        <w:tc>
          <w:tcPr>
            <w:tcW w:w="13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61,504,981.78</w:t>
            </w:r>
            <w:r>
              <w:rPr>
                <w:rFonts w:ascii="Arial Narrow"/>
                <w:sz w:val="20"/>
              </w:rPr>
            </w:r>
          </w:p>
        </w:tc>
        <w:tc>
          <w:tcPr>
            <w:tcW w:w="135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41,045,570.47</w:t>
            </w:r>
            <w:r>
              <w:rPr>
                <w:rFonts w:ascii="Arial Narrow"/>
                <w:sz w:val="20"/>
              </w:rPr>
            </w:r>
          </w:p>
        </w:tc>
        <w:tc>
          <w:tcPr>
            <w:tcW w:w="696" w:type="dxa"/>
            <w:tcBorders>
              <w:top w:val="single" w:sz="6" w:space="0" w:color="000000"/>
              <w:left w:val="single" w:sz="6" w:space="0" w:color="000000"/>
              <w:bottom w:val="single" w:sz="12" w:space="0" w:color="000000"/>
              <w:right w:val="single" w:sz="6" w:space="0" w:color="000000"/>
            </w:tcBorders>
          </w:tcPr>
          <w:p>
            <w:pPr/>
          </w:p>
        </w:tc>
        <w:tc>
          <w:tcPr>
            <w:tcW w:w="149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60,092,293.18</w:t>
            </w:r>
            <w:r>
              <w:rPr>
                <w:rFonts w:ascii="Arial Narrow"/>
                <w:sz w:val="20"/>
              </w:rPr>
            </w: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41,406,060.50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882"/>
        <w:gridCol w:w="714"/>
        <w:gridCol w:w="1356"/>
        <w:gridCol w:w="1357"/>
        <w:gridCol w:w="696"/>
        <w:gridCol w:w="1494"/>
        <w:gridCol w:w="1357"/>
      </w:tblGrid>
      <w:tr>
        <w:trPr>
          <w:trHeight w:val="461" w:hRule="exact"/>
        </w:trPr>
        <w:tc>
          <w:tcPr>
            <w:tcW w:w="1882"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714" w:type="dxa"/>
            <w:tcBorders>
              <w:top w:val="single" w:sz="12" w:space="0" w:color="000000"/>
              <w:left w:val="single" w:sz="6" w:space="0" w:color="000000"/>
              <w:bottom w:val="single" w:sz="6" w:space="0" w:color="000000"/>
              <w:right w:val="single" w:sz="6" w:space="0" w:color="000000"/>
            </w:tcBorders>
          </w:tcPr>
          <w:p>
            <w:pPr/>
          </w:p>
        </w:tc>
        <w:tc>
          <w:tcPr>
            <w:tcW w:w="1356"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6" w:space="0" w:color="000000"/>
            </w:tcBorders>
          </w:tcPr>
          <w:p>
            <w:pPr/>
          </w:p>
        </w:tc>
        <w:tc>
          <w:tcPr>
            <w:tcW w:w="696" w:type="dxa"/>
            <w:tcBorders>
              <w:top w:val="single" w:sz="12" w:space="0" w:color="000000"/>
              <w:left w:val="single" w:sz="6" w:space="0" w:color="000000"/>
              <w:bottom w:val="single" w:sz="6" w:space="0" w:color="000000"/>
              <w:right w:val="single" w:sz="6" w:space="0" w:color="000000"/>
            </w:tcBorders>
          </w:tcPr>
          <w:p>
            <w:pPr/>
          </w:p>
        </w:tc>
        <w:tc>
          <w:tcPr>
            <w:tcW w:w="1494" w:type="dxa"/>
            <w:tcBorders>
              <w:top w:val="single" w:sz="12" w:space="0" w:color="000000"/>
              <w:left w:val="single" w:sz="6" w:space="0" w:color="000000"/>
              <w:bottom w:val="single" w:sz="6" w:space="0" w:color="000000"/>
              <w:right w:val="single" w:sz="6" w:space="0" w:color="000000"/>
            </w:tcBorders>
          </w:tcPr>
          <w:p>
            <w:pPr/>
          </w:p>
        </w:tc>
        <w:tc>
          <w:tcPr>
            <w:tcW w:w="1357" w:type="dxa"/>
            <w:tcBorders>
              <w:top w:val="single" w:sz="12" w:space="0" w:color="000000"/>
              <w:left w:val="single" w:sz="6" w:space="0" w:color="000000"/>
              <w:bottom w:val="single" w:sz="6" w:space="0" w:color="000000"/>
              <w:right w:val="single" w:sz="12" w:space="0" w:color="000000"/>
            </w:tcBorders>
          </w:tcPr>
          <w:p>
            <w:pPr/>
          </w:p>
        </w:tc>
      </w:tr>
      <w:tr>
        <w:trPr>
          <w:trHeight w:val="489" w:hRule="exact"/>
        </w:trPr>
        <w:tc>
          <w:tcPr>
            <w:tcW w:w="1882"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543" w:right="0"/>
              <w:jc w:val="left"/>
              <w:rPr>
                <w:rFonts w:ascii="宋体" w:hAnsi="宋体" w:cs="宋体" w:eastAsia="宋体" w:hint="default"/>
                <w:sz w:val="18"/>
                <w:szCs w:val="18"/>
              </w:rPr>
            </w:pPr>
            <w:r>
              <w:rPr>
                <w:rFonts w:ascii="宋体" w:hAnsi="宋体" w:cs="宋体" w:eastAsia="宋体" w:hint="default"/>
                <w:sz w:val="18"/>
                <w:szCs w:val="18"/>
              </w:rPr>
              <w:t>归属于少数股</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东的综合收益总额</w:t>
            </w:r>
          </w:p>
        </w:tc>
        <w:tc>
          <w:tcPr>
            <w:tcW w:w="714" w:type="dxa"/>
            <w:tcBorders>
              <w:top w:val="single" w:sz="6" w:space="0" w:color="000000"/>
              <w:left w:val="single" w:sz="6" w:space="0" w:color="000000"/>
              <w:bottom w:val="single" w:sz="12" w:space="0" w:color="000000"/>
              <w:right w:val="single" w:sz="6" w:space="0" w:color="000000"/>
            </w:tcBorders>
          </w:tcPr>
          <w:p>
            <w:pPr/>
          </w:p>
        </w:tc>
        <w:tc>
          <w:tcPr>
            <w:tcW w:w="1356"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6" w:space="0" w:color="000000"/>
            </w:tcBorders>
          </w:tcPr>
          <w:p>
            <w:pPr/>
          </w:p>
        </w:tc>
        <w:tc>
          <w:tcPr>
            <w:tcW w:w="696" w:type="dxa"/>
            <w:tcBorders>
              <w:top w:val="single" w:sz="6" w:space="0" w:color="000000"/>
              <w:left w:val="single" w:sz="6" w:space="0" w:color="000000"/>
              <w:bottom w:val="single" w:sz="12" w:space="0" w:color="000000"/>
              <w:right w:val="single" w:sz="6" w:space="0" w:color="000000"/>
            </w:tcBorders>
          </w:tcPr>
          <w:p>
            <w:pPr/>
          </w:p>
        </w:tc>
        <w:tc>
          <w:tcPr>
            <w:tcW w:w="1494" w:type="dxa"/>
            <w:tcBorders>
              <w:top w:val="single" w:sz="6" w:space="0" w:color="000000"/>
              <w:left w:val="single" w:sz="6" w:space="0" w:color="000000"/>
              <w:bottom w:val="single" w:sz="12" w:space="0" w:color="000000"/>
              <w:right w:val="single" w:sz="6" w:space="0" w:color="000000"/>
            </w:tcBorders>
          </w:tcPr>
          <w:p>
            <w:pPr/>
          </w:p>
        </w:tc>
        <w:tc>
          <w:tcPr>
            <w:tcW w:w="13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tabs>
          <w:tab w:pos="2729" w:val="left" w:leader="none"/>
          <w:tab w:pos="6298" w:val="left" w:leader="none"/>
        </w:tabs>
        <w:spacing w:line="241" w:lineRule="exact" w:before="0"/>
        <w:ind w:left="0" w:right="30" w:firstLine="0"/>
        <w:jc w:val="center"/>
        <w:rPr>
          <w:rFonts w:ascii="宋体" w:hAnsi="宋体" w:cs="宋体" w:eastAsia="宋体" w:hint="default"/>
          <w:sz w:val="21"/>
          <w:szCs w:val="21"/>
        </w:rPr>
      </w:pPr>
      <w:r>
        <w:rPr>
          <w:rFonts w:ascii="宋体" w:hAnsi="宋体" w:cs="宋体" w:eastAsia="宋体" w:hint="default"/>
          <w:sz w:val="21"/>
          <w:szCs w:val="21"/>
        </w:rPr>
        <w:t>法定代表人：刘祥南</w:t>
        <w:tab/>
      </w:r>
      <w:r>
        <w:rPr>
          <w:rFonts w:ascii="宋体" w:hAnsi="宋体" w:cs="宋体" w:eastAsia="宋体" w:hint="default"/>
          <w:spacing w:val="-1"/>
          <w:sz w:val="21"/>
          <w:szCs w:val="21"/>
        </w:rPr>
        <w:t>主管会计工作负责人：张乃军</w:t>
        <w:tab/>
        <w:t>会计机构负责人：陈志友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6"/>
          <w:szCs w:val="16"/>
        </w:rPr>
      </w:pPr>
    </w:p>
    <w:p>
      <w:pPr>
        <w:pStyle w:val="Heading1"/>
        <w:spacing w:line="240" w:lineRule="auto"/>
        <w:ind w:right="1"/>
        <w:jc w:val="center"/>
        <w:rPr>
          <w:rFonts w:ascii="宋体" w:hAnsi="宋体" w:cs="宋体" w:eastAsia="宋体" w:hint="default"/>
          <w:b w:val="0"/>
          <w:bCs w:val="0"/>
        </w:rPr>
      </w:pPr>
      <w:r>
        <w:rPr>
          <w:rFonts w:ascii="宋体" w:hAnsi="宋体" w:cs="宋体" w:eastAsia="宋体" w:hint="default"/>
        </w:rPr>
        <w:t>现金流量表</w:t>
      </w:r>
      <w:r>
        <w:rPr>
          <w:rFonts w:ascii="宋体" w:hAnsi="宋体" w:cs="宋体" w:eastAsia="宋体" w:hint="default"/>
          <w:b w:val="0"/>
          <w:bCs w:val="0"/>
        </w:rPr>
      </w:r>
    </w:p>
    <w:p>
      <w:pPr>
        <w:spacing w:line="240" w:lineRule="auto" w:before="4"/>
        <w:rPr>
          <w:rFonts w:ascii="宋体" w:hAnsi="宋体" w:cs="宋体" w:eastAsia="宋体" w:hint="default"/>
          <w:b/>
          <w:bCs/>
          <w:sz w:val="14"/>
          <w:szCs w:val="14"/>
        </w:rPr>
      </w:pPr>
    </w:p>
    <w:p>
      <w:pPr>
        <w:spacing w:before="35"/>
        <w:ind w:left="0" w:right="1"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before="118"/>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03</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7446" w:val="left" w:leader="none"/>
        </w:tabs>
        <w:spacing w:before="118"/>
        <w:ind w:left="239" w:right="133" w:firstLine="0"/>
        <w:jc w:val="left"/>
        <w:rPr>
          <w:rFonts w:ascii="宋体" w:hAnsi="宋体" w:cs="宋体" w:eastAsia="宋体" w:hint="default"/>
          <w:sz w:val="21"/>
          <w:szCs w:val="21"/>
        </w:rPr>
      </w:pPr>
      <w:r>
        <w:rPr>
          <w:rFonts w:ascii="宋体" w:hAnsi="宋体" w:cs="宋体" w:eastAsia="宋体" w:hint="default"/>
          <w:spacing w:val="-2"/>
          <w:sz w:val="21"/>
          <w:szCs w:val="21"/>
        </w:rPr>
        <w:t>编制单位：厦门市美亚柏科信息股份有限公司</w:t>
        <w:tab/>
      </w:r>
      <w:r>
        <w:rPr>
          <w:rFonts w:ascii="宋体" w:hAnsi="宋体" w:cs="宋体" w:eastAsia="宋体" w:hint="default"/>
          <w:spacing w:val="-6"/>
          <w:sz w:val="21"/>
          <w:szCs w:val="21"/>
        </w:rPr>
        <w:t>单位：人民币元</w:t>
      </w:r>
    </w:p>
    <w:p>
      <w:pPr>
        <w:spacing w:line="240" w:lineRule="auto" w:before="11"/>
        <w:rPr>
          <w:rFonts w:ascii="宋体" w:hAnsi="宋体" w:cs="宋体" w:eastAsia="宋体" w:hint="default"/>
          <w:sz w:val="12"/>
          <w:szCs w:val="12"/>
        </w:rPr>
      </w:pPr>
    </w:p>
    <w:tbl>
      <w:tblPr>
        <w:tblW w:w="0" w:type="auto"/>
        <w:jc w:val="left"/>
        <w:tblInd w:w="116" w:type="dxa"/>
        <w:tblLayout w:type="fixed"/>
        <w:tblCellMar>
          <w:top w:w="0" w:type="dxa"/>
          <w:left w:w="0" w:type="dxa"/>
          <w:bottom w:w="0" w:type="dxa"/>
          <w:right w:w="0" w:type="dxa"/>
        </w:tblCellMar>
        <w:tblLook w:val="01E0"/>
      </w:tblPr>
      <w:tblGrid>
        <w:gridCol w:w="1647"/>
        <w:gridCol w:w="966"/>
        <w:gridCol w:w="1411"/>
        <w:gridCol w:w="1356"/>
        <w:gridCol w:w="622"/>
        <w:gridCol w:w="1433"/>
        <w:gridCol w:w="1421"/>
      </w:tblGrid>
      <w:tr>
        <w:trPr>
          <w:trHeight w:val="352" w:hRule="exact"/>
        </w:trPr>
        <w:tc>
          <w:tcPr>
            <w:tcW w:w="1647" w:type="dxa"/>
            <w:vMerge w:val="restart"/>
            <w:tcBorders>
              <w:top w:val="single" w:sz="12" w:space="0" w:color="000000"/>
              <w:left w:val="single" w:sz="12" w:space="0" w:color="000000"/>
              <w:right w:val="single" w:sz="6" w:space="0" w:color="000000"/>
            </w:tcBorders>
          </w:tcPr>
          <w:p>
            <w:pPr>
              <w:pStyle w:val="TableParagraph"/>
              <w:spacing w:line="232" w:lineRule="exact" w:before="76"/>
              <w:ind w:left="717" w:right="725"/>
              <w:jc w:val="center"/>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3733" w:type="dxa"/>
            <w:gridSpan w:val="3"/>
            <w:tcBorders>
              <w:top w:val="single" w:sz="12" w:space="0" w:color="000000"/>
              <w:left w:val="single" w:sz="6" w:space="0" w:color="000000"/>
              <w:bottom w:val="single" w:sz="6" w:space="0" w:color="000000"/>
              <w:right w:val="single" w:sz="6" w:space="0" w:color="000000"/>
            </w:tcBorders>
          </w:tcPr>
          <w:p>
            <w:pPr>
              <w:pStyle w:val="TableParagraph"/>
              <w:spacing w:line="240" w:lineRule="auto" w:before="17"/>
              <w:ind w:left="1" w:right="0"/>
              <w:jc w:val="center"/>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sz w:val="18"/>
                <w:szCs w:val="18"/>
              </w:rPr>
            </w:r>
          </w:p>
        </w:tc>
        <w:tc>
          <w:tcPr>
            <w:tcW w:w="3476" w:type="dxa"/>
            <w:gridSpan w:val="3"/>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7"/>
              <w:ind w:left="99" w:right="0"/>
              <w:jc w:val="center"/>
              <w:rPr>
                <w:rFonts w:ascii="宋体" w:hAnsi="宋体" w:cs="宋体" w:eastAsia="宋体" w:hint="default"/>
                <w:sz w:val="18"/>
                <w:szCs w:val="18"/>
              </w:rPr>
            </w:pPr>
            <w:r>
              <w:rPr>
                <w:rFonts w:ascii="宋体" w:hAnsi="宋体" w:cs="宋体" w:eastAsia="宋体" w:hint="default"/>
                <w:b/>
                <w:bCs/>
                <w:sz w:val="18"/>
                <w:szCs w:val="18"/>
              </w:rPr>
              <w:t>母公司</w:t>
            </w:r>
            <w:r>
              <w:rPr>
                <w:rFonts w:ascii="宋体" w:hAnsi="宋体" w:cs="宋体" w:eastAsia="宋体" w:hint="default"/>
                <w:sz w:val="18"/>
                <w:szCs w:val="18"/>
              </w:rPr>
            </w:r>
          </w:p>
        </w:tc>
      </w:tr>
      <w:tr>
        <w:trPr>
          <w:trHeight w:val="330" w:hRule="exact"/>
        </w:trPr>
        <w:tc>
          <w:tcPr>
            <w:tcW w:w="1647" w:type="dxa"/>
            <w:vMerge/>
            <w:tcBorders>
              <w:left w:val="single" w:sz="12" w:space="0" w:color="000000"/>
              <w:bottom w:val="single" w:sz="6" w:space="0" w:color="000000"/>
              <w:right w:val="single" w:sz="6" w:space="0" w:color="000000"/>
            </w:tcBorders>
          </w:tcPr>
          <w:p>
            <w:pP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294" w:right="0"/>
              <w:jc w:val="left"/>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26" w:right="0"/>
              <w:jc w:val="left"/>
              <w:rPr>
                <w:rFonts w:ascii="宋体" w:hAnsi="宋体" w:cs="宋体" w:eastAsia="宋体" w:hint="default"/>
                <w:sz w:val="18"/>
                <w:szCs w:val="18"/>
              </w:rPr>
            </w:pPr>
            <w:r>
              <w:rPr>
                <w:rFonts w:ascii="宋体" w:hAnsi="宋体" w:cs="宋体" w:eastAsia="宋体" w:hint="default"/>
                <w:b/>
                <w:bCs/>
                <w:sz w:val="18"/>
                <w:szCs w:val="18"/>
              </w:rPr>
              <w:t>本年数</w:t>
            </w:r>
            <w:r>
              <w:rPr>
                <w:rFonts w:ascii="宋体" w:hAnsi="宋体" w:cs="宋体" w:eastAsia="宋体" w:hint="default"/>
                <w:sz w:val="18"/>
                <w:szCs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399" w:right="0"/>
              <w:jc w:val="left"/>
              <w:rPr>
                <w:rFonts w:ascii="宋体" w:hAnsi="宋体" w:cs="宋体" w:eastAsia="宋体" w:hint="default"/>
                <w:sz w:val="18"/>
                <w:szCs w:val="18"/>
              </w:rPr>
            </w:pPr>
            <w:r>
              <w:rPr>
                <w:rFonts w:ascii="宋体" w:hAnsi="宋体" w:cs="宋体" w:eastAsia="宋体" w:hint="default"/>
                <w:b/>
                <w:bCs/>
                <w:sz w:val="18"/>
                <w:szCs w:val="18"/>
              </w:rPr>
              <w:t>上年数</w:t>
            </w:r>
            <w:r>
              <w:rPr>
                <w:rFonts w:ascii="宋体" w:hAnsi="宋体" w:cs="宋体" w:eastAsia="宋体" w:hint="default"/>
                <w:sz w:val="18"/>
                <w:szCs w:val="18"/>
              </w:rPr>
            </w:r>
          </w:p>
        </w:tc>
        <w:tc>
          <w:tcPr>
            <w:tcW w:w="6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b/>
                <w:bCs/>
                <w:sz w:val="18"/>
                <w:szCs w:val="18"/>
              </w:rPr>
              <w:t>注释</w:t>
            </w:r>
            <w:r>
              <w:rPr>
                <w:rFonts w:ascii="宋体" w:hAnsi="宋体" w:cs="宋体" w:eastAsia="宋体" w:hint="default"/>
                <w:sz w:val="18"/>
                <w:szCs w:val="18"/>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436" w:right="0"/>
              <w:jc w:val="left"/>
              <w:rPr>
                <w:rFonts w:ascii="宋体" w:hAnsi="宋体" w:cs="宋体" w:eastAsia="宋体" w:hint="default"/>
                <w:sz w:val="18"/>
                <w:szCs w:val="18"/>
              </w:rPr>
            </w:pPr>
            <w:r>
              <w:rPr>
                <w:rFonts w:ascii="宋体" w:hAnsi="宋体" w:cs="宋体" w:eastAsia="宋体" w:hint="default"/>
                <w:b/>
                <w:bCs/>
                <w:sz w:val="18"/>
                <w:szCs w:val="18"/>
              </w:rPr>
              <w:t>本年数</w:t>
            </w:r>
            <w:r>
              <w:rPr>
                <w:rFonts w:ascii="宋体" w:hAnsi="宋体" w:cs="宋体" w:eastAsia="宋体" w:hint="default"/>
                <w:sz w:val="18"/>
                <w:szCs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left="431" w:right="0"/>
              <w:jc w:val="left"/>
              <w:rPr>
                <w:rFonts w:ascii="宋体" w:hAnsi="宋体" w:cs="宋体" w:eastAsia="宋体" w:hint="default"/>
                <w:sz w:val="18"/>
                <w:szCs w:val="18"/>
              </w:rPr>
            </w:pPr>
            <w:r>
              <w:rPr>
                <w:rFonts w:ascii="宋体" w:hAnsi="宋体" w:cs="宋体" w:eastAsia="宋体" w:hint="default"/>
                <w:b/>
                <w:bCs/>
                <w:sz w:val="18"/>
                <w:szCs w:val="18"/>
              </w:rPr>
              <w:t>上年数</w:t>
            </w:r>
            <w:r>
              <w:rPr>
                <w:rFonts w:ascii="宋体" w:hAnsi="宋体" w:cs="宋体" w:eastAsia="宋体" w:hint="default"/>
                <w:sz w:val="18"/>
                <w:szCs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一、经营活动产</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生的现金流量：</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1"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销售商品、提供</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劳务收到的现金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291,141,108.68</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2"/>
                <w:sz w:val="20"/>
              </w:rPr>
              <w:t>228,114,281.37</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286,345,327.63</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223,524,799.83</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客户存款和同业</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存放款项净增加 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向中央银行借款</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6"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向其他金融机构</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拆入资金净增加 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收到原保险合同</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保费取得的现金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收到再保险业务</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现金净额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保户储金及投资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款净增加额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处置交易性金融</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资产净增加额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收取利息、手续</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费及佣金的现金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拆入资金净增加</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回购业务资金净</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增加额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30"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18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8,986,141.60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7"/>
              <w:jc w:val="right"/>
              <w:rPr>
                <w:rFonts w:ascii="Arial Narrow" w:hAnsi="Arial Narrow" w:cs="Arial Narrow" w:eastAsia="Arial Narrow" w:hint="default"/>
                <w:sz w:val="20"/>
                <w:szCs w:val="20"/>
              </w:rPr>
            </w:pPr>
            <w:r>
              <w:rPr>
                <w:rFonts w:ascii="Arial Narrow"/>
                <w:spacing w:val="-1"/>
                <w:sz w:val="20"/>
              </w:rPr>
              <w:t>4,363,656.53</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8,986,141.60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0"/>
              <w:jc w:val="right"/>
              <w:rPr>
                <w:rFonts w:ascii="Arial Narrow" w:hAnsi="Arial Narrow" w:cs="Arial Narrow" w:eastAsia="Arial Narrow" w:hint="default"/>
                <w:sz w:val="20"/>
                <w:szCs w:val="20"/>
              </w:rPr>
            </w:pPr>
            <w:r>
              <w:rPr>
                <w:rFonts w:ascii="Arial Narrow"/>
                <w:spacing w:val="-1"/>
                <w:sz w:val="20"/>
              </w:rPr>
              <w:t>4,363,656.53</w:t>
            </w:r>
            <w:r>
              <w:rPr>
                <w:rFonts w:ascii="Arial Narrow"/>
                <w:sz w:val="20"/>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收到其他与经营</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before="21"/>
              <w:ind w:left="315" w:right="155" w:hanging="160"/>
              <w:jc w:val="left"/>
              <w:rPr>
                <w:rFonts w:ascii="宋体" w:hAnsi="宋体" w:cs="宋体" w:eastAsia="宋体" w:hint="default"/>
                <w:sz w:val="16"/>
                <w:szCs w:val="16"/>
              </w:rPr>
            </w:pPr>
            <w:r>
              <w:rPr>
                <w:rFonts w:ascii="宋体" w:hAnsi="宋体" w:cs="宋体" w:eastAsia="宋体" w:hint="default"/>
                <w:sz w:val="16"/>
                <w:szCs w:val="16"/>
              </w:rPr>
              <w:t>五（三十</w:t>
            </w:r>
            <w:r>
              <w:rPr>
                <w:rFonts w:ascii="宋体" w:hAnsi="宋体" w:cs="宋体" w:eastAsia="宋体" w:hint="default"/>
                <w:w w:val="99"/>
                <w:sz w:val="16"/>
                <w:szCs w:val="16"/>
              </w:rPr>
              <w:t> </w:t>
            </w:r>
            <w:r>
              <w:rPr>
                <w:rFonts w:ascii="宋体" w:hAnsi="宋体" w:cs="宋体" w:eastAsia="宋体" w:hint="default"/>
                <w:sz w:val="16"/>
                <w:szCs w:val="16"/>
              </w:rPr>
              <w:t>五）</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16,083,803.71</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26,052,346.15</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17,189,404.12</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26,324,657.84</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经营活动现金</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流入小计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2"/>
                <w:sz w:val="20"/>
              </w:rPr>
              <w:t>316,211,053.99</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258,530,284.05</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312,520,873.35</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2"/>
                <w:sz w:val="20"/>
              </w:rPr>
              <w:t>254,213,114.20</w:t>
            </w:r>
            <w:r>
              <w:rPr>
                <w:rFonts w:ascii="Arial Narrow"/>
                <w:sz w:val="20"/>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购买商品、接受</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劳务支付的现金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2"/>
                <w:sz w:val="20"/>
              </w:rPr>
              <w:t>164,117,754.02</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101,986,031.02</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166,633,417.41</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100,928,998.40</w:t>
            </w:r>
            <w:r>
              <w:rPr>
                <w:rFonts w:ascii="Arial Narrow"/>
                <w:sz w:val="20"/>
              </w:rPr>
            </w:r>
          </w:p>
        </w:tc>
      </w:tr>
      <w:tr>
        <w:trPr>
          <w:trHeight w:val="490" w:hRule="exact"/>
        </w:trPr>
        <w:tc>
          <w:tcPr>
            <w:tcW w:w="1647" w:type="dxa"/>
            <w:tcBorders>
              <w:top w:val="single" w:sz="6" w:space="0" w:color="000000"/>
              <w:left w:val="single" w:sz="12" w:space="0" w:color="000000"/>
              <w:bottom w:val="single" w:sz="12"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客户贷款及垫款</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净增加额</w:t>
            </w:r>
          </w:p>
        </w:tc>
        <w:tc>
          <w:tcPr>
            <w:tcW w:w="966" w:type="dxa"/>
            <w:tcBorders>
              <w:top w:val="single" w:sz="6" w:space="0" w:color="000000"/>
              <w:left w:val="single" w:sz="6" w:space="0" w:color="000000"/>
              <w:bottom w:val="single" w:sz="12" w:space="0" w:color="000000"/>
              <w:right w:val="single" w:sz="6" w:space="0" w:color="000000"/>
            </w:tcBorders>
          </w:tcPr>
          <w:p>
            <w:pPr/>
          </w:p>
        </w:tc>
        <w:tc>
          <w:tcPr>
            <w:tcW w:w="1411" w:type="dxa"/>
            <w:tcBorders>
              <w:top w:val="single" w:sz="6" w:space="0" w:color="000000"/>
              <w:left w:val="single" w:sz="6" w:space="0" w:color="000000"/>
              <w:bottom w:val="single" w:sz="12" w:space="0" w:color="000000"/>
              <w:right w:val="single" w:sz="6" w:space="0" w:color="000000"/>
            </w:tcBorders>
          </w:tcPr>
          <w:p>
            <w:pPr/>
          </w:p>
        </w:tc>
        <w:tc>
          <w:tcPr>
            <w:tcW w:w="1356" w:type="dxa"/>
            <w:tcBorders>
              <w:top w:val="single" w:sz="6" w:space="0" w:color="000000"/>
              <w:left w:val="single" w:sz="6" w:space="0" w:color="000000"/>
              <w:bottom w:val="single" w:sz="12" w:space="0" w:color="000000"/>
              <w:right w:val="single" w:sz="6" w:space="0" w:color="000000"/>
            </w:tcBorders>
          </w:tcPr>
          <w:p>
            <w:pPr/>
          </w:p>
        </w:tc>
        <w:tc>
          <w:tcPr>
            <w:tcW w:w="622" w:type="dxa"/>
            <w:tcBorders>
              <w:top w:val="single" w:sz="6" w:space="0" w:color="000000"/>
              <w:left w:val="single" w:sz="6" w:space="0" w:color="000000"/>
              <w:bottom w:val="single" w:sz="12" w:space="0" w:color="000000"/>
              <w:right w:val="single" w:sz="6" w:space="0" w:color="000000"/>
            </w:tcBorders>
          </w:tcPr>
          <w:p>
            <w:pPr/>
          </w:p>
        </w:tc>
        <w:tc>
          <w:tcPr>
            <w:tcW w:w="14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647"/>
        <w:gridCol w:w="966"/>
        <w:gridCol w:w="1411"/>
        <w:gridCol w:w="1356"/>
        <w:gridCol w:w="622"/>
        <w:gridCol w:w="1433"/>
        <w:gridCol w:w="1421"/>
      </w:tblGrid>
      <w:tr>
        <w:trPr>
          <w:trHeight w:val="723" w:hRule="exact"/>
        </w:trPr>
        <w:tc>
          <w:tcPr>
            <w:tcW w:w="1647"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存放中央银行和</w:t>
            </w:r>
          </w:p>
          <w:p>
            <w:pPr>
              <w:pStyle w:val="TableParagraph"/>
              <w:spacing w:line="232" w:lineRule="exact" w:before="24"/>
              <w:ind w:left="93" w:right="269"/>
              <w:jc w:val="left"/>
              <w:rPr>
                <w:rFonts w:ascii="宋体" w:hAnsi="宋体" w:cs="宋体" w:eastAsia="宋体" w:hint="default"/>
                <w:sz w:val="18"/>
                <w:szCs w:val="18"/>
              </w:rPr>
            </w:pPr>
            <w:r>
              <w:rPr>
                <w:rFonts w:ascii="宋体" w:hAnsi="宋体" w:cs="宋体" w:eastAsia="宋体" w:hint="default"/>
                <w:sz w:val="18"/>
                <w:szCs w:val="18"/>
              </w:rPr>
              <w:t>同业款项净增加 额</w:t>
            </w:r>
          </w:p>
        </w:tc>
        <w:tc>
          <w:tcPr>
            <w:tcW w:w="966" w:type="dxa"/>
            <w:tcBorders>
              <w:top w:val="single" w:sz="12" w:space="0" w:color="000000"/>
              <w:left w:val="single" w:sz="6" w:space="0" w:color="000000"/>
              <w:bottom w:val="single" w:sz="6" w:space="0" w:color="000000"/>
              <w:right w:val="single" w:sz="6" w:space="0" w:color="000000"/>
            </w:tcBorders>
          </w:tcPr>
          <w:p>
            <w:pPr/>
          </w:p>
        </w:tc>
        <w:tc>
          <w:tcPr>
            <w:tcW w:w="1411" w:type="dxa"/>
            <w:tcBorders>
              <w:top w:val="single" w:sz="12" w:space="0" w:color="000000"/>
              <w:left w:val="single" w:sz="6" w:space="0" w:color="000000"/>
              <w:bottom w:val="single" w:sz="6" w:space="0" w:color="000000"/>
              <w:right w:val="single" w:sz="6" w:space="0" w:color="000000"/>
            </w:tcBorders>
          </w:tcPr>
          <w:p>
            <w:pPr/>
          </w:p>
        </w:tc>
        <w:tc>
          <w:tcPr>
            <w:tcW w:w="1356" w:type="dxa"/>
            <w:tcBorders>
              <w:top w:val="single" w:sz="12" w:space="0" w:color="000000"/>
              <w:left w:val="single" w:sz="6" w:space="0" w:color="000000"/>
              <w:bottom w:val="single" w:sz="6" w:space="0" w:color="000000"/>
              <w:right w:val="single" w:sz="6" w:space="0" w:color="000000"/>
            </w:tcBorders>
          </w:tcPr>
          <w:p>
            <w:pPr/>
          </w:p>
        </w:tc>
        <w:tc>
          <w:tcPr>
            <w:tcW w:w="622" w:type="dxa"/>
            <w:tcBorders>
              <w:top w:val="single" w:sz="12" w:space="0" w:color="000000"/>
              <w:left w:val="single" w:sz="6" w:space="0" w:color="000000"/>
              <w:bottom w:val="single" w:sz="6" w:space="0" w:color="000000"/>
              <w:right w:val="single" w:sz="6" w:space="0" w:color="000000"/>
            </w:tcBorders>
          </w:tcPr>
          <w:p>
            <w:pPr/>
          </w:p>
        </w:tc>
        <w:tc>
          <w:tcPr>
            <w:tcW w:w="143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支付原保险合同</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赔付款项的现金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支付利息、手续</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费及佣金的现金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支付保单红利的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支付给职工以及</w:t>
            </w:r>
          </w:p>
          <w:p>
            <w:pPr>
              <w:pStyle w:val="TableParagraph"/>
              <w:spacing w:line="232" w:lineRule="exact" w:before="24"/>
              <w:ind w:left="93" w:right="269"/>
              <w:jc w:val="left"/>
              <w:rPr>
                <w:rFonts w:ascii="宋体" w:hAnsi="宋体" w:cs="宋体" w:eastAsia="宋体" w:hint="default"/>
                <w:sz w:val="18"/>
                <w:szCs w:val="18"/>
              </w:rPr>
            </w:pPr>
            <w:r>
              <w:rPr>
                <w:rFonts w:ascii="宋体" w:hAnsi="宋体" w:cs="宋体" w:eastAsia="宋体" w:hint="default"/>
                <w:sz w:val="18"/>
                <w:szCs w:val="18"/>
              </w:rPr>
              <w:t>为职工支付的现 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52,383,991.35</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2"/>
                <w:sz w:val="20"/>
              </w:rPr>
              <w:t>33,889,116.37</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50,127,430.78</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32,141,992.20</w:t>
            </w:r>
            <w:r>
              <w:rPr>
                <w:rFonts w:ascii="Arial Narrow"/>
                <w:sz w:val="20"/>
              </w:rPr>
            </w:r>
          </w:p>
        </w:tc>
      </w:tr>
      <w:tr>
        <w:trPr>
          <w:trHeight w:val="330"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支付的各项税费</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28,317,456.57</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7"/>
              <w:jc w:val="right"/>
              <w:rPr>
                <w:rFonts w:ascii="Arial Narrow" w:hAnsi="Arial Narrow" w:cs="Arial Narrow" w:eastAsia="Arial Narrow" w:hint="default"/>
                <w:sz w:val="20"/>
                <w:szCs w:val="20"/>
              </w:rPr>
            </w:pPr>
            <w:r>
              <w:rPr>
                <w:rFonts w:ascii="Arial Narrow"/>
                <w:spacing w:val="-1"/>
                <w:sz w:val="20"/>
              </w:rPr>
              <w:t>26,514,261.76</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27,926,922.41</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3"/>
              <w:ind w:right="90"/>
              <w:jc w:val="right"/>
              <w:rPr>
                <w:rFonts w:ascii="Arial Narrow" w:hAnsi="Arial Narrow" w:cs="Arial Narrow" w:eastAsia="Arial Narrow" w:hint="default"/>
                <w:sz w:val="20"/>
                <w:szCs w:val="20"/>
              </w:rPr>
            </w:pPr>
            <w:r>
              <w:rPr>
                <w:rFonts w:ascii="Arial Narrow"/>
                <w:spacing w:val="-1"/>
                <w:sz w:val="20"/>
              </w:rPr>
              <w:t>26,152,538.46</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支付其他与经营</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315" w:right="155" w:hanging="160"/>
              <w:jc w:val="left"/>
              <w:rPr>
                <w:rFonts w:ascii="宋体" w:hAnsi="宋体" w:cs="宋体" w:eastAsia="宋体" w:hint="default"/>
                <w:sz w:val="16"/>
                <w:szCs w:val="16"/>
              </w:rPr>
            </w:pPr>
            <w:r>
              <w:rPr>
                <w:rFonts w:ascii="宋体" w:hAnsi="宋体" w:cs="宋体" w:eastAsia="宋体" w:hint="default"/>
                <w:sz w:val="16"/>
                <w:szCs w:val="16"/>
              </w:rPr>
              <w:t>五（三十</w:t>
            </w:r>
            <w:r>
              <w:rPr>
                <w:rFonts w:ascii="宋体" w:hAnsi="宋体" w:cs="宋体" w:eastAsia="宋体" w:hint="default"/>
                <w:w w:val="99"/>
                <w:sz w:val="16"/>
                <w:szCs w:val="16"/>
              </w:rPr>
              <w:t> </w:t>
            </w:r>
            <w:r>
              <w:rPr>
                <w:rFonts w:ascii="宋体" w:hAnsi="宋体" w:cs="宋体" w:eastAsia="宋体" w:hint="default"/>
                <w:sz w:val="16"/>
                <w:szCs w:val="16"/>
              </w:rPr>
              <w:t>五）</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67,443,548.05</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37,302,229.45</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66,512,691.26</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37,767,922.16</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63" w:right="0"/>
              <w:jc w:val="left"/>
              <w:rPr>
                <w:rFonts w:ascii="宋体" w:hAnsi="宋体" w:cs="宋体" w:eastAsia="宋体" w:hint="default"/>
                <w:sz w:val="18"/>
                <w:szCs w:val="18"/>
              </w:rPr>
            </w:pPr>
            <w:r>
              <w:rPr>
                <w:rFonts w:ascii="宋体" w:hAnsi="宋体" w:cs="宋体" w:eastAsia="宋体" w:hint="default"/>
                <w:sz w:val="18"/>
                <w:szCs w:val="18"/>
              </w:rPr>
              <w:t>经营活动现金</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流出小计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312,262,749.99</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199,691,638.60</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2"/>
                <w:sz w:val="20"/>
              </w:rPr>
              <w:t>311,200,461.86</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196,991,451.22</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543" w:right="0"/>
              <w:jc w:val="left"/>
              <w:rPr>
                <w:rFonts w:ascii="宋体" w:hAnsi="宋体" w:cs="宋体" w:eastAsia="宋体" w:hint="default"/>
                <w:sz w:val="18"/>
                <w:szCs w:val="18"/>
              </w:rPr>
            </w:pPr>
            <w:r>
              <w:rPr>
                <w:rFonts w:ascii="宋体" w:hAnsi="宋体" w:cs="宋体" w:eastAsia="宋体" w:hint="default"/>
                <w:sz w:val="18"/>
                <w:szCs w:val="18"/>
              </w:rPr>
              <w:t>经营活动产</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生的现金流量净 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3,948,304.00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58,838,645.45</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2"/>
                <w:sz w:val="20"/>
              </w:rPr>
              <w:t>1,320,411.49</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57,221,662.98</w:t>
            </w:r>
            <w:r>
              <w:rPr>
                <w:rFonts w:ascii="Arial Narrow"/>
                <w:sz w:val="20"/>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二、投资活动产</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生的现金流量：</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收回投资收到的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取得投资收益收</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到的现金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49"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both"/>
              <w:rPr>
                <w:rFonts w:ascii="宋体" w:hAnsi="宋体" w:cs="宋体" w:eastAsia="宋体" w:hint="default"/>
                <w:sz w:val="18"/>
                <w:szCs w:val="18"/>
              </w:rPr>
            </w:pPr>
            <w:r>
              <w:rPr>
                <w:rFonts w:ascii="宋体" w:hAnsi="宋体" w:cs="宋体" w:eastAsia="宋体" w:hint="default"/>
                <w:sz w:val="18"/>
                <w:szCs w:val="18"/>
              </w:rPr>
              <w:t>处置固定资产、</w:t>
            </w:r>
          </w:p>
          <w:p>
            <w:pPr>
              <w:pStyle w:val="TableParagraph"/>
              <w:spacing w:line="237" w:lineRule="auto" w:before="1"/>
              <w:ind w:left="93" w:right="269"/>
              <w:jc w:val="both"/>
              <w:rPr>
                <w:rFonts w:ascii="宋体" w:hAnsi="宋体" w:cs="宋体" w:eastAsia="宋体" w:hint="default"/>
                <w:sz w:val="18"/>
                <w:szCs w:val="18"/>
              </w:rPr>
            </w:pPr>
            <w:r>
              <w:rPr>
                <w:rFonts w:ascii="宋体" w:hAnsi="宋体" w:cs="宋体" w:eastAsia="宋体" w:hint="default"/>
                <w:sz w:val="18"/>
                <w:szCs w:val="18"/>
              </w:rPr>
              <w:t>无形资产和其他 长期资产收回的 现金净额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7"/>
              <w:jc w:val="right"/>
              <w:rPr>
                <w:rFonts w:ascii="Arial Narrow" w:hAnsi="Arial Narrow" w:cs="Arial Narrow" w:eastAsia="Arial Narrow" w:hint="default"/>
                <w:sz w:val="20"/>
                <w:szCs w:val="20"/>
              </w:rPr>
            </w:pPr>
            <w:r>
              <w:rPr>
                <w:rFonts w:ascii="Arial Narrow"/>
                <w:spacing w:val="-1"/>
                <w:sz w:val="20"/>
              </w:rPr>
              <w:t>97,477.00</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0"/>
              <w:jc w:val="right"/>
              <w:rPr>
                <w:rFonts w:ascii="Arial Narrow" w:hAnsi="Arial Narrow" w:cs="Arial Narrow" w:eastAsia="Arial Narrow" w:hint="default"/>
                <w:sz w:val="20"/>
                <w:szCs w:val="20"/>
              </w:rPr>
            </w:pPr>
            <w:r>
              <w:rPr>
                <w:rFonts w:ascii="Arial Narrow"/>
                <w:spacing w:val="-1"/>
                <w:sz w:val="20"/>
              </w:rPr>
              <w:t>97,477.00</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处置子公司及其</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他营业单位收到 的现金净额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收到其他与投资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363" w:right="0"/>
              <w:jc w:val="left"/>
              <w:rPr>
                <w:rFonts w:ascii="宋体" w:hAnsi="宋体" w:cs="宋体" w:eastAsia="宋体" w:hint="default"/>
                <w:sz w:val="18"/>
                <w:szCs w:val="18"/>
              </w:rPr>
            </w:pPr>
            <w:r>
              <w:rPr>
                <w:rFonts w:ascii="宋体" w:hAnsi="宋体" w:cs="宋体" w:eastAsia="宋体" w:hint="default"/>
                <w:sz w:val="18"/>
                <w:szCs w:val="18"/>
              </w:rPr>
              <w:t>投资活动现金</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流入小计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97,477.00</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97,477.00</w:t>
            </w:r>
            <w:r>
              <w:rPr>
                <w:rFonts w:ascii="Arial Narrow"/>
                <w:sz w:val="20"/>
              </w:rPr>
            </w:r>
          </w:p>
        </w:tc>
      </w:tr>
      <w:tr>
        <w:trPr>
          <w:trHeight w:val="949"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both"/>
              <w:rPr>
                <w:rFonts w:ascii="宋体" w:hAnsi="宋体" w:cs="宋体" w:eastAsia="宋体" w:hint="default"/>
                <w:sz w:val="18"/>
                <w:szCs w:val="18"/>
              </w:rPr>
            </w:pPr>
            <w:r>
              <w:rPr>
                <w:rFonts w:ascii="宋体" w:hAnsi="宋体" w:cs="宋体" w:eastAsia="宋体" w:hint="default"/>
                <w:sz w:val="18"/>
                <w:szCs w:val="18"/>
              </w:rPr>
              <w:t>购建固定资产、</w:t>
            </w:r>
          </w:p>
          <w:p>
            <w:pPr>
              <w:pStyle w:val="TableParagraph"/>
              <w:spacing w:line="237" w:lineRule="auto" w:before="1"/>
              <w:ind w:left="93" w:right="269"/>
              <w:jc w:val="both"/>
              <w:rPr>
                <w:rFonts w:ascii="宋体" w:hAnsi="宋体" w:cs="宋体" w:eastAsia="宋体" w:hint="default"/>
                <w:sz w:val="18"/>
                <w:szCs w:val="18"/>
              </w:rPr>
            </w:pPr>
            <w:r>
              <w:rPr>
                <w:rFonts w:ascii="宋体" w:hAnsi="宋体" w:cs="宋体" w:eastAsia="宋体" w:hint="default"/>
                <w:sz w:val="18"/>
                <w:szCs w:val="18"/>
              </w:rPr>
              <w:t>无形资产和其他 长期资产支付的 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9"/>
              <w:jc w:val="right"/>
              <w:rPr>
                <w:rFonts w:ascii="Arial Narrow" w:hAnsi="Arial Narrow" w:cs="Arial Narrow" w:eastAsia="Arial Narrow" w:hint="default"/>
                <w:sz w:val="20"/>
                <w:szCs w:val="20"/>
              </w:rPr>
            </w:pPr>
            <w:r>
              <w:rPr>
                <w:rFonts w:ascii="Arial Narrow"/>
                <w:spacing w:val="-1"/>
                <w:sz w:val="20"/>
              </w:rPr>
              <w:t>30,801,092.22</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7"/>
              <w:jc w:val="right"/>
              <w:rPr>
                <w:rFonts w:ascii="Arial Narrow" w:hAnsi="Arial Narrow" w:cs="Arial Narrow" w:eastAsia="Arial Narrow" w:hint="default"/>
                <w:sz w:val="20"/>
                <w:szCs w:val="20"/>
              </w:rPr>
            </w:pPr>
            <w:r>
              <w:rPr>
                <w:rFonts w:ascii="Arial Narrow"/>
                <w:spacing w:val="-1"/>
                <w:sz w:val="20"/>
              </w:rPr>
              <w:t>15,457,943.33</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9"/>
              <w:jc w:val="right"/>
              <w:rPr>
                <w:rFonts w:ascii="Arial Narrow" w:hAnsi="Arial Narrow" w:cs="Arial Narrow" w:eastAsia="Arial Narrow" w:hint="default"/>
                <w:sz w:val="20"/>
                <w:szCs w:val="20"/>
              </w:rPr>
            </w:pPr>
            <w:r>
              <w:rPr>
                <w:rFonts w:ascii="Arial Narrow"/>
                <w:spacing w:val="-1"/>
                <w:sz w:val="20"/>
              </w:rPr>
              <w:t>30,801,092.22</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90"/>
              <w:jc w:val="right"/>
              <w:rPr>
                <w:rFonts w:ascii="Arial Narrow" w:hAnsi="Arial Narrow" w:cs="Arial Narrow" w:eastAsia="Arial Narrow" w:hint="default"/>
                <w:sz w:val="20"/>
                <w:szCs w:val="20"/>
              </w:rPr>
            </w:pPr>
            <w:r>
              <w:rPr>
                <w:rFonts w:ascii="Arial Narrow"/>
                <w:spacing w:val="-1"/>
                <w:sz w:val="20"/>
              </w:rPr>
              <w:t>15,457,943.33</w:t>
            </w:r>
            <w:r>
              <w:rPr>
                <w:rFonts w:ascii="Arial Narrow"/>
                <w:sz w:val="20"/>
              </w:rPr>
            </w:r>
          </w:p>
        </w:tc>
      </w:tr>
      <w:tr>
        <w:trPr>
          <w:trHeight w:val="330"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投资支付的现金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273,455,000.00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9"/>
              <w:jc w:val="right"/>
              <w:rPr>
                <w:rFonts w:ascii="Arial Narrow" w:hAnsi="Arial Narrow" w:cs="Arial Narrow" w:eastAsia="Arial Narrow" w:hint="default"/>
                <w:sz w:val="20"/>
                <w:szCs w:val="20"/>
              </w:rPr>
            </w:pPr>
            <w:r>
              <w:rPr>
                <w:rFonts w:ascii="Arial Narrow"/>
                <w:spacing w:val="-1"/>
                <w:sz w:val="20"/>
              </w:rPr>
              <w:t>290,455,000.00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质押贷款净增加</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取得子公司及其</w:t>
            </w:r>
          </w:p>
          <w:p>
            <w:pPr>
              <w:pStyle w:val="TableParagraph"/>
              <w:spacing w:line="232" w:lineRule="exact" w:before="24"/>
              <w:ind w:left="93" w:right="269"/>
              <w:jc w:val="left"/>
              <w:rPr>
                <w:rFonts w:ascii="宋体" w:hAnsi="宋体" w:cs="宋体" w:eastAsia="宋体" w:hint="default"/>
                <w:sz w:val="18"/>
                <w:szCs w:val="18"/>
              </w:rPr>
            </w:pPr>
            <w:r>
              <w:rPr>
                <w:rFonts w:ascii="宋体" w:hAnsi="宋体" w:cs="宋体" w:eastAsia="宋体" w:hint="default"/>
                <w:sz w:val="18"/>
                <w:szCs w:val="18"/>
              </w:rPr>
              <w:t>他营业单位支付 的现金净额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支付其他与投资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315" w:right="155" w:hanging="160"/>
              <w:jc w:val="left"/>
              <w:rPr>
                <w:rFonts w:ascii="宋体" w:hAnsi="宋体" w:cs="宋体" w:eastAsia="宋体" w:hint="default"/>
                <w:sz w:val="16"/>
                <w:szCs w:val="16"/>
              </w:rPr>
            </w:pPr>
            <w:r>
              <w:rPr>
                <w:rFonts w:ascii="宋体" w:hAnsi="宋体" w:cs="宋体" w:eastAsia="宋体" w:hint="default"/>
                <w:sz w:val="16"/>
                <w:szCs w:val="16"/>
              </w:rPr>
              <w:t>五（三十</w:t>
            </w:r>
            <w:r>
              <w:rPr>
                <w:rFonts w:ascii="宋体" w:hAnsi="宋体" w:cs="宋体" w:eastAsia="宋体" w:hint="default"/>
                <w:w w:val="99"/>
                <w:sz w:val="16"/>
                <w:szCs w:val="16"/>
              </w:rPr>
              <w:t> </w:t>
            </w:r>
            <w:r>
              <w:rPr>
                <w:rFonts w:ascii="宋体" w:hAnsi="宋体" w:cs="宋体" w:eastAsia="宋体" w:hint="default"/>
                <w:sz w:val="16"/>
                <w:szCs w:val="16"/>
              </w:rPr>
              <w:t>五）</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投资活动现金</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流出小计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314,256,092.22</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15,457,943.33</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331256092.22</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15,457,943.33</w:t>
            </w:r>
            <w:r>
              <w:rPr>
                <w:rFonts w:ascii="Arial Narrow"/>
                <w:sz w:val="20"/>
              </w:rPr>
            </w:r>
          </w:p>
        </w:tc>
      </w:tr>
      <w:tr>
        <w:trPr>
          <w:trHeight w:val="489" w:hRule="exact"/>
        </w:trPr>
        <w:tc>
          <w:tcPr>
            <w:tcW w:w="1647"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543" w:right="0"/>
              <w:jc w:val="left"/>
              <w:rPr>
                <w:rFonts w:ascii="宋体" w:hAnsi="宋体" w:cs="宋体" w:eastAsia="宋体" w:hint="default"/>
                <w:sz w:val="18"/>
                <w:szCs w:val="18"/>
              </w:rPr>
            </w:pPr>
            <w:r>
              <w:rPr>
                <w:rFonts w:ascii="宋体" w:hAnsi="宋体" w:cs="宋体" w:eastAsia="宋体" w:hint="default"/>
                <w:sz w:val="18"/>
                <w:szCs w:val="18"/>
              </w:rPr>
              <w:t>投资活动产</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生的现金流量净</w:t>
            </w:r>
          </w:p>
        </w:tc>
        <w:tc>
          <w:tcPr>
            <w:tcW w:w="966" w:type="dxa"/>
            <w:tcBorders>
              <w:top w:val="single" w:sz="6" w:space="0" w:color="000000"/>
              <w:left w:val="single" w:sz="6" w:space="0" w:color="000000"/>
              <w:bottom w:val="single" w:sz="12" w:space="0" w:color="000000"/>
              <w:right w:val="single" w:sz="6" w:space="0" w:color="000000"/>
            </w:tcBorders>
          </w:tcPr>
          <w:p>
            <w:pPr/>
          </w:p>
        </w:tc>
        <w:tc>
          <w:tcPr>
            <w:tcW w:w="14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-314,256,092.22</w:t>
            </w:r>
            <w:r>
              <w:rPr>
                <w:rFonts w:ascii="Arial Narrow"/>
                <w:sz w:val="20"/>
              </w:rPr>
            </w:r>
          </w:p>
        </w:tc>
        <w:tc>
          <w:tcPr>
            <w:tcW w:w="13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-15,360,466.33</w:t>
            </w:r>
            <w:r>
              <w:rPr>
                <w:rFonts w:ascii="Arial Narrow"/>
                <w:sz w:val="20"/>
              </w:rPr>
            </w:r>
          </w:p>
        </w:tc>
        <w:tc>
          <w:tcPr>
            <w:tcW w:w="622" w:type="dxa"/>
            <w:tcBorders>
              <w:top w:val="single" w:sz="6" w:space="0" w:color="000000"/>
              <w:left w:val="single" w:sz="6" w:space="0" w:color="000000"/>
              <w:bottom w:val="single" w:sz="12" w:space="0" w:color="000000"/>
              <w:right w:val="single" w:sz="6" w:space="0" w:color="000000"/>
            </w:tcBorders>
          </w:tcPr>
          <w:p>
            <w:pPr/>
          </w:p>
        </w:tc>
        <w:tc>
          <w:tcPr>
            <w:tcW w:w="14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-331256092.22</w:t>
            </w:r>
            <w:r>
              <w:rPr>
                <w:rFonts w:ascii="Arial Narrow"/>
                <w:sz w:val="20"/>
              </w:rPr>
            </w:r>
          </w:p>
        </w:tc>
        <w:tc>
          <w:tcPr>
            <w:tcW w:w="14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-15,360,466.33</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2240" w:h="15840"/>
          <w:pgMar w:header="0" w:footer="688" w:top="1360" w:bottom="880" w:left="1560" w:right="1560"/>
        </w:sectPr>
      </w:pPr>
    </w:p>
    <w:p>
      <w:pPr>
        <w:spacing w:line="240" w:lineRule="auto" w:before="11"/>
        <w:rPr>
          <w:rFonts w:ascii="Times New Roman" w:hAnsi="Times New Roman" w:cs="Times New Roman" w:eastAsia="Times New Roman" w:hint="default"/>
          <w:sz w:val="6"/>
          <w:szCs w:val="6"/>
        </w:rPr>
      </w:pPr>
    </w:p>
    <w:tbl>
      <w:tblPr>
        <w:tblW w:w="0" w:type="auto"/>
        <w:jc w:val="left"/>
        <w:tblInd w:w="116" w:type="dxa"/>
        <w:tblLayout w:type="fixed"/>
        <w:tblCellMar>
          <w:top w:w="0" w:type="dxa"/>
          <w:left w:w="0" w:type="dxa"/>
          <w:bottom w:w="0" w:type="dxa"/>
          <w:right w:w="0" w:type="dxa"/>
        </w:tblCellMar>
        <w:tblLook w:val="01E0"/>
      </w:tblPr>
      <w:tblGrid>
        <w:gridCol w:w="1647"/>
        <w:gridCol w:w="966"/>
        <w:gridCol w:w="1411"/>
        <w:gridCol w:w="1356"/>
        <w:gridCol w:w="622"/>
        <w:gridCol w:w="1433"/>
        <w:gridCol w:w="1421"/>
      </w:tblGrid>
      <w:tr>
        <w:trPr>
          <w:trHeight w:val="338" w:hRule="exact"/>
        </w:trPr>
        <w:tc>
          <w:tcPr>
            <w:tcW w:w="1647"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966" w:type="dxa"/>
            <w:tcBorders>
              <w:top w:val="single" w:sz="12" w:space="0" w:color="000000"/>
              <w:left w:val="single" w:sz="6" w:space="0" w:color="000000"/>
              <w:bottom w:val="single" w:sz="6" w:space="0" w:color="000000"/>
              <w:right w:val="single" w:sz="6" w:space="0" w:color="000000"/>
            </w:tcBorders>
          </w:tcPr>
          <w:p>
            <w:pPr/>
          </w:p>
        </w:tc>
        <w:tc>
          <w:tcPr>
            <w:tcW w:w="1411" w:type="dxa"/>
            <w:tcBorders>
              <w:top w:val="single" w:sz="12" w:space="0" w:color="000000"/>
              <w:left w:val="single" w:sz="6" w:space="0" w:color="000000"/>
              <w:bottom w:val="single" w:sz="6" w:space="0" w:color="000000"/>
              <w:right w:val="single" w:sz="6" w:space="0" w:color="000000"/>
            </w:tcBorders>
          </w:tcPr>
          <w:p>
            <w:pPr/>
          </w:p>
        </w:tc>
        <w:tc>
          <w:tcPr>
            <w:tcW w:w="1356" w:type="dxa"/>
            <w:tcBorders>
              <w:top w:val="single" w:sz="12" w:space="0" w:color="000000"/>
              <w:left w:val="single" w:sz="6" w:space="0" w:color="000000"/>
              <w:bottom w:val="single" w:sz="6" w:space="0" w:color="000000"/>
              <w:right w:val="single" w:sz="6" w:space="0" w:color="000000"/>
            </w:tcBorders>
          </w:tcPr>
          <w:p>
            <w:pPr/>
          </w:p>
        </w:tc>
        <w:tc>
          <w:tcPr>
            <w:tcW w:w="622" w:type="dxa"/>
            <w:tcBorders>
              <w:top w:val="single" w:sz="12" w:space="0" w:color="000000"/>
              <w:left w:val="single" w:sz="6" w:space="0" w:color="000000"/>
              <w:bottom w:val="single" w:sz="6" w:space="0" w:color="000000"/>
              <w:right w:val="single" w:sz="6" w:space="0" w:color="000000"/>
            </w:tcBorders>
          </w:tcPr>
          <w:p>
            <w:pPr/>
          </w:p>
        </w:tc>
        <w:tc>
          <w:tcPr>
            <w:tcW w:w="1433" w:type="dxa"/>
            <w:tcBorders>
              <w:top w:val="single" w:sz="12" w:space="0" w:color="000000"/>
              <w:left w:val="single" w:sz="6" w:space="0" w:color="000000"/>
              <w:bottom w:val="single" w:sz="6" w:space="0" w:color="000000"/>
              <w:right w:val="single" w:sz="6" w:space="0" w:color="000000"/>
            </w:tcBorders>
          </w:tcPr>
          <w:p>
            <w:pPr/>
          </w:p>
        </w:tc>
        <w:tc>
          <w:tcPr>
            <w:tcW w:w="1421" w:type="dxa"/>
            <w:tcBorders>
              <w:top w:val="single" w:sz="12" w:space="0" w:color="000000"/>
              <w:left w:val="single" w:sz="6" w:space="0" w:color="000000"/>
              <w:bottom w:val="single" w:sz="6" w:space="0" w:color="000000"/>
              <w:right w:val="single" w:sz="12" w:space="0" w:color="000000"/>
            </w:tcBorders>
          </w:tcPr>
          <w:p>
            <w:pP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三、筹资活动产</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生的现金流量：</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吸收投资收到的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507,400,000.00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507,400,000.00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其中：子公司吸</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收少数股东投资 收到的现金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取得借款收到的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560,000.00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7,610,000.00</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560,000.00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7,610,000.00</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发行债券收到的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收到其他与筹资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315" w:right="155" w:hanging="160"/>
              <w:jc w:val="left"/>
              <w:rPr>
                <w:rFonts w:ascii="宋体" w:hAnsi="宋体" w:cs="宋体" w:eastAsia="宋体" w:hint="default"/>
                <w:sz w:val="16"/>
                <w:szCs w:val="16"/>
              </w:rPr>
            </w:pPr>
            <w:r>
              <w:rPr>
                <w:rFonts w:ascii="宋体" w:hAnsi="宋体" w:cs="宋体" w:eastAsia="宋体" w:hint="default"/>
                <w:sz w:val="16"/>
                <w:szCs w:val="16"/>
              </w:rPr>
              <w:t>五（三十</w:t>
            </w:r>
            <w:r>
              <w:rPr>
                <w:rFonts w:ascii="宋体" w:hAnsi="宋体" w:cs="宋体" w:eastAsia="宋体" w:hint="default"/>
                <w:w w:val="99"/>
                <w:sz w:val="16"/>
                <w:szCs w:val="16"/>
              </w:rPr>
              <w:t> </w:t>
            </w:r>
            <w:r>
              <w:rPr>
                <w:rFonts w:ascii="宋体" w:hAnsi="宋体" w:cs="宋体" w:eastAsia="宋体" w:hint="default"/>
                <w:sz w:val="16"/>
                <w:szCs w:val="16"/>
              </w:rPr>
              <w:t>五）</w:t>
            </w: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筹资活动现金</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流入小计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507,960,000.00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7,610,000.00</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507,960,000.00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7,610,000.00</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偿还债务支付的</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13,460,536.32</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1,951,547.37</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13,460,536.32</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1,951,547.37</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分配股利、利润</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或偿付利息支付 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410,659.20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6,753,535.16</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410,659.20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6,753,535.16</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其中：子公司支</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付给少数股东的 股利、利润</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支付其他与筹资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活动有关的现金</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5,993,965.00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5,993,965.00</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363" w:right="0"/>
              <w:jc w:val="left"/>
              <w:rPr>
                <w:rFonts w:ascii="宋体" w:hAnsi="宋体" w:cs="宋体" w:eastAsia="宋体" w:hint="default"/>
                <w:sz w:val="18"/>
                <w:szCs w:val="18"/>
              </w:rPr>
            </w:pPr>
            <w:r>
              <w:rPr>
                <w:rFonts w:ascii="宋体" w:hAnsi="宋体" w:cs="宋体" w:eastAsia="宋体" w:hint="default"/>
                <w:sz w:val="18"/>
                <w:szCs w:val="18"/>
              </w:rPr>
              <w:t>筹资活动现金</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流出小计</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19,865,160.52</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8,705,082.53</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19,865,160.52</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8,705,082.53</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543" w:right="0"/>
              <w:jc w:val="left"/>
              <w:rPr>
                <w:rFonts w:ascii="宋体" w:hAnsi="宋体" w:cs="宋体" w:eastAsia="宋体" w:hint="default"/>
                <w:sz w:val="18"/>
                <w:szCs w:val="18"/>
              </w:rPr>
            </w:pPr>
            <w:r>
              <w:rPr>
                <w:rFonts w:ascii="宋体" w:hAnsi="宋体" w:cs="宋体" w:eastAsia="宋体" w:hint="default"/>
                <w:sz w:val="18"/>
                <w:szCs w:val="18"/>
              </w:rPr>
              <w:t>筹资活动产</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生的现金流量净 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488,094,839.48</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-1,095,082.53</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spacing w:val="-1"/>
                <w:sz w:val="20"/>
              </w:rPr>
              <w:t>488,094,839.48</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-1,095,082.53</w:t>
            </w:r>
            <w:r>
              <w:rPr>
                <w:rFonts w:ascii="Arial Narrow"/>
                <w:sz w:val="20"/>
              </w:rPr>
            </w:r>
          </w:p>
        </w:tc>
      </w:tr>
      <w:tr>
        <w:trPr>
          <w:trHeight w:val="715"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四、汇率变动对</w:t>
            </w:r>
          </w:p>
          <w:p>
            <w:pPr>
              <w:pStyle w:val="TableParagraph"/>
              <w:spacing w:line="240" w:lineRule="auto"/>
              <w:ind w:left="93" w:right="269"/>
              <w:jc w:val="left"/>
              <w:rPr>
                <w:rFonts w:ascii="宋体" w:hAnsi="宋体" w:cs="宋体" w:eastAsia="宋体" w:hint="default"/>
                <w:sz w:val="18"/>
                <w:szCs w:val="18"/>
              </w:rPr>
            </w:pPr>
            <w:r>
              <w:rPr>
                <w:rFonts w:ascii="宋体" w:hAnsi="宋体" w:cs="宋体" w:eastAsia="宋体" w:hint="default"/>
                <w:sz w:val="18"/>
                <w:szCs w:val="18"/>
              </w:rPr>
              <w:t>现金及现金等价 物的影响</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73,262.54</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-43,246.87</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73,262.54</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-43,246.87</w:t>
            </w:r>
            <w:r>
              <w:rPr>
                <w:rFonts w:ascii="Arial Narrow"/>
                <w:sz w:val="20"/>
              </w:rPr>
            </w:r>
          </w:p>
        </w:tc>
      </w:tr>
      <w:tr>
        <w:trPr>
          <w:trHeight w:val="482"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五、现金及现金</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等价物净增加额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177,860,313.80</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42,339,849.72</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158,232,421.29</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40,722,867.25</w:t>
            </w:r>
            <w:r>
              <w:rPr>
                <w:rFonts w:ascii="Arial Narrow"/>
                <w:sz w:val="20"/>
              </w:rPr>
            </w:r>
          </w:p>
        </w:tc>
      </w:tr>
      <w:tr>
        <w:trPr>
          <w:trHeight w:val="481" w:hRule="exact"/>
        </w:trPr>
        <w:tc>
          <w:tcPr>
            <w:tcW w:w="1647"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183" w:right="0"/>
              <w:jc w:val="left"/>
              <w:rPr>
                <w:rFonts w:ascii="宋体" w:hAnsi="宋体" w:cs="宋体" w:eastAsia="宋体" w:hint="default"/>
                <w:sz w:val="18"/>
                <w:szCs w:val="18"/>
              </w:rPr>
            </w:pPr>
            <w:r>
              <w:rPr>
                <w:rFonts w:ascii="宋体" w:hAnsi="宋体" w:cs="宋体" w:eastAsia="宋体" w:hint="default"/>
                <w:sz w:val="18"/>
                <w:szCs w:val="18"/>
              </w:rPr>
              <w:t>加：期初现金及</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现金等价物余额</w:t>
            </w:r>
          </w:p>
        </w:tc>
        <w:tc>
          <w:tcPr>
            <w:tcW w:w="966" w:type="dxa"/>
            <w:tcBorders>
              <w:top w:val="single" w:sz="6" w:space="0" w:color="000000"/>
              <w:left w:val="single" w:sz="6" w:space="0" w:color="000000"/>
              <w:bottom w:val="single" w:sz="6" w:space="0" w:color="000000"/>
              <w:right w:val="single" w:sz="6" w:space="0" w:color="000000"/>
            </w:tcBorders>
          </w:tcPr>
          <w:p>
            <w:pPr/>
          </w:p>
        </w:tc>
        <w:tc>
          <w:tcPr>
            <w:tcW w:w="14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99,615,900.63</w:t>
            </w:r>
            <w:r>
              <w:rPr>
                <w:rFonts w:ascii="Arial Narrow"/>
                <w:sz w:val="20"/>
              </w:rPr>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57,276,050.91</w:t>
            </w:r>
            <w:r>
              <w:rPr>
                <w:rFonts w:ascii="Arial Narrow"/>
                <w:sz w:val="20"/>
              </w:rPr>
            </w:r>
          </w:p>
        </w:tc>
        <w:tc>
          <w:tcPr>
            <w:tcW w:w="622"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2"/>
                <w:sz w:val="20"/>
              </w:rPr>
              <w:t>96,259,411.51</w:t>
            </w:r>
            <w:r>
              <w:rPr>
                <w:rFonts w:ascii="Arial Narrow"/>
                <w:sz w:val="20"/>
              </w:rPr>
            </w:r>
          </w:p>
        </w:tc>
        <w:tc>
          <w:tcPr>
            <w:tcW w:w="14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1"/>
                <w:sz w:val="20"/>
              </w:rPr>
              <w:t>55,536,544.26</w:t>
            </w:r>
            <w:r>
              <w:rPr>
                <w:rFonts w:ascii="Arial Narrow"/>
                <w:sz w:val="20"/>
              </w:rPr>
            </w:r>
          </w:p>
        </w:tc>
      </w:tr>
      <w:tr>
        <w:trPr>
          <w:trHeight w:val="490" w:hRule="exact"/>
        </w:trPr>
        <w:tc>
          <w:tcPr>
            <w:tcW w:w="1647" w:type="dxa"/>
            <w:tcBorders>
              <w:top w:val="single" w:sz="6" w:space="0" w:color="000000"/>
              <w:left w:val="single" w:sz="12" w:space="0" w:color="000000"/>
              <w:bottom w:val="single" w:sz="12" w:space="0" w:color="000000"/>
              <w:right w:val="single" w:sz="6" w:space="0" w:color="000000"/>
            </w:tcBorders>
          </w:tcPr>
          <w:p>
            <w:pPr>
              <w:pStyle w:val="TableParagraph"/>
              <w:spacing w:line="206" w:lineRule="exact"/>
              <w:ind w:left="183" w:right="0"/>
              <w:jc w:val="left"/>
              <w:rPr>
                <w:rFonts w:ascii="宋体" w:hAnsi="宋体" w:cs="宋体" w:eastAsia="宋体" w:hint="default"/>
                <w:sz w:val="18"/>
                <w:szCs w:val="18"/>
              </w:rPr>
            </w:pPr>
            <w:r>
              <w:rPr>
                <w:rFonts w:ascii="宋体" w:hAnsi="宋体" w:cs="宋体" w:eastAsia="宋体" w:hint="default"/>
                <w:sz w:val="18"/>
                <w:szCs w:val="18"/>
              </w:rPr>
              <w:t>六、期末现金及</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现金等价物余额</w:t>
            </w:r>
          </w:p>
        </w:tc>
        <w:tc>
          <w:tcPr>
            <w:tcW w:w="966" w:type="dxa"/>
            <w:tcBorders>
              <w:top w:val="single" w:sz="6" w:space="0" w:color="000000"/>
              <w:left w:val="single" w:sz="6" w:space="0" w:color="000000"/>
              <w:bottom w:val="single" w:sz="12" w:space="0" w:color="000000"/>
              <w:right w:val="single" w:sz="6" w:space="0" w:color="000000"/>
            </w:tcBorders>
          </w:tcPr>
          <w:p>
            <w:pPr/>
          </w:p>
        </w:tc>
        <w:tc>
          <w:tcPr>
            <w:tcW w:w="141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277,476,214.43</w:t>
            </w:r>
            <w:r>
              <w:rPr>
                <w:rFonts w:ascii="Arial Narrow"/>
                <w:sz w:val="20"/>
              </w:rPr>
            </w:r>
          </w:p>
        </w:tc>
        <w:tc>
          <w:tcPr>
            <w:tcW w:w="13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7"/>
              <w:jc w:val="right"/>
              <w:rPr>
                <w:rFonts w:ascii="Arial Narrow" w:hAnsi="Arial Narrow" w:cs="Arial Narrow" w:eastAsia="Arial Narrow" w:hint="default"/>
                <w:sz w:val="20"/>
                <w:szCs w:val="20"/>
              </w:rPr>
            </w:pPr>
            <w:r>
              <w:rPr>
                <w:rFonts w:ascii="Arial Narrow"/>
                <w:spacing w:val="-1"/>
                <w:sz w:val="20"/>
              </w:rPr>
              <w:t>99,615,900.63</w:t>
            </w:r>
            <w:r>
              <w:rPr>
                <w:rFonts w:ascii="Arial Narrow"/>
                <w:sz w:val="20"/>
              </w:rPr>
            </w:r>
          </w:p>
        </w:tc>
        <w:tc>
          <w:tcPr>
            <w:tcW w:w="622" w:type="dxa"/>
            <w:tcBorders>
              <w:top w:val="single" w:sz="6" w:space="0" w:color="000000"/>
              <w:left w:val="single" w:sz="6" w:space="0" w:color="000000"/>
              <w:bottom w:val="single" w:sz="12" w:space="0" w:color="000000"/>
              <w:right w:val="single" w:sz="6" w:space="0" w:color="000000"/>
            </w:tcBorders>
          </w:tcPr>
          <w:p>
            <w:pPr/>
          </w:p>
        </w:tc>
        <w:tc>
          <w:tcPr>
            <w:tcW w:w="143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spacing w:val="-1"/>
                <w:sz w:val="20"/>
              </w:rPr>
              <w:t>254,491,832.80</w:t>
            </w:r>
            <w:r>
              <w:rPr>
                <w:rFonts w:ascii="Arial Narrow"/>
                <w:sz w:val="20"/>
              </w:rPr>
            </w:r>
          </w:p>
        </w:tc>
        <w:tc>
          <w:tcPr>
            <w:tcW w:w="14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spacing w:val="-2"/>
                <w:sz w:val="20"/>
              </w:rPr>
              <w:t>96,259,411.51</w:t>
            </w:r>
            <w:r>
              <w:rPr>
                <w:rFonts w:ascii="Arial Narrow"/>
                <w:sz w:val="20"/>
              </w:rPr>
            </w:r>
          </w:p>
        </w:tc>
      </w:tr>
    </w:tbl>
    <w:p>
      <w:pPr>
        <w:tabs>
          <w:tab w:pos="2969" w:val="left" w:leader="none"/>
          <w:tab w:pos="6538" w:val="left" w:leader="none"/>
        </w:tabs>
        <w:spacing w:line="241" w:lineRule="exact" w:before="0"/>
        <w:ind w:left="240" w:right="133" w:firstLine="0"/>
        <w:jc w:val="left"/>
        <w:rPr>
          <w:rFonts w:ascii="宋体" w:hAnsi="宋体" w:cs="宋体" w:eastAsia="宋体" w:hint="default"/>
          <w:sz w:val="21"/>
          <w:szCs w:val="21"/>
        </w:rPr>
      </w:pPr>
      <w:r>
        <w:rPr>
          <w:rFonts w:ascii="宋体" w:hAnsi="宋体" w:cs="宋体" w:eastAsia="宋体" w:hint="default"/>
          <w:sz w:val="21"/>
          <w:szCs w:val="21"/>
        </w:rPr>
        <w:t>法定代表人：刘祥南</w:t>
        <w:tab/>
      </w:r>
      <w:r>
        <w:rPr>
          <w:rFonts w:ascii="宋体" w:hAnsi="宋体" w:cs="宋体" w:eastAsia="宋体" w:hint="default"/>
          <w:spacing w:val="-1"/>
          <w:sz w:val="21"/>
          <w:szCs w:val="21"/>
        </w:rPr>
        <w:t>主管会计工作负责人：张乃军</w:t>
        <w:tab/>
        <w:t>会计机构负责人：陈志友</w:t>
      </w:r>
    </w:p>
    <w:p>
      <w:pPr>
        <w:spacing w:after="0" w:line="241" w:lineRule="exact"/>
        <w:jc w:val="left"/>
        <w:rPr>
          <w:rFonts w:ascii="宋体" w:hAnsi="宋体" w:cs="宋体" w:eastAsia="宋体" w:hint="default"/>
          <w:sz w:val="21"/>
          <w:szCs w:val="21"/>
        </w:rPr>
        <w:sectPr>
          <w:pgSz w:w="12240" w:h="15840"/>
          <w:pgMar w:header="0" w:footer="688" w:top="1360" w:bottom="880" w:left="1560" w:right="156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1"/>
        <w:spacing w:line="240" w:lineRule="auto" w:before="1"/>
        <w:ind w:left="5435" w:right="5190"/>
        <w:jc w:val="center"/>
        <w:rPr>
          <w:rFonts w:ascii="宋体" w:hAnsi="宋体" w:cs="宋体" w:eastAsia="宋体" w:hint="default"/>
          <w:b w:val="0"/>
          <w:bCs w:val="0"/>
        </w:rPr>
      </w:pPr>
      <w:r>
        <w:rPr>
          <w:rFonts w:ascii="宋体" w:hAnsi="宋体" w:cs="宋体" w:eastAsia="宋体" w:hint="default"/>
        </w:rPr>
        <w:t>合并股东权益变动表</w:t>
      </w:r>
      <w:r>
        <w:rPr>
          <w:rFonts w:ascii="宋体" w:hAnsi="宋体" w:cs="宋体" w:eastAsia="宋体" w:hint="default"/>
          <w:b w:val="0"/>
          <w:bCs w:val="0"/>
        </w:rPr>
      </w:r>
    </w:p>
    <w:p>
      <w:pPr>
        <w:spacing w:line="240" w:lineRule="auto" w:before="4"/>
        <w:rPr>
          <w:rFonts w:ascii="宋体" w:hAnsi="宋体" w:cs="宋体" w:eastAsia="宋体" w:hint="default"/>
          <w:b/>
          <w:bCs/>
          <w:sz w:val="14"/>
          <w:szCs w:val="14"/>
        </w:rPr>
      </w:pPr>
    </w:p>
    <w:p>
      <w:pPr>
        <w:spacing w:before="35"/>
        <w:ind w:left="5436" w:right="519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before="118"/>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04</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12204" w:val="left" w:leader="none"/>
        </w:tabs>
        <w:spacing w:before="118"/>
        <w:ind w:left="486"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编制单位：厦门市美亚柏科信息股份有限公司</w:t>
        <w:tab/>
      </w:r>
      <w:r>
        <w:rPr>
          <w:rFonts w:ascii="宋体" w:hAnsi="宋体" w:cs="宋体" w:eastAsia="宋体" w:hint="default"/>
          <w:spacing w:val="-6"/>
          <w:sz w:val="21"/>
          <w:szCs w:val="21"/>
        </w:rPr>
        <w:t>单位：人民币元</w:t>
      </w:r>
    </w:p>
    <w:p>
      <w:pPr>
        <w:spacing w:line="240" w:lineRule="auto" w:before="11"/>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1081"/>
        <w:gridCol w:w="900"/>
        <w:gridCol w:w="923"/>
        <w:gridCol w:w="463"/>
        <w:gridCol w:w="340"/>
        <w:gridCol w:w="1000"/>
        <w:gridCol w:w="1068"/>
        <w:gridCol w:w="338"/>
        <w:gridCol w:w="340"/>
        <w:gridCol w:w="1068"/>
        <w:gridCol w:w="1000"/>
        <w:gridCol w:w="1001"/>
        <w:gridCol w:w="462"/>
        <w:gridCol w:w="340"/>
        <w:gridCol w:w="931"/>
        <w:gridCol w:w="1045"/>
        <w:gridCol w:w="338"/>
        <w:gridCol w:w="985"/>
      </w:tblGrid>
      <w:tr>
        <w:trPr>
          <w:trHeight w:val="400" w:hRule="exact"/>
        </w:trPr>
        <w:tc>
          <w:tcPr>
            <w:tcW w:w="1081"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439" w:type="dxa"/>
            <w:gridSpan w:val="9"/>
            <w:tcBorders>
              <w:top w:val="single" w:sz="12"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6101" w:type="dxa"/>
            <w:gridSpan w:val="8"/>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5" w:hRule="exact"/>
        </w:trPr>
        <w:tc>
          <w:tcPr>
            <w:tcW w:w="1081" w:type="dxa"/>
            <w:vMerge/>
            <w:tcBorders>
              <w:left w:val="single" w:sz="12" w:space="0" w:color="000000"/>
              <w:right w:val="single" w:sz="6" w:space="0" w:color="000000"/>
            </w:tcBorders>
          </w:tcPr>
          <w:p>
            <w:pPr/>
          </w:p>
        </w:tc>
        <w:tc>
          <w:tcPr>
            <w:tcW w:w="5032"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514"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340" w:type="dxa"/>
            <w:vMerge w:val="restart"/>
            <w:tcBorders>
              <w:top w:val="single" w:sz="6" w:space="0" w:color="000000"/>
              <w:left w:val="single" w:sz="6" w:space="0" w:color="000000"/>
              <w:right w:val="single" w:sz="6" w:space="0" w:color="000000"/>
            </w:tcBorders>
          </w:tcPr>
          <w:p>
            <w:pPr>
              <w:pStyle w:val="TableParagraph"/>
              <w:spacing w:line="237" w:lineRule="auto" w:before="44"/>
              <w:ind w:left="101" w:right="41"/>
              <w:jc w:val="both"/>
              <w:rPr>
                <w:rFonts w:ascii="宋体" w:hAnsi="宋体" w:cs="宋体" w:eastAsia="宋体" w:hint="default"/>
                <w:sz w:val="18"/>
                <w:szCs w:val="18"/>
              </w:rPr>
            </w:pPr>
            <w:r>
              <w:rPr>
                <w:rFonts w:ascii="宋体" w:hAnsi="宋体" w:cs="宋体" w:eastAsia="宋体" w:hint="default"/>
                <w:b/>
                <w:bCs/>
                <w:sz w:val="18"/>
                <w:szCs w:val="18"/>
              </w:rPr>
              <w:t>少</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b/>
                <w:bCs/>
                <w:w w:val="99"/>
                <w:sz w:val="18"/>
                <w:szCs w:val="18"/>
              </w:rPr>
              <w:t> </w:t>
            </w:r>
            <w:r>
              <w:rPr>
                <w:rFonts w:ascii="宋体" w:hAnsi="宋体" w:cs="宋体" w:eastAsia="宋体" w:hint="default"/>
                <w:b/>
                <w:bCs/>
                <w:sz w:val="18"/>
                <w:szCs w:val="18"/>
              </w:rPr>
              <w:t>东</w:t>
            </w:r>
            <w:r>
              <w:rPr>
                <w:rFonts w:ascii="宋体" w:hAnsi="宋体" w:cs="宋体" w:eastAsia="宋体" w:hint="default"/>
                <w:b/>
                <w:bCs/>
                <w:w w:val="99"/>
                <w:sz w:val="18"/>
                <w:szCs w:val="18"/>
              </w:rPr>
              <w:t> </w:t>
            </w:r>
            <w:r>
              <w:rPr>
                <w:rFonts w:ascii="宋体" w:hAnsi="宋体" w:cs="宋体" w:eastAsia="宋体" w:hint="default"/>
                <w:b/>
                <w:bCs/>
                <w:sz w:val="18"/>
                <w:szCs w:val="18"/>
              </w:rPr>
              <w:t>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068"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37" w:lineRule="auto" w:before="159"/>
              <w:ind w:left="346" w:right="163" w:hanging="180"/>
              <w:jc w:val="left"/>
              <w:rPr>
                <w:rFonts w:ascii="宋体" w:hAnsi="宋体" w:cs="宋体" w:eastAsia="宋体" w:hint="default"/>
                <w:sz w:val="18"/>
                <w:szCs w:val="18"/>
              </w:rPr>
            </w:pPr>
            <w:r>
              <w:rPr>
                <w:rFonts w:ascii="宋体" w:hAnsi="宋体" w:cs="宋体" w:eastAsia="宋体" w:hint="default"/>
                <w:b/>
                <w:bCs/>
                <w:sz w:val="18"/>
                <w:szCs w:val="18"/>
              </w:rPr>
              <w:t>所有者权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b/>
                <w:bCs/>
                <w:w w:val="99"/>
                <w:sz w:val="18"/>
                <w:szCs w:val="18"/>
              </w:rPr>
              <w:t> </w:t>
            </w:r>
            <w:r>
              <w:rPr>
                <w:rFonts w:ascii="宋体" w:hAnsi="宋体" w:cs="宋体" w:eastAsia="宋体" w:hint="default"/>
                <w:b/>
                <w:bCs/>
                <w:sz w:val="18"/>
                <w:szCs w:val="18"/>
              </w:rPr>
              <w:t>合计</w:t>
            </w:r>
            <w:r>
              <w:rPr>
                <w:rFonts w:ascii="宋体" w:hAnsi="宋体" w:cs="宋体" w:eastAsia="宋体" w:hint="default"/>
                <w:sz w:val="18"/>
                <w:szCs w:val="18"/>
              </w:rPr>
            </w:r>
          </w:p>
        </w:tc>
        <w:tc>
          <w:tcPr>
            <w:tcW w:w="5117"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556"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985"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14" w:right="113" w:hanging="90"/>
              <w:jc w:val="left"/>
              <w:rPr>
                <w:rFonts w:ascii="宋体" w:hAnsi="宋体" w:cs="宋体" w:eastAsia="宋体" w:hint="default"/>
                <w:sz w:val="18"/>
                <w:szCs w:val="18"/>
              </w:rPr>
            </w:pPr>
            <w:r>
              <w:rPr>
                <w:rFonts w:ascii="宋体" w:hAnsi="宋体" w:cs="宋体" w:eastAsia="宋体" w:hint="default"/>
                <w:b/>
                <w:bCs/>
                <w:sz w:val="18"/>
                <w:szCs w:val="18"/>
              </w:rPr>
              <w:t>所有者权</w:t>
            </w:r>
            <w:r>
              <w:rPr>
                <w:rFonts w:ascii="宋体" w:hAnsi="宋体" w:cs="宋体" w:eastAsia="宋体" w:hint="default"/>
                <w:b/>
                <w:bCs/>
                <w:w w:val="99"/>
                <w:sz w:val="18"/>
                <w:szCs w:val="18"/>
              </w:rPr>
              <w:t> </w:t>
            </w:r>
            <w:r>
              <w:rPr>
                <w:rFonts w:ascii="宋体" w:hAnsi="宋体" w:cs="宋体" w:eastAsia="宋体" w:hint="default"/>
                <w:b/>
                <w:bCs/>
                <w:sz w:val="18"/>
                <w:szCs w:val="18"/>
              </w:rPr>
              <w:t>益合计</w:t>
            </w:r>
            <w:r>
              <w:rPr>
                <w:rFonts w:ascii="宋体" w:hAnsi="宋体" w:cs="宋体" w:eastAsia="宋体" w:hint="default"/>
                <w:sz w:val="18"/>
                <w:szCs w:val="18"/>
              </w:rPr>
            </w:r>
          </w:p>
        </w:tc>
      </w:tr>
      <w:tr>
        <w:trPr>
          <w:trHeight w:val="1182" w:hRule="exact"/>
        </w:trPr>
        <w:tc>
          <w:tcPr>
            <w:tcW w:w="1081" w:type="dxa"/>
            <w:vMerge/>
            <w:tcBorders>
              <w:left w:val="single" w:sz="12"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351" w:right="168" w:hanging="180"/>
              <w:jc w:val="left"/>
              <w:rPr>
                <w:rFonts w:ascii="宋体" w:hAnsi="宋体" w:cs="宋体" w:eastAsia="宋体" w:hint="default"/>
                <w:sz w:val="18"/>
                <w:szCs w:val="18"/>
              </w:rPr>
            </w:pPr>
            <w:r>
              <w:rPr>
                <w:rFonts w:ascii="宋体" w:hAnsi="宋体" w:cs="宋体" w:eastAsia="宋体" w:hint="default"/>
                <w:b/>
                <w:bCs/>
                <w:sz w:val="18"/>
                <w:szCs w:val="18"/>
              </w:rPr>
              <w:t>实收资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本</w:t>
            </w:r>
            <w:r>
              <w:rPr>
                <w:rFonts w:ascii="宋体" w:hAnsi="宋体" w:cs="宋体" w:eastAsia="宋体" w:hint="default"/>
                <w:sz w:val="18"/>
                <w:szCs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363" w:right="180" w:hanging="182"/>
              <w:jc w:val="left"/>
              <w:rPr>
                <w:rFonts w:ascii="宋体" w:hAnsi="宋体" w:cs="宋体" w:eastAsia="宋体" w:hint="default"/>
                <w:sz w:val="18"/>
                <w:szCs w:val="18"/>
              </w:rPr>
            </w:pPr>
            <w:r>
              <w:rPr>
                <w:rFonts w:ascii="宋体" w:hAnsi="宋体" w:cs="宋体" w:eastAsia="宋体" w:hint="default"/>
                <w:b/>
                <w:bCs/>
                <w:sz w:val="18"/>
                <w:szCs w:val="18"/>
              </w:rPr>
              <w:t>资本公</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积</w:t>
            </w:r>
            <w:r>
              <w:rPr>
                <w:rFonts w:ascii="宋体" w:hAnsi="宋体" w:cs="宋体" w:eastAsia="宋体" w:hint="default"/>
                <w:sz w:val="18"/>
                <w:szCs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33" w:right="0"/>
              <w:jc w:val="both"/>
              <w:rPr>
                <w:rFonts w:ascii="宋体" w:hAnsi="宋体" w:cs="宋体" w:eastAsia="宋体" w:hint="default"/>
                <w:sz w:val="18"/>
                <w:szCs w:val="18"/>
              </w:rPr>
            </w:pPr>
            <w:r>
              <w:rPr>
                <w:rFonts w:ascii="宋体" w:hAnsi="宋体" w:cs="宋体" w:eastAsia="宋体" w:hint="default"/>
                <w:b/>
                <w:bCs/>
                <w:w w:val="99"/>
                <w:sz w:val="18"/>
                <w:szCs w:val="18"/>
              </w:rPr>
              <w:t>减</w:t>
            </w:r>
            <w:r>
              <w:rPr>
                <w:rFonts w:ascii="宋体" w:hAnsi="宋体" w:cs="宋体" w:eastAsia="宋体" w:hint="default"/>
                <w:sz w:val="18"/>
                <w:szCs w:val="18"/>
              </w:rPr>
            </w:r>
          </w:p>
          <w:p>
            <w:pPr>
              <w:pStyle w:val="TableParagraph"/>
              <w:spacing w:line="237" w:lineRule="auto"/>
              <w:ind w:left="133" w:right="133"/>
              <w:jc w:val="both"/>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b/>
                <w:bCs/>
                <w:sz w:val="18"/>
                <w:szCs w:val="18"/>
              </w:rPr>
              <w:t>库</w:t>
            </w:r>
            <w:r>
              <w:rPr>
                <w:rFonts w:ascii="宋体" w:hAnsi="宋体" w:cs="宋体" w:eastAsia="宋体" w:hint="default"/>
                <w:b/>
                <w:bCs/>
                <w:w w:val="99"/>
                <w:sz w:val="18"/>
                <w:szCs w:val="18"/>
              </w:rPr>
              <w:t> </w:t>
            </w:r>
            <w:r>
              <w:rPr>
                <w:rFonts w:ascii="宋体" w:hAnsi="宋体" w:cs="宋体" w:eastAsia="宋体" w:hint="default"/>
                <w:b/>
                <w:bCs/>
                <w:sz w:val="18"/>
                <w:szCs w:val="18"/>
              </w:rPr>
              <w:t>存</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1" w:right="42"/>
              <w:jc w:val="both"/>
              <w:rPr>
                <w:rFonts w:ascii="宋体" w:hAnsi="宋体" w:cs="宋体" w:eastAsia="宋体" w:hint="default"/>
                <w:sz w:val="18"/>
                <w:szCs w:val="18"/>
              </w:rPr>
            </w:pPr>
            <w:r>
              <w:rPr>
                <w:rFonts w:ascii="宋体" w:hAnsi="宋体" w:cs="宋体" w:eastAsia="宋体" w:hint="default"/>
                <w:b/>
                <w:bCs/>
                <w:sz w:val="18"/>
                <w:szCs w:val="18"/>
              </w:rPr>
              <w:t>专</w:t>
            </w:r>
            <w:r>
              <w:rPr>
                <w:rFonts w:ascii="宋体" w:hAnsi="宋体" w:cs="宋体" w:eastAsia="宋体" w:hint="default"/>
                <w:b/>
                <w:bCs/>
                <w:w w:val="99"/>
                <w:sz w:val="18"/>
                <w:szCs w:val="18"/>
              </w:rPr>
              <w:t> </w:t>
            </w: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436" w:right="163" w:hanging="270"/>
              <w:jc w:val="left"/>
              <w:rPr>
                <w:rFonts w:ascii="宋体" w:hAnsi="宋体" w:cs="宋体" w:eastAsia="宋体" w:hint="default"/>
                <w:sz w:val="18"/>
                <w:szCs w:val="18"/>
              </w:rPr>
            </w:pPr>
            <w:r>
              <w:rPr>
                <w:rFonts w:ascii="宋体" w:hAnsi="宋体" w:cs="宋体" w:eastAsia="宋体" w:hint="default"/>
                <w:b/>
                <w:bCs/>
                <w:sz w:val="18"/>
                <w:szCs w:val="18"/>
              </w:rPr>
              <w:t>未分配利</w:t>
            </w:r>
            <w:r>
              <w:rPr>
                <w:rFonts w:ascii="宋体" w:hAnsi="宋体" w:cs="宋体" w:eastAsia="宋体" w:hint="default"/>
                <w:b/>
                <w:bCs/>
                <w:w w:val="99"/>
                <w:sz w:val="18"/>
                <w:szCs w:val="18"/>
              </w:rPr>
              <w:t> </w:t>
            </w:r>
            <w:r>
              <w:rPr>
                <w:rFonts w:ascii="宋体" w:hAnsi="宋体" w:cs="宋体" w:eastAsia="宋体" w:hint="default"/>
                <w:b/>
                <w:bCs/>
                <w:sz w:val="18"/>
                <w:szCs w:val="18"/>
              </w:rPr>
              <w:t>润</w:t>
            </w:r>
            <w:r>
              <w:rPr>
                <w:rFonts w:ascii="宋体" w:hAnsi="宋体" w:cs="宋体" w:eastAsia="宋体" w:hint="default"/>
                <w:sz w:val="18"/>
                <w:szCs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01" w:right="40"/>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340" w:type="dxa"/>
            <w:vMerge/>
            <w:tcBorders>
              <w:left w:val="single" w:sz="6" w:space="0" w:color="000000"/>
              <w:bottom w:val="single" w:sz="6" w:space="0" w:color="000000"/>
              <w:right w:val="single" w:sz="6" w:space="0" w:color="000000"/>
            </w:tcBorders>
          </w:tcPr>
          <w:p>
            <w:pPr/>
          </w:p>
        </w:tc>
        <w:tc>
          <w:tcPr>
            <w:tcW w:w="1068" w:type="dxa"/>
            <w:vMerge/>
            <w:tcBorders>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b/>
                <w:bCs/>
                <w:w w:val="95"/>
                <w:sz w:val="18"/>
                <w:szCs w:val="18"/>
              </w:rPr>
              <w:t>资本公积</w:t>
            </w:r>
            <w:r>
              <w:rPr>
                <w:rFonts w:ascii="宋体" w:hAnsi="宋体" w:cs="宋体" w:eastAsia="宋体" w:hint="default"/>
                <w:sz w:val="18"/>
                <w:szCs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04" w:lineRule="exact"/>
              <w:ind w:left="133" w:right="0"/>
              <w:jc w:val="both"/>
              <w:rPr>
                <w:rFonts w:ascii="宋体" w:hAnsi="宋体" w:cs="宋体" w:eastAsia="宋体" w:hint="default"/>
                <w:sz w:val="18"/>
                <w:szCs w:val="18"/>
              </w:rPr>
            </w:pPr>
            <w:r>
              <w:rPr>
                <w:rFonts w:ascii="宋体" w:hAnsi="宋体" w:cs="宋体" w:eastAsia="宋体" w:hint="default"/>
                <w:b/>
                <w:bCs/>
                <w:w w:val="99"/>
                <w:sz w:val="18"/>
                <w:szCs w:val="18"/>
              </w:rPr>
              <w:t>减</w:t>
            </w:r>
            <w:r>
              <w:rPr>
                <w:rFonts w:ascii="宋体" w:hAnsi="宋体" w:cs="宋体" w:eastAsia="宋体" w:hint="default"/>
                <w:sz w:val="18"/>
                <w:szCs w:val="18"/>
              </w:rPr>
            </w:r>
          </w:p>
          <w:p>
            <w:pPr>
              <w:pStyle w:val="TableParagraph"/>
              <w:spacing w:line="237" w:lineRule="auto"/>
              <w:ind w:left="133" w:right="131"/>
              <w:jc w:val="both"/>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b/>
                <w:bCs/>
                <w:sz w:val="18"/>
                <w:szCs w:val="18"/>
              </w:rPr>
              <w:t>库</w:t>
            </w:r>
            <w:r>
              <w:rPr>
                <w:rFonts w:ascii="宋体" w:hAnsi="宋体" w:cs="宋体" w:eastAsia="宋体" w:hint="default"/>
                <w:b/>
                <w:bCs/>
                <w:w w:val="99"/>
                <w:sz w:val="18"/>
                <w:szCs w:val="18"/>
              </w:rPr>
              <w:t> </w:t>
            </w:r>
            <w:r>
              <w:rPr>
                <w:rFonts w:ascii="宋体" w:hAnsi="宋体" w:cs="宋体" w:eastAsia="宋体" w:hint="default"/>
                <w:b/>
                <w:bCs/>
                <w:sz w:val="18"/>
                <w:szCs w:val="18"/>
              </w:rPr>
              <w:t>存</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8"/>
              <w:ind w:left="101" w:right="41"/>
              <w:jc w:val="both"/>
              <w:rPr>
                <w:rFonts w:ascii="宋体" w:hAnsi="宋体" w:cs="宋体" w:eastAsia="宋体" w:hint="default"/>
                <w:sz w:val="18"/>
                <w:szCs w:val="18"/>
              </w:rPr>
            </w:pPr>
            <w:r>
              <w:rPr>
                <w:rFonts w:ascii="宋体" w:hAnsi="宋体" w:cs="宋体" w:eastAsia="宋体" w:hint="default"/>
                <w:b/>
                <w:bCs/>
                <w:sz w:val="18"/>
                <w:szCs w:val="18"/>
              </w:rPr>
              <w:t>专</w:t>
            </w:r>
            <w:r>
              <w:rPr>
                <w:rFonts w:ascii="宋体" w:hAnsi="宋体" w:cs="宋体" w:eastAsia="宋体" w:hint="default"/>
                <w:b/>
                <w:bCs/>
                <w:w w:val="99"/>
                <w:sz w:val="18"/>
                <w:szCs w:val="18"/>
              </w:rPr>
              <w:t> </w:t>
            </w: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367" w:right="183" w:hanging="180"/>
              <w:jc w:val="left"/>
              <w:rPr>
                <w:rFonts w:ascii="宋体" w:hAnsi="宋体" w:cs="宋体" w:eastAsia="宋体" w:hint="default"/>
                <w:sz w:val="18"/>
                <w:szCs w:val="18"/>
              </w:rPr>
            </w:pPr>
            <w:r>
              <w:rPr>
                <w:rFonts w:ascii="宋体" w:hAnsi="宋体" w:cs="宋体" w:eastAsia="宋体" w:hint="default"/>
                <w:b/>
                <w:bCs/>
                <w:sz w:val="18"/>
                <w:szCs w:val="18"/>
              </w:rPr>
              <w:t>盈余公</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积</w:t>
            </w:r>
            <w:r>
              <w:rPr>
                <w:rFonts w:ascii="宋体" w:hAnsi="宋体" w:cs="宋体" w:eastAsia="宋体" w:hint="default"/>
                <w:sz w:val="18"/>
                <w:szCs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425" w:right="152" w:hanging="272"/>
              <w:jc w:val="left"/>
              <w:rPr>
                <w:rFonts w:ascii="宋体" w:hAnsi="宋体" w:cs="宋体" w:eastAsia="宋体" w:hint="default"/>
                <w:sz w:val="18"/>
                <w:szCs w:val="18"/>
              </w:rPr>
            </w:pPr>
            <w:r>
              <w:rPr>
                <w:rFonts w:ascii="宋体" w:hAnsi="宋体" w:cs="宋体" w:eastAsia="宋体" w:hint="default"/>
                <w:b/>
                <w:bCs/>
                <w:sz w:val="18"/>
                <w:szCs w:val="18"/>
              </w:rPr>
              <w:t>未分配利</w:t>
            </w:r>
            <w:r>
              <w:rPr>
                <w:rFonts w:ascii="宋体" w:hAnsi="宋体" w:cs="宋体" w:eastAsia="宋体" w:hint="default"/>
                <w:b/>
                <w:bCs/>
                <w:w w:val="99"/>
                <w:sz w:val="18"/>
                <w:szCs w:val="18"/>
              </w:rPr>
              <w:t> </w:t>
            </w:r>
            <w:r>
              <w:rPr>
                <w:rFonts w:ascii="宋体" w:hAnsi="宋体" w:cs="宋体" w:eastAsia="宋体" w:hint="default"/>
                <w:b/>
                <w:bCs/>
                <w:sz w:val="18"/>
                <w:szCs w:val="18"/>
              </w:rPr>
              <w:t>润</w:t>
            </w:r>
            <w:r>
              <w:rPr>
                <w:rFonts w:ascii="宋体" w:hAnsi="宋体" w:cs="宋体" w:eastAsia="宋体" w:hint="default"/>
                <w:sz w:val="18"/>
                <w:szCs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01" w:right="40"/>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985" w:type="dxa"/>
            <w:vMerge/>
            <w:tcBorders>
              <w:left w:val="single" w:sz="6" w:space="0" w:color="000000"/>
              <w:bottom w:val="single" w:sz="6" w:space="0" w:color="000000"/>
              <w:right w:val="single" w:sz="12" w:space="0" w:color="000000"/>
            </w:tcBorders>
          </w:tcPr>
          <w:p>
            <w:pPr/>
          </w:p>
        </w:tc>
      </w:tr>
      <w:tr>
        <w:trPr>
          <w:trHeight w:val="703"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6"/>
              <w:ind w:left="93" w:right="98"/>
              <w:jc w:val="left"/>
              <w:rPr>
                <w:rFonts w:ascii="宋体" w:hAnsi="宋体" w:cs="宋体" w:eastAsia="宋体" w:hint="default"/>
                <w:sz w:val="18"/>
                <w:szCs w:val="18"/>
              </w:rPr>
            </w:pPr>
            <w:r>
              <w:rPr>
                <w:rFonts w:ascii="宋体" w:hAnsi="宋体" w:cs="宋体" w:eastAsia="宋体" w:hint="default"/>
                <w:spacing w:val="-8"/>
                <w:sz w:val="18"/>
                <w:szCs w:val="18"/>
              </w:rPr>
              <w:t>一、上年年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末余额</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left="146" w:right="0"/>
              <w:jc w:val="left"/>
              <w:rPr>
                <w:rFonts w:ascii="Arial Narrow" w:hAnsi="Arial Narrow" w:cs="Arial Narrow" w:eastAsia="Arial Narrow" w:hint="default"/>
                <w:sz w:val="20"/>
                <w:szCs w:val="20"/>
              </w:rPr>
            </w:pPr>
            <w:r>
              <w:rPr>
                <w:rFonts w:ascii="Arial Narrow"/>
                <w:sz w:val="20"/>
              </w:rPr>
              <w:t>40,000,0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left="169" w:right="0"/>
              <w:jc w:val="left"/>
              <w:rPr>
                <w:rFonts w:ascii="Arial Narrow" w:hAnsi="Arial Narrow" w:cs="Arial Narrow" w:eastAsia="Arial Narrow" w:hint="default"/>
                <w:sz w:val="20"/>
                <w:szCs w:val="20"/>
              </w:rPr>
            </w:pPr>
            <w:r>
              <w:rPr>
                <w:rFonts w:ascii="Arial Narrow"/>
                <w:sz w:val="20"/>
              </w:rPr>
              <w:t>15,275,9</w:t>
            </w:r>
          </w:p>
          <w:p>
            <w:pPr>
              <w:pStyle w:val="TableParagraph"/>
              <w:spacing w:line="240" w:lineRule="auto"/>
              <w:ind w:left="397" w:right="0"/>
              <w:jc w:val="left"/>
              <w:rPr>
                <w:rFonts w:ascii="Arial Narrow" w:hAnsi="Arial Narrow" w:cs="Arial Narrow" w:eastAsia="Arial Narrow" w:hint="default"/>
                <w:sz w:val="20"/>
                <w:szCs w:val="20"/>
              </w:rPr>
            </w:pPr>
            <w:r>
              <w:rPr>
                <w:rFonts w:ascii="Arial Narrow"/>
                <w:sz w:val="20"/>
              </w:rPr>
              <w:t>85.13</w:t>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right="99"/>
              <w:jc w:val="right"/>
              <w:rPr>
                <w:rFonts w:ascii="Arial Narrow" w:hAnsi="Arial Narrow" w:cs="Arial Narrow" w:eastAsia="Arial Narrow" w:hint="default"/>
                <w:sz w:val="20"/>
                <w:szCs w:val="20"/>
              </w:rPr>
            </w:pPr>
            <w:r>
              <w:rPr>
                <w:rFonts w:ascii="Arial Narrow"/>
                <w:spacing w:val="-1"/>
                <w:sz w:val="20"/>
              </w:rPr>
              <w:t>6,329,362.</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41</w:t>
            </w:r>
            <w:r>
              <w:rPr>
                <w:rFonts w:ascii="Arial Narrow"/>
                <w:sz w:val="20"/>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right="98"/>
              <w:jc w:val="right"/>
              <w:rPr>
                <w:rFonts w:ascii="Arial Narrow" w:hAnsi="Arial Narrow" w:cs="Arial Narrow" w:eastAsia="Arial Narrow" w:hint="default"/>
                <w:sz w:val="20"/>
                <w:szCs w:val="20"/>
              </w:rPr>
            </w:pPr>
            <w:r>
              <w:rPr>
                <w:rFonts w:ascii="Arial Narrow"/>
                <w:spacing w:val="-1"/>
                <w:sz w:val="20"/>
              </w:rPr>
              <w:t>49,172,370</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.51</w:t>
            </w:r>
            <w:r>
              <w:rPr>
                <w:rFonts w:ascii="Arial Narrow"/>
                <w:sz w:val="20"/>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43" w:right="0"/>
              <w:jc w:val="left"/>
              <w:rPr>
                <w:rFonts w:ascii="Arial Narrow" w:hAnsi="Arial Narrow" w:cs="Arial Narrow" w:eastAsia="Arial Narrow" w:hint="default"/>
                <w:sz w:val="20"/>
                <w:szCs w:val="20"/>
              </w:rPr>
            </w:pPr>
            <w:r>
              <w:rPr>
                <w:rFonts w:ascii="Arial Narrow"/>
                <w:spacing w:val="-3"/>
                <w:sz w:val="20"/>
              </w:rPr>
              <w:t>110,777,71</w:t>
            </w:r>
            <w:r>
              <w:rPr>
                <w:rFonts w:ascii="Arial Narrow"/>
                <w:sz w:val="20"/>
              </w:rPr>
            </w:r>
          </w:p>
          <w:p>
            <w:pPr>
              <w:pStyle w:val="TableParagraph"/>
              <w:spacing w:line="240" w:lineRule="auto" w:before="1"/>
              <w:ind w:left="633" w:right="0"/>
              <w:jc w:val="left"/>
              <w:rPr>
                <w:rFonts w:ascii="Arial Narrow" w:hAnsi="Arial Narrow" w:cs="Arial Narrow" w:eastAsia="Arial Narrow" w:hint="default"/>
                <w:sz w:val="20"/>
                <w:szCs w:val="20"/>
              </w:rPr>
            </w:pPr>
            <w:r>
              <w:rPr>
                <w:rFonts w:ascii="Arial Narrow"/>
                <w:sz w:val="20"/>
              </w:rPr>
              <w:t>8.05</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left="154" w:right="0"/>
              <w:jc w:val="left"/>
              <w:rPr>
                <w:rFonts w:ascii="Arial Narrow" w:hAnsi="Arial Narrow" w:cs="Arial Narrow" w:eastAsia="Arial Narrow" w:hint="default"/>
                <w:sz w:val="20"/>
                <w:szCs w:val="20"/>
              </w:rPr>
            </w:pPr>
            <w:r>
              <w:rPr>
                <w:rFonts w:ascii="Arial Narrow"/>
                <w:sz w:val="20"/>
              </w:rPr>
              <w:t>40,000,00</w:t>
            </w:r>
          </w:p>
          <w:p>
            <w:pPr>
              <w:pStyle w:val="TableParagraph"/>
              <w:spacing w:line="240" w:lineRule="auto"/>
              <w:ind w:left="565" w:right="0"/>
              <w:jc w:val="left"/>
              <w:rPr>
                <w:rFonts w:ascii="Arial Narrow" w:hAnsi="Arial Narrow" w:cs="Arial Narrow" w:eastAsia="Arial Narrow" w:hint="default"/>
                <w:sz w:val="20"/>
                <w:szCs w:val="20"/>
              </w:rPr>
            </w:pPr>
            <w:r>
              <w:rPr>
                <w:rFonts w:ascii="Arial Narrow"/>
                <w:sz w:val="20"/>
              </w:rPr>
              <w:t>0.00</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15"/>
              <w:ind w:left="154" w:right="0"/>
              <w:jc w:val="left"/>
              <w:rPr>
                <w:rFonts w:ascii="Arial Narrow" w:hAnsi="Arial Narrow" w:cs="Arial Narrow" w:eastAsia="Arial Narrow" w:hint="default"/>
                <w:sz w:val="20"/>
                <w:szCs w:val="20"/>
              </w:rPr>
            </w:pPr>
            <w:r>
              <w:rPr>
                <w:rFonts w:ascii="Arial Narrow"/>
                <w:sz w:val="20"/>
              </w:rPr>
              <w:t>15,275,98</w:t>
            </w:r>
          </w:p>
          <w:p>
            <w:pPr>
              <w:pStyle w:val="TableParagraph"/>
              <w:spacing w:line="240" w:lineRule="auto"/>
              <w:ind w:left="565" w:right="0"/>
              <w:jc w:val="left"/>
              <w:rPr>
                <w:rFonts w:ascii="Arial Narrow" w:hAnsi="Arial Narrow" w:cs="Arial Narrow" w:eastAsia="Arial Narrow" w:hint="default"/>
                <w:sz w:val="20"/>
                <w:szCs w:val="20"/>
              </w:rPr>
            </w:pPr>
            <w:r>
              <w:rPr>
                <w:rFonts w:ascii="Arial Narrow"/>
                <w:sz w:val="20"/>
              </w:rPr>
              <w:t>5.13</w:t>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2"/>
              <w:ind w:left="116" w:right="0"/>
              <w:jc w:val="left"/>
              <w:rPr>
                <w:rFonts w:ascii="Times New Roman" w:hAnsi="Times New Roman" w:cs="Times New Roman" w:eastAsia="Times New Roman" w:hint="default"/>
                <w:sz w:val="20"/>
                <w:szCs w:val="20"/>
              </w:rPr>
            </w:pPr>
            <w:r>
              <w:rPr>
                <w:rFonts w:ascii="Times New Roman"/>
                <w:sz w:val="20"/>
              </w:rPr>
              <w:t>2,188,75</w:t>
            </w:r>
          </w:p>
          <w:p>
            <w:pPr>
              <w:pStyle w:val="TableParagraph"/>
              <w:spacing w:line="240" w:lineRule="auto"/>
              <w:ind w:left="465" w:right="0"/>
              <w:jc w:val="left"/>
              <w:rPr>
                <w:rFonts w:ascii="Times New Roman" w:hAnsi="Times New Roman" w:cs="Times New Roman" w:eastAsia="Times New Roman" w:hint="default"/>
                <w:sz w:val="20"/>
                <w:szCs w:val="20"/>
              </w:rPr>
            </w:pPr>
            <w:r>
              <w:rPr>
                <w:rFonts w:ascii="Times New Roman"/>
                <w:sz w:val="20"/>
              </w:rPr>
              <w:t>6.36</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2"/>
              <w:ind w:left="129" w:right="0"/>
              <w:jc w:val="left"/>
              <w:rPr>
                <w:rFonts w:ascii="Times New Roman" w:hAnsi="Times New Roman" w:cs="Times New Roman" w:eastAsia="Times New Roman" w:hint="default"/>
                <w:sz w:val="20"/>
                <w:szCs w:val="20"/>
              </w:rPr>
            </w:pPr>
            <w:r>
              <w:rPr>
                <w:rFonts w:ascii="Times New Roman"/>
                <w:sz w:val="20"/>
              </w:rPr>
              <w:t>18,267,40</w:t>
            </w:r>
          </w:p>
          <w:p>
            <w:pPr>
              <w:pStyle w:val="TableParagraph"/>
              <w:spacing w:line="240" w:lineRule="auto"/>
              <w:ind w:left="579" w:right="0"/>
              <w:jc w:val="left"/>
              <w:rPr>
                <w:rFonts w:ascii="Times New Roman" w:hAnsi="Times New Roman" w:cs="Times New Roman" w:eastAsia="Times New Roman" w:hint="default"/>
                <w:sz w:val="20"/>
                <w:szCs w:val="20"/>
              </w:rPr>
            </w:pPr>
            <w:r>
              <w:rPr>
                <w:rFonts w:ascii="Times New Roman"/>
                <w:sz w:val="20"/>
              </w:rPr>
              <w:t>6.09</w:t>
            </w: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29" w:lineRule="exact"/>
              <w:ind w:left="140" w:right="0"/>
              <w:jc w:val="left"/>
              <w:rPr>
                <w:rFonts w:ascii="Arial Narrow" w:hAnsi="Arial Narrow" w:cs="Arial Narrow" w:eastAsia="Arial Narrow" w:hint="default"/>
                <w:sz w:val="20"/>
                <w:szCs w:val="20"/>
              </w:rPr>
            </w:pPr>
            <w:r>
              <w:rPr>
                <w:rFonts w:ascii="Arial Narrow"/>
                <w:sz w:val="20"/>
              </w:rPr>
              <w:t>75,732,14</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7.58</w:t>
            </w:r>
          </w:p>
        </w:tc>
      </w:tr>
      <w:tr>
        <w:trPr>
          <w:trHeight w:val="482"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加：会计政</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策变更</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27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5"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3"/>
              <w:ind w:left="27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
        </w:tc>
        <w:tc>
          <w:tcPr>
            <w:tcW w:w="923" w:type="dxa"/>
            <w:tcBorders>
              <w:top w:val="single" w:sz="6" w:space="0" w:color="000000"/>
              <w:left w:val="single" w:sz="6" w:space="0" w:color="000000"/>
              <w:bottom w:val="single" w:sz="6" w:space="0" w:color="000000"/>
              <w:right w:val="single" w:sz="6" w:space="0" w:color="000000"/>
            </w:tcBorders>
          </w:tcPr>
          <w:p>
            <w:pP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
        </w:tc>
      </w:tr>
      <w:tr>
        <w:trPr>
          <w:trHeight w:val="704"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6"/>
              <w:ind w:left="93" w:right="98"/>
              <w:jc w:val="left"/>
              <w:rPr>
                <w:rFonts w:ascii="宋体" w:hAnsi="宋体" w:cs="宋体" w:eastAsia="宋体" w:hint="default"/>
                <w:sz w:val="18"/>
                <w:szCs w:val="18"/>
              </w:rPr>
            </w:pPr>
            <w:r>
              <w:rPr>
                <w:rFonts w:ascii="宋体" w:hAnsi="宋体" w:cs="宋体" w:eastAsia="宋体" w:hint="default"/>
                <w:spacing w:val="-8"/>
                <w:sz w:val="18"/>
                <w:szCs w:val="18"/>
              </w:rPr>
              <w:t>二、本年年</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初余额</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184" w:right="0"/>
              <w:jc w:val="left"/>
              <w:rPr>
                <w:rFonts w:ascii="Times New Roman" w:hAnsi="Times New Roman" w:cs="Times New Roman" w:eastAsia="Times New Roman" w:hint="default"/>
                <w:sz w:val="20"/>
                <w:szCs w:val="20"/>
              </w:rPr>
            </w:pPr>
            <w:r>
              <w:rPr>
                <w:rFonts w:ascii="Times New Roman"/>
                <w:sz w:val="20"/>
              </w:rPr>
              <w:t>40,000,</w:t>
            </w:r>
          </w:p>
          <w:p>
            <w:pPr>
              <w:pStyle w:val="TableParagraph"/>
              <w:spacing w:line="230" w:lineRule="exact"/>
              <w:ind w:left="233" w:right="0"/>
              <w:jc w:val="left"/>
              <w:rPr>
                <w:rFonts w:ascii="Times New Roman" w:hAnsi="Times New Roman" w:cs="Times New Roman" w:eastAsia="Times New Roman" w:hint="default"/>
                <w:sz w:val="20"/>
                <w:szCs w:val="20"/>
              </w:rPr>
            </w:pPr>
            <w:r>
              <w:rPr>
                <w:rFonts w:ascii="Times New Roman"/>
                <w:sz w:val="20"/>
              </w:rPr>
              <w:t>000.00</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107" w:right="0"/>
              <w:jc w:val="left"/>
              <w:rPr>
                <w:rFonts w:ascii="Times New Roman" w:hAnsi="Times New Roman" w:cs="Times New Roman" w:eastAsia="Times New Roman" w:hint="default"/>
                <w:sz w:val="20"/>
                <w:szCs w:val="20"/>
              </w:rPr>
            </w:pPr>
            <w:r>
              <w:rPr>
                <w:rFonts w:ascii="Times New Roman"/>
                <w:sz w:val="20"/>
              </w:rPr>
              <w:t>15,275,9</w:t>
            </w:r>
          </w:p>
          <w:p>
            <w:pPr>
              <w:pStyle w:val="TableParagraph"/>
              <w:spacing w:line="230" w:lineRule="exact"/>
              <w:ind w:left="357" w:right="0"/>
              <w:jc w:val="left"/>
              <w:rPr>
                <w:rFonts w:ascii="Times New Roman" w:hAnsi="Times New Roman" w:cs="Times New Roman" w:eastAsia="Times New Roman" w:hint="default"/>
                <w:sz w:val="20"/>
                <w:szCs w:val="20"/>
              </w:rPr>
            </w:pPr>
            <w:r>
              <w:rPr>
                <w:rFonts w:ascii="Times New Roman"/>
                <w:sz w:val="20"/>
              </w:rPr>
              <w:t>85.13</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184" w:right="0"/>
              <w:jc w:val="left"/>
              <w:rPr>
                <w:rFonts w:ascii="Times New Roman" w:hAnsi="Times New Roman" w:cs="Times New Roman" w:eastAsia="Times New Roman" w:hint="default"/>
                <w:sz w:val="20"/>
                <w:szCs w:val="20"/>
              </w:rPr>
            </w:pPr>
            <w:r>
              <w:rPr>
                <w:rFonts w:ascii="Times New Roman"/>
                <w:sz w:val="20"/>
              </w:rPr>
              <w:t>6,329,36</w:t>
            </w:r>
          </w:p>
          <w:p>
            <w:pPr>
              <w:pStyle w:val="TableParagraph"/>
              <w:spacing w:line="230" w:lineRule="exact"/>
              <w:ind w:left="533" w:right="0"/>
              <w:jc w:val="left"/>
              <w:rPr>
                <w:rFonts w:ascii="Times New Roman" w:hAnsi="Times New Roman" w:cs="Times New Roman" w:eastAsia="Times New Roman" w:hint="default"/>
                <w:sz w:val="20"/>
                <w:szCs w:val="20"/>
              </w:rPr>
            </w:pPr>
            <w:r>
              <w:rPr>
                <w:rFonts w:ascii="Times New Roman"/>
                <w:sz w:val="20"/>
              </w:rPr>
              <w:t>2.41</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152" w:right="0"/>
              <w:jc w:val="left"/>
              <w:rPr>
                <w:rFonts w:ascii="Times New Roman" w:hAnsi="Times New Roman" w:cs="Times New Roman" w:eastAsia="Times New Roman" w:hint="default"/>
                <w:sz w:val="20"/>
                <w:szCs w:val="20"/>
              </w:rPr>
            </w:pPr>
            <w:r>
              <w:rPr>
                <w:rFonts w:ascii="Times New Roman"/>
                <w:sz w:val="20"/>
              </w:rPr>
              <w:t>49,172,37</w:t>
            </w:r>
          </w:p>
          <w:p>
            <w:pPr>
              <w:pStyle w:val="TableParagraph"/>
              <w:spacing w:line="230" w:lineRule="exact"/>
              <w:ind w:left="602" w:right="0"/>
              <w:jc w:val="left"/>
              <w:rPr>
                <w:rFonts w:ascii="Times New Roman" w:hAnsi="Times New Roman" w:cs="Times New Roman" w:eastAsia="Times New Roman" w:hint="default"/>
                <w:sz w:val="20"/>
                <w:szCs w:val="20"/>
              </w:rPr>
            </w:pPr>
            <w:r>
              <w:rPr>
                <w:rFonts w:ascii="Times New Roman"/>
                <w:sz w:val="20"/>
              </w:rPr>
              <w:t>0.51</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60" w:right="0"/>
              <w:jc w:val="left"/>
              <w:rPr>
                <w:rFonts w:ascii="Times New Roman" w:hAnsi="Times New Roman" w:cs="Times New Roman" w:eastAsia="Times New Roman" w:hint="default"/>
                <w:sz w:val="20"/>
                <w:szCs w:val="20"/>
              </w:rPr>
            </w:pPr>
            <w:r>
              <w:rPr>
                <w:rFonts w:ascii="Times New Roman"/>
                <w:sz w:val="20"/>
              </w:rPr>
              <w:t>110,777,7</w:t>
            </w:r>
          </w:p>
          <w:p>
            <w:pPr>
              <w:pStyle w:val="TableParagraph"/>
              <w:spacing w:line="240" w:lineRule="auto"/>
              <w:ind w:left="502" w:right="0"/>
              <w:jc w:val="left"/>
              <w:rPr>
                <w:rFonts w:ascii="Times New Roman" w:hAnsi="Times New Roman" w:cs="Times New Roman" w:eastAsia="Times New Roman" w:hint="default"/>
                <w:sz w:val="20"/>
                <w:szCs w:val="20"/>
              </w:rPr>
            </w:pPr>
            <w:r>
              <w:rPr>
                <w:rFonts w:ascii="Times New Roman"/>
                <w:sz w:val="20"/>
              </w:rPr>
              <w:t>18.05</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20"/>
                <w:szCs w:val="20"/>
              </w:rPr>
            </w:pPr>
            <w:r>
              <w:rPr>
                <w:rFonts w:ascii="Times New Roman"/>
                <w:sz w:val="20"/>
              </w:rPr>
              <w:t>40,000,0</w:t>
            </w:r>
          </w:p>
          <w:p>
            <w:pPr>
              <w:pStyle w:val="TableParagraph"/>
              <w:spacing w:line="240" w:lineRule="auto"/>
              <w:ind w:left="433" w:right="0"/>
              <w:jc w:val="left"/>
              <w:rPr>
                <w:rFonts w:ascii="Times New Roman" w:hAnsi="Times New Roman" w:cs="Times New Roman" w:eastAsia="Times New Roman" w:hint="default"/>
                <w:sz w:val="20"/>
                <w:szCs w:val="20"/>
              </w:rPr>
            </w:pPr>
            <w:r>
              <w:rPr>
                <w:rFonts w:ascii="Times New Roman"/>
                <w:sz w:val="20"/>
              </w:rPr>
              <w:t>00.00</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20"/>
                <w:szCs w:val="20"/>
              </w:rPr>
            </w:pPr>
            <w:r>
              <w:rPr>
                <w:rFonts w:ascii="Times New Roman"/>
                <w:sz w:val="20"/>
              </w:rPr>
              <w:t>15,275,9</w:t>
            </w:r>
          </w:p>
          <w:p>
            <w:pPr>
              <w:pStyle w:val="TableParagraph"/>
              <w:spacing w:line="240" w:lineRule="auto"/>
              <w:ind w:left="433" w:right="0"/>
              <w:jc w:val="left"/>
              <w:rPr>
                <w:rFonts w:ascii="Times New Roman" w:hAnsi="Times New Roman" w:cs="Times New Roman" w:eastAsia="Times New Roman" w:hint="default"/>
                <w:sz w:val="20"/>
                <w:szCs w:val="20"/>
              </w:rPr>
            </w:pPr>
            <w:r>
              <w:rPr>
                <w:rFonts w:ascii="Times New Roman"/>
                <w:sz w:val="20"/>
              </w:rPr>
              <w:t>85.13</w:t>
            </w: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15" w:right="0"/>
              <w:jc w:val="left"/>
              <w:rPr>
                <w:rFonts w:ascii="Times New Roman" w:hAnsi="Times New Roman" w:cs="Times New Roman" w:eastAsia="Times New Roman" w:hint="default"/>
                <w:sz w:val="20"/>
                <w:szCs w:val="20"/>
              </w:rPr>
            </w:pPr>
            <w:r>
              <w:rPr>
                <w:rFonts w:ascii="Times New Roman"/>
                <w:sz w:val="20"/>
              </w:rPr>
              <w:t>2,188,75</w:t>
            </w:r>
          </w:p>
          <w:p>
            <w:pPr>
              <w:pStyle w:val="TableParagraph"/>
              <w:spacing w:line="240" w:lineRule="auto"/>
              <w:ind w:left="464" w:right="0"/>
              <w:jc w:val="left"/>
              <w:rPr>
                <w:rFonts w:ascii="Times New Roman" w:hAnsi="Times New Roman" w:cs="Times New Roman" w:eastAsia="Times New Roman" w:hint="default"/>
                <w:sz w:val="20"/>
                <w:szCs w:val="20"/>
              </w:rPr>
            </w:pPr>
            <w:r>
              <w:rPr>
                <w:rFonts w:ascii="Times New Roman"/>
                <w:sz w:val="20"/>
              </w:rPr>
              <w:t>6.36</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28" w:right="0"/>
              <w:jc w:val="left"/>
              <w:rPr>
                <w:rFonts w:ascii="Times New Roman" w:hAnsi="Times New Roman" w:cs="Times New Roman" w:eastAsia="Times New Roman" w:hint="default"/>
                <w:sz w:val="20"/>
                <w:szCs w:val="20"/>
              </w:rPr>
            </w:pPr>
            <w:r>
              <w:rPr>
                <w:rFonts w:ascii="Times New Roman"/>
                <w:sz w:val="20"/>
              </w:rPr>
              <w:t>18,267,40</w:t>
            </w:r>
          </w:p>
          <w:p>
            <w:pPr>
              <w:pStyle w:val="TableParagraph"/>
              <w:spacing w:line="240" w:lineRule="auto"/>
              <w:ind w:left="578" w:right="0"/>
              <w:jc w:val="left"/>
              <w:rPr>
                <w:rFonts w:ascii="Times New Roman" w:hAnsi="Times New Roman" w:cs="Times New Roman" w:eastAsia="Times New Roman" w:hint="default"/>
                <w:sz w:val="20"/>
                <w:szCs w:val="20"/>
              </w:rPr>
            </w:pPr>
            <w:r>
              <w:rPr>
                <w:rFonts w:ascii="Times New Roman"/>
                <w:sz w:val="20"/>
              </w:rPr>
              <w:t>6.09</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29" w:lineRule="exact"/>
              <w:ind w:left="140" w:right="0"/>
              <w:jc w:val="left"/>
              <w:rPr>
                <w:rFonts w:ascii="Arial Narrow" w:hAnsi="Arial Narrow" w:cs="Arial Narrow" w:eastAsia="Arial Narrow" w:hint="default"/>
                <w:sz w:val="20"/>
                <w:szCs w:val="20"/>
              </w:rPr>
            </w:pPr>
            <w:r>
              <w:rPr>
                <w:rFonts w:ascii="Arial Narrow"/>
                <w:sz w:val="20"/>
              </w:rPr>
              <w:t>75,732,14</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7.58</w:t>
            </w:r>
          </w:p>
        </w:tc>
      </w:tr>
      <w:tr>
        <w:trPr>
          <w:trHeight w:val="949"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三、本年增</w:t>
            </w:r>
          </w:p>
          <w:p>
            <w:pPr>
              <w:pStyle w:val="TableParagraph"/>
              <w:spacing w:line="237" w:lineRule="auto" w:before="1"/>
              <w:ind w:left="93" w:right="23"/>
              <w:jc w:val="left"/>
              <w:rPr>
                <w:rFonts w:ascii="宋体" w:hAnsi="宋体" w:cs="宋体" w:eastAsia="宋体" w:hint="default"/>
                <w:sz w:val="18"/>
                <w:szCs w:val="18"/>
              </w:rPr>
            </w:pPr>
            <w:r>
              <w:rPr>
                <w:rFonts w:ascii="宋体" w:hAnsi="宋体" w:cs="宋体" w:eastAsia="宋体" w:hint="default"/>
                <w:sz w:val="18"/>
                <w:szCs w:val="18"/>
              </w:rPr>
              <w:t>减变动金 </w:t>
            </w:r>
            <w:r>
              <w:rPr>
                <w:rFonts w:ascii="宋体" w:hAnsi="宋体" w:cs="宋体" w:eastAsia="宋体" w:hint="default"/>
                <w:spacing w:val="-8"/>
                <w:sz w:val="18"/>
                <w:szCs w:val="18"/>
              </w:rPr>
              <w:t>额（减少以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20"/>
                <w:szCs w:val="20"/>
              </w:rPr>
            </w:pPr>
            <w:r>
              <w:rPr>
                <w:rFonts w:ascii="Times New Roman"/>
                <w:sz w:val="20"/>
              </w:rPr>
              <w:t>13,500,</w:t>
            </w:r>
          </w:p>
          <w:p>
            <w:pPr>
              <w:pStyle w:val="TableParagraph"/>
              <w:spacing w:line="240" w:lineRule="auto"/>
              <w:ind w:left="233" w:right="0"/>
              <w:jc w:val="left"/>
              <w:rPr>
                <w:rFonts w:ascii="Times New Roman" w:hAnsi="Times New Roman" w:cs="Times New Roman" w:eastAsia="Times New Roman" w:hint="default"/>
                <w:sz w:val="20"/>
                <w:szCs w:val="20"/>
              </w:rPr>
            </w:pPr>
            <w:r>
              <w:rPr>
                <w:rFonts w:ascii="Times New Roman"/>
                <w:sz w:val="20"/>
              </w:rPr>
              <w:t>000.00</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7" w:right="0"/>
              <w:jc w:val="center"/>
              <w:rPr>
                <w:rFonts w:ascii="Times New Roman" w:hAnsi="Times New Roman" w:cs="Times New Roman" w:eastAsia="Times New Roman" w:hint="default"/>
                <w:sz w:val="20"/>
                <w:szCs w:val="20"/>
              </w:rPr>
            </w:pPr>
            <w:r>
              <w:rPr>
                <w:rFonts w:ascii="Times New Roman"/>
                <w:sz w:val="20"/>
              </w:rPr>
              <w:t>487,906,</w:t>
            </w:r>
          </w:p>
          <w:p>
            <w:pPr>
              <w:pStyle w:val="TableParagraph"/>
              <w:spacing w:line="240" w:lineRule="auto"/>
              <w:ind w:left="154" w:right="0"/>
              <w:jc w:val="center"/>
              <w:rPr>
                <w:rFonts w:ascii="Times New Roman" w:hAnsi="Times New Roman" w:cs="Times New Roman" w:eastAsia="Times New Roman" w:hint="default"/>
                <w:sz w:val="20"/>
                <w:szCs w:val="20"/>
              </w:rPr>
            </w:pPr>
            <w:r>
              <w:rPr>
                <w:rFonts w:ascii="Times New Roman"/>
                <w:sz w:val="20"/>
              </w:rPr>
              <w:t>035.00</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84" w:right="0"/>
              <w:jc w:val="left"/>
              <w:rPr>
                <w:rFonts w:ascii="Times New Roman" w:hAnsi="Times New Roman" w:cs="Times New Roman" w:eastAsia="Times New Roman" w:hint="default"/>
                <w:sz w:val="20"/>
                <w:szCs w:val="20"/>
              </w:rPr>
            </w:pPr>
            <w:r>
              <w:rPr>
                <w:rFonts w:ascii="Times New Roman"/>
                <w:sz w:val="20"/>
              </w:rPr>
              <w:t>6,009,22</w:t>
            </w:r>
          </w:p>
          <w:p>
            <w:pPr>
              <w:pStyle w:val="TableParagraph"/>
              <w:spacing w:line="240" w:lineRule="auto"/>
              <w:ind w:left="533" w:right="0"/>
              <w:jc w:val="left"/>
              <w:rPr>
                <w:rFonts w:ascii="Times New Roman" w:hAnsi="Times New Roman" w:cs="Times New Roman" w:eastAsia="Times New Roman" w:hint="default"/>
                <w:sz w:val="20"/>
                <w:szCs w:val="20"/>
              </w:rPr>
            </w:pPr>
            <w:r>
              <w:rPr>
                <w:rFonts w:ascii="Times New Roman"/>
                <w:sz w:val="20"/>
              </w:rPr>
              <w:t>9.32</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52" w:right="0"/>
              <w:jc w:val="left"/>
              <w:rPr>
                <w:rFonts w:ascii="Times New Roman" w:hAnsi="Times New Roman" w:cs="Times New Roman" w:eastAsia="Times New Roman" w:hint="default"/>
                <w:sz w:val="20"/>
                <w:szCs w:val="20"/>
              </w:rPr>
            </w:pPr>
            <w:r>
              <w:rPr>
                <w:rFonts w:ascii="Times New Roman"/>
                <w:sz w:val="20"/>
              </w:rPr>
              <w:t>55,495,75</w:t>
            </w:r>
          </w:p>
          <w:p>
            <w:pPr>
              <w:pStyle w:val="TableParagraph"/>
              <w:spacing w:line="240" w:lineRule="auto"/>
              <w:ind w:left="602" w:right="0"/>
              <w:jc w:val="left"/>
              <w:rPr>
                <w:rFonts w:ascii="Times New Roman" w:hAnsi="Times New Roman" w:cs="Times New Roman" w:eastAsia="Times New Roman" w:hint="default"/>
                <w:sz w:val="20"/>
                <w:szCs w:val="20"/>
              </w:rPr>
            </w:pPr>
            <w:r>
              <w:rPr>
                <w:rFonts w:ascii="Times New Roman"/>
                <w:sz w:val="20"/>
              </w:rPr>
              <w:t>2.46</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60" w:right="0"/>
              <w:jc w:val="left"/>
              <w:rPr>
                <w:rFonts w:ascii="Times New Roman" w:hAnsi="Times New Roman" w:cs="Times New Roman" w:eastAsia="Times New Roman" w:hint="default"/>
                <w:sz w:val="20"/>
                <w:szCs w:val="20"/>
              </w:rPr>
            </w:pPr>
            <w:r>
              <w:rPr>
                <w:rFonts w:ascii="Times New Roman"/>
                <w:sz w:val="20"/>
              </w:rPr>
              <w:t>562,911,0</w:t>
            </w:r>
          </w:p>
          <w:p>
            <w:pPr>
              <w:pStyle w:val="TableParagraph"/>
              <w:spacing w:line="240" w:lineRule="auto"/>
              <w:ind w:left="502" w:right="0"/>
              <w:jc w:val="left"/>
              <w:rPr>
                <w:rFonts w:ascii="Times New Roman" w:hAnsi="Times New Roman" w:cs="Times New Roman" w:eastAsia="Times New Roman" w:hint="default"/>
                <w:sz w:val="20"/>
                <w:szCs w:val="20"/>
              </w:rPr>
            </w:pPr>
            <w:r>
              <w:rPr>
                <w:rFonts w:ascii="Times New Roman"/>
                <w:sz w:val="20"/>
              </w:rPr>
              <w:t>16.78</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30" w:lineRule="exact"/>
              <w:ind w:left="116" w:right="0"/>
              <w:jc w:val="left"/>
              <w:rPr>
                <w:rFonts w:ascii="Times New Roman" w:hAnsi="Times New Roman" w:cs="Times New Roman" w:eastAsia="Times New Roman" w:hint="default"/>
                <w:sz w:val="20"/>
                <w:szCs w:val="20"/>
              </w:rPr>
            </w:pPr>
            <w:r>
              <w:rPr>
                <w:rFonts w:ascii="Times New Roman"/>
                <w:sz w:val="20"/>
              </w:rPr>
              <w:t>4,140,60</w:t>
            </w:r>
          </w:p>
          <w:p>
            <w:pPr>
              <w:pStyle w:val="TableParagraph"/>
              <w:spacing w:line="230" w:lineRule="exact"/>
              <w:ind w:left="465" w:right="0"/>
              <w:jc w:val="left"/>
              <w:rPr>
                <w:rFonts w:ascii="Times New Roman" w:hAnsi="Times New Roman" w:cs="Times New Roman" w:eastAsia="Times New Roman" w:hint="default"/>
                <w:sz w:val="20"/>
                <w:szCs w:val="20"/>
              </w:rPr>
            </w:pPr>
            <w:r>
              <w:rPr>
                <w:rFonts w:ascii="Times New Roman"/>
                <w:sz w:val="20"/>
              </w:rPr>
              <w:t>6.05</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30" w:lineRule="exact"/>
              <w:ind w:left="129" w:right="0"/>
              <w:jc w:val="left"/>
              <w:rPr>
                <w:rFonts w:ascii="Times New Roman" w:hAnsi="Times New Roman" w:cs="Times New Roman" w:eastAsia="Times New Roman" w:hint="default"/>
                <w:sz w:val="20"/>
                <w:szCs w:val="20"/>
              </w:rPr>
            </w:pPr>
            <w:r>
              <w:rPr>
                <w:rFonts w:ascii="Times New Roman"/>
                <w:sz w:val="20"/>
              </w:rPr>
              <w:t>30,904,96</w:t>
            </w:r>
          </w:p>
          <w:p>
            <w:pPr>
              <w:pStyle w:val="TableParagraph"/>
              <w:spacing w:line="230" w:lineRule="exact"/>
              <w:ind w:left="579" w:right="0"/>
              <w:jc w:val="left"/>
              <w:rPr>
                <w:rFonts w:ascii="Times New Roman" w:hAnsi="Times New Roman" w:cs="Times New Roman" w:eastAsia="Times New Roman" w:hint="default"/>
                <w:sz w:val="20"/>
                <w:szCs w:val="20"/>
              </w:rPr>
            </w:pPr>
            <w:r>
              <w:rPr>
                <w:rFonts w:ascii="Times New Roman"/>
                <w:sz w:val="20"/>
              </w:rPr>
              <w:t>4.42</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29" w:lineRule="exact"/>
              <w:ind w:left="140" w:right="0"/>
              <w:jc w:val="left"/>
              <w:rPr>
                <w:rFonts w:ascii="Arial Narrow" w:hAnsi="Arial Narrow" w:cs="Arial Narrow" w:eastAsia="Arial Narrow" w:hint="default"/>
                <w:sz w:val="20"/>
                <w:szCs w:val="20"/>
              </w:rPr>
            </w:pPr>
            <w:r>
              <w:rPr>
                <w:rFonts w:ascii="Arial Narrow"/>
                <w:sz w:val="20"/>
              </w:rPr>
              <w:t>35,045,57</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0.47</w:t>
            </w:r>
          </w:p>
        </w:tc>
      </w:tr>
      <w:tr>
        <w:trPr>
          <w:trHeight w:val="481"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（一）净利</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润</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718" w:right="0"/>
              <w:jc w:val="lef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
              <w:ind w:left="152" w:right="0"/>
              <w:jc w:val="left"/>
              <w:rPr>
                <w:rFonts w:ascii="Times New Roman" w:hAnsi="Times New Roman" w:cs="Times New Roman" w:eastAsia="Times New Roman" w:hint="default"/>
                <w:sz w:val="20"/>
                <w:szCs w:val="20"/>
              </w:rPr>
            </w:pPr>
            <w:r>
              <w:rPr>
                <w:rFonts w:ascii="Times New Roman"/>
                <w:sz w:val="20"/>
              </w:rPr>
              <w:t>61,504,98</w:t>
            </w:r>
          </w:p>
          <w:p>
            <w:pPr>
              <w:pStyle w:val="TableParagraph"/>
              <w:spacing w:line="230" w:lineRule="exact"/>
              <w:ind w:left="602" w:right="0"/>
              <w:jc w:val="left"/>
              <w:rPr>
                <w:rFonts w:ascii="Times New Roman" w:hAnsi="Times New Roman" w:cs="Times New Roman" w:eastAsia="Times New Roman" w:hint="default"/>
                <w:sz w:val="20"/>
                <w:szCs w:val="20"/>
              </w:rPr>
            </w:pPr>
            <w:r>
              <w:rPr>
                <w:rFonts w:ascii="Times New Roman"/>
                <w:sz w:val="20"/>
              </w:rPr>
              <w:t>1.78</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
              <w:ind w:left="152" w:right="0"/>
              <w:jc w:val="left"/>
              <w:rPr>
                <w:rFonts w:ascii="Times New Roman" w:hAnsi="Times New Roman" w:cs="Times New Roman" w:eastAsia="Times New Roman" w:hint="default"/>
                <w:sz w:val="20"/>
                <w:szCs w:val="20"/>
              </w:rPr>
            </w:pPr>
            <w:r>
              <w:rPr>
                <w:rFonts w:ascii="Times New Roman"/>
                <w:sz w:val="20"/>
              </w:rPr>
              <w:t>61,504,98</w:t>
            </w:r>
          </w:p>
          <w:p>
            <w:pPr>
              <w:pStyle w:val="TableParagraph"/>
              <w:spacing w:line="230" w:lineRule="exact"/>
              <w:ind w:left="602" w:right="0"/>
              <w:jc w:val="left"/>
              <w:rPr>
                <w:rFonts w:ascii="Times New Roman" w:hAnsi="Times New Roman" w:cs="Times New Roman" w:eastAsia="Times New Roman" w:hint="default"/>
                <w:sz w:val="20"/>
                <w:szCs w:val="20"/>
              </w:rPr>
            </w:pPr>
            <w:r>
              <w:rPr>
                <w:rFonts w:ascii="Times New Roman"/>
                <w:sz w:val="20"/>
              </w:rPr>
              <w:t>1.78</w:t>
            </w: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
              <w:ind w:left="129" w:right="0"/>
              <w:jc w:val="left"/>
              <w:rPr>
                <w:rFonts w:ascii="Times New Roman" w:hAnsi="Times New Roman" w:cs="Times New Roman" w:eastAsia="Times New Roman" w:hint="default"/>
                <w:sz w:val="20"/>
                <w:szCs w:val="20"/>
              </w:rPr>
            </w:pPr>
            <w:r>
              <w:rPr>
                <w:rFonts w:ascii="Times New Roman"/>
                <w:sz w:val="20"/>
              </w:rPr>
              <w:t>41,045,57</w:t>
            </w:r>
          </w:p>
          <w:p>
            <w:pPr>
              <w:pStyle w:val="TableParagraph"/>
              <w:spacing w:line="230" w:lineRule="exact"/>
              <w:ind w:left="579" w:right="0"/>
              <w:jc w:val="left"/>
              <w:rPr>
                <w:rFonts w:ascii="Times New Roman" w:hAnsi="Times New Roman" w:cs="Times New Roman" w:eastAsia="Times New Roman" w:hint="default"/>
                <w:sz w:val="20"/>
                <w:szCs w:val="20"/>
              </w:rPr>
            </w:pPr>
            <w:r>
              <w:rPr>
                <w:rFonts w:ascii="Times New Roman"/>
                <w:sz w:val="20"/>
              </w:rPr>
              <w:t>0.47</w:t>
            </w: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29" w:lineRule="exact" w:before="4"/>
              <w:ind w:left="140" w:right="0"/>
              <w:jc w:val="left"/>
              <w:rPr>
                <w:rFonts w:ascii="Arial Narrow" w:hAnsi="Arial Narrow" w:cs="Arial Narrow" w:eastAsia="Arial Narrow" w:hint="default"/>
                <w:sz w:val="20"/>
                <w:szCs w:val="20"/>
              </w:rPr>
            </w:pPr>
            <w:r>
              <w:rPr>
                <w:rFonts w:ascii="Arial Narrow"/>
                <w:sz w:val="20"/>
              </w:rPr>
              <w:t>41,045,57</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0.47</w:t>
            </w:r>
          </w:p>
        </w:tc>
      </w:tr>
      <w:tr>
        <w:trPr>
          <w:trHeight w:val="490" w:hRule="exact"/>
        </w:trPr>
        <w:tc>
          <w:tcPr>
            <w:tcW w:w="1081" w:type="dxa"/>
            <w:tcBorders>
              <w:top w:val="single" w:sz="6" w:space="0" w:color="000000"/>
              <w:left w:val="single" w:sz="12" w:space="0" w:color="000000"/>
              <w:bottom w:val="single" w:sz="12"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（二）其他</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left="718" w:right="0"/>
              <w:jc w:val="lef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tcBorders>
              <w:top w:val="single" w:sz="6" w:space="0" w:color="000000"/>
              <w:left w:val="single" w:sz="6" w:space="0" w:color="000000"/>
              <w:bottom w:val="single" w:sz="12" w:space="0" w:color="000000"/>
              <w:right w:val="single" w:sz="6" w:space="0" w:color="000000"/>
            </w:tcBorders>
          </w:tcPr>
          <w:p>
            <w:pPr/>
          </w:p>
        </w:tc>
        <w:tc>
          <w:tcPr>
            <w:tcW w:w="340" w:type="dxa"/>
            <w:tcBorders>
              <w:top w:val="single" w:sz="6" w:space="0" w:color="000000"/>
              <w:left w:val="single" w:sz="6" w:space="0" w:color="000000"/>
              <w:bottom w:val="single" w:sz="12" w:space="0" w:color="000000"/>
              <w:right w:val="single" w:sz="6" w:space="0" w:color="000000"/>
            </w:tcBorders>
          </w:tcPr>
          <w:p>
            <w:pPr/>
          </w:p>
        </w:tc>
        <w:tc>
          <w:tcPr>
            <w:tcW w:w="10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33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12" w:space="0" w:color="000000"/>
              <w:right w:val="single" w:sz="6" w:space="0" w:color="000000"/>
            </w:tcBorders>
          </w:tcPr>
          <w:p>
            <w:pPr/>
          </w:p>
        </w:tc>
        <w:tc>
          <w:tcPr>
            <w:tcW w:w="10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1000" w:type="dxa"/>
            <w:tcBorders>
              <w:top w:val="single" w:sz="6" w:space="0" w:color="000000"/>
              <w:left w:val="single" w:sz="6" w:space="0" w:color="000000"/>
              <w:bottom w:val="single" w:sz="12" w:space="0" w:color="000000"/>
              <w:right w:val="single" w:sz="6" w:space="0" w:color="000000"/>
            </w:tcBorders>
          </w:tcPr>
          <w:p>
            <w:pPr/>
          </w:p>
        </w:tc>
        <w:tc>
          <w:tcPr>
            <w:tcW w:w="1001" w:type="dxa"/>
            <w:tcBorders>
              <w:top w:val="single" w:sz="6" w:space="0" w:color="000000"/>
              <w:left w:val="single" w:sz="6" w:space="0" w:color="000000"/>
              <w:bottom w:val="single" w:sz="12" w:space="0" w:color="000000"/>
              <w:right w:val="single" w:sz="6" w:space="0" w:color="000000"/>
            </w:tcBorders>
          </w:tcPr>
          <w:p>
            <w:pPr/>
          </w:p>
        </w:tc>
        <w:tc>
          <w:tcPr>
            <w:tcW w:w="462" w:type="dxa"/>
            <w:tcBorders>
              <w:top w:val="single" w:sz="6" w:space="0" w:color="000000"/>
              <w:left w:val="single" w:sz="6" w:space="0" w:color="000000"/>
              <w:bottom w:val="single" w:sz="12" w:space="0" w:color="000000"/>
              <w:right w:val="single" w:sz="6" w:space="0" w:color="000000"/>
            </w:tcBorders>
          </w:tcPr>
          <w:p>
            <w:pPr/>
          </w:p>
        </w:tc>
        <w:tc>
          <w:tcPr>
            <w:tcW w:w="340" w:type="dxa"/>
            <w:tcBorders>
              <w:top w:val="single" w:sz="6" w:space="0" w:color="000000"/>
              <w:left w:val="single" w:sz="6" w:space="0" w:color="000000"/>
              <w:bottom w:val="single" w:sz="12" w:space="0" w:color="000000"/>
              <w:right w:val="single" w:sz="6" w:space="0" w:color="000000"/>
            </w:tcBorders>
          </w:tcPr>
          <w:p>
            <w:pPr/>
          </w:p>
        </w:tc>
        <w:tc>
          <w:tcPr>
            <w:tcW w:w="931" w:type="dxa"/>
            <w:tcBorders>
              <w:top w:val="single" w:sz="6" w:space="0" w:color="000000"/>
              <w:left w:val="single" w:sz="6" w:space="0" w:color="000000"/>
              <w:bottom w:val="single" w:sz="12" w:space="0" w:color="000000"/>
              <w:right w:val="single" w:sz="6" w:space="0" w:color="000000"/>
            </w:tcBorders>
          </w:tcPr>
          <w:p>
            <w:pPr/>
          </w:p>
        </w:tc>
        <w:tc>
          <w:tcPr>
            <w:tcW w:w="1045" w:type="dxa"/>
            <w:tcBorders>
              <w:top w:val="single" w:sz="6" w:space="0" w:color="000000"/>
              <w:left w:val="single" w:sz="6" w:space="0" w:color="000000"/>
              <w:bottom w:val="single" w:sz="12" w:space="0" w:color="000000"/>
              <w:right w:val="single" w:sz="6" w:space="0" w:color="000000"/>
            </w:tcBorders>
          </w:tcPr>
          <w:p>
            <w:pPr/>
          </w:p>
        </w:tc>
        <w:tc>
          <w:tcPr>
            <w:tcW w:w="338" w:type="dxa"/>
            <w:tcBorders>
              <w:top w:val="single" w:sz="6" w:space="0" w:color="000000"/>
              <w:left w:val="single" w:sz="6" w:space="0" w:color="000000"/>
              <w:bottom w:val="single" w:sz="12" w:space="0" w:color="000000"/>
              <w:right w:val="single" w:sz="6" w:space="0" w:color="000000"/>
            </w:tcBorders>
          </w:tcPr>
          <w:p>
            <w:pPr/>
          </w:p>
        </w:tc>
        <w:tc>
          <w:tcPr>
            <w:tcW w:w="9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20"/>
              <w:ind w:right="90"/>
              <w:jc w:val="right"/>
              <w:rPr>
                <w:rFonts w:ascii="Arial Narrow" w:hAnsi="Arial Narrow" w:cs="Arial Narrow" w:eastAsia="Arial Narrow" w:hint="default"/>
                <w:sz w:val="20"/>
                <w:szCs w:val="20"/>
              </w:rPr>
            </w:pPr>
            <w:r>
              <w:rPr>
                <w:rFonts w:ascii="Arial Narrow"/>
                <w:w w:val="100"/>
                <w:sz w:val="20"/>
              </w:rPr>
              <w:t>-</w:t>
            </w:r>
          </w:p>
        </w:tc>
      </w:tr>
    </w:tbl>
    <w:p>
      <w:pPr>
        <w:spacing w:after="0" w:line="240" w:lineRule="auto"/>
        <w:jc w:val="right"/>
        <w:rPr>
          <w:rFonts w:ascii="Arial Narrow" w:hAnsi="Arial Narrow" w:cs="Arial Narrow" w:eastAsia="Arial Narrow" w:hint="default"/>
          <w:sz w:val="20"/>
          <w:szCs w:val="20"/>
        </w:rPr>
        <w:sectPr>
          <w:footerReference w:type="default" r:id="rId64"/>
          <w:pgSz w:w="15840" w:h="12240" w:orient="landscape"/>
          <w:pgMar w:footer="688" w:header="0" w:top="1140" w:bottom="880" w:left="760" w:right="1200"/>
          <w:pgNumType w:start="96"/>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1081"/>
        <w:gridCol w:w="900"/>
        <w:gridCol w:w="923"/>
        <w:gridCol w:w="463"/>
        <w:gridCol w:w="340"/>
        <w:gridCol w:w="1000"/>
        <w:gridCol w:w="1068"/>
        <w:gridCol w:w="338"/>
        <w:gridCol w:w="340"/>
        <w:gridCol w:w="1068"/>
        <w:gridCol w:w="1000"/>
        <w:gridCol w:w="1001"/>
        <w:gridCol w:w="462"/>
        <w:gridCol w:w="340"/>
        <w:gridCol w:w="931"/>
        <w:gridCol w:w="1045"/>
        <w:gridCol w:w="338"/>
        <w:gridCol w:w="985"/>
      </w:tblGrid>
      <w:tr>
        <w:trPr>
          <w:trHeight w:val="252" w:hRule="exact"/>
        </w:trPr>
        <w:tc>
          <w:tcPr>
            <w:tcW w:w="1081" w:type="dxa"/>
            <w:tcBorders>
              <w:top w:val="single" w:sz="12" w:space="0" w:color="000000"/>
              <w:left w:val="single" w:sz="12" w:space="0" w:color="000000"/>
              <w:bottom w:val="nil" w:sz="6" w:space="0" w:color="auto"/>
              <w:right w:val="single" w:sz="6"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．可供出</w:t>
            </w:r>
          </w:p>
        </w:tc>
        <w:tc>
          <w:tcPr>
            <w:tcW w:w="900" w:type="dxa"/>
            <w:tcBorders>
              <w:top w:val="single" w:sz="12" w:space="0" w:color="000000"/>
              <w:left w:val="single" w:sz="6" w:space="0" w:color="000000"/>
              <w:bottom w:val="nil" w:sz="6" w:space="0" w:color="auto"/>
              <w:right w:val="single" w:sz="6" w:space="0" w:color="000000"/>
            </w:tcBorders>
          </w:tcPr>
          <w:p>
            <w:pPr/>
          </w:p>
        </w:tc>
        <w:tc>
          <w:tcPr>
            <w:tcW w:w="923" w:type="dxa"/>
            <w:tcBorders>
              <w:top w:val="single" w:sz="12" w:space="0" w:color="000000"/>
              <w:left w:val="single" w:sz="6" w:space="0" w:color="000000"/>
              <w:bottom w:val="nil" w:sz="6" w:space="0" w:color="auto"/>
              <w:right w:val="single" w:sz="6" w:space="0" w:color="000000"/>
            </w:tcBorders>
          </w:tcPr>
          <w:p>
            <w:pPr/>
          </w:p>
        </w:tc>
        <w:tc>
          <w:tcPr>
            <w:tcW w:w="463" w:type="dxa"/>
            <w:tcBorders>
              <w:top w:val="single" w:sz="12" w:space="0" w:color="000000"/>
              <w:left w:val="single" w:sz="6" w:space="0" w:color="000000"/>
              <w:bottom w:val="nil" w:sz="6" w:space="0" w:color="auto"/>
              <w:right w:val="single" w:sz="6" w:space="0" w:color="000000"/>
            </w:tcBorders>
          </w:tcPr>
          <w:p>
            <w:pPr/>
          </w:p>
        </w:tc>
        <w:tc>
          <w:tcPr>
            <w:tcW w:w="340" w:type="dxa"/>
            <w:tcBorders>
              <w:top w:val="single" w:sz="12" w:space="0" w:color="000000"/>
              <w:left w:val="single" w:sz="6" w:space="0" w:color="000000"/>
              <w:bottom w:val="nil" w:sz="6" w:space="0" w:color="auto"/>
              <w:right w:val="single" w:sz="6" w:space="0" w:color="000000"/>
            </w:tcBorders>
          </w:tcPr>
          <w:p>
            <w:pPr/>
          </w:p>
        </w:tc>
        <w:tc>
          <w:tcPr>
            <w:tcW w:w="1000" w:type="dxa"/>
            <w:tcBorders>
              <w:top w:val="single" w:sz="12" w:space="0" w:color="000000"/>
              <w:left w:val="single" w:sz="6" w:space="0" w:color="000000"/>
              <w:bottom w:val="nil" w:sz="6" w:space="0" w:color="auto"/>
              <w:right w:val="single" w:sz="6" w:space="0" w:color="000000"/>
            </w:tcBorders>
          </w:tcPr>
          <w:p>
            <w:pPr/>
          </w:p>
        </w:tc>
        <w:tc>
          <w:tcPr>
            <w:tcW w:w="1068" w:type="dxa"/>
            <w:tcBorders>
              <w:top w:val="single" w:sz="12" w:space="0" w:color="000000"/>
              <w:left w:val="single" w:sz="6" w:space="0" w:color="000000"/>
              <w:bottom w:val="nil" w:sz="6" w:space="0" w:color="auto"/>
              <w:right w:val="single" w:sz="6" w:space="0" w:color="000000"/>
            </w:tcBorders>
          </w:tcPr>
          <w:p>
            <w:pPr/>
          </w:p>
        </w:tc>
        <w:tc>
          <w:tcPr>
            <w:tcW w:w="338" w:type="dxa"/>
            <w:tcBorders>
              <w:top w:val="single" w:sz="12" w:space="0" w:color="000000"/>
              <w:left w:val="single" w:sz="6" w:space="0" w:color="000000"/>
              <w:bottom w:val="nil" w:sz="6" w:space="0" w:color="auto"/>
              <w:right w:val="single" w:sz="6" w:space="0" w:color="000000"/>
            </w:tcBorders>
          </w:tcPr>
          <w:p>
            <w:pPr/>
          </w:p>
        </w:tc>
        <w:tc>
          <w:tcPr>
            <w:tcW w:w="340" w:type="dxa"/>
            <w:tcBorders>
              <w:top w:val="single" w:sz="12" w:space="0" w:color="000000"/>
              <w:left w:val="single" w:sz="6" w:space="0" w:color="000000"/>
              <w:bottom w:val="nil" w:sz="6" w:space="0" w:color="auto"/>
              <w:right w:val="single" w:sz="6" w:space="0" w:color="000000"/>
            </w:tcBorders>
          </w:tcPr>
          <w:p>
            <w:pPr/>
          </w:p>
        </w:tc>
        <w:tc>
          <w:tcPr>
            <w:tcW w:w="1068" w:type="dxa"/>
            <w:tcBorders>
              <w:top w:val="single" w:sz="12" w:space="0" w:color="000000"/>
              <w:left w:val="single" w:sz="6" w:space="0" w:color="000000"/>
              <w:bottom w:val="nil" w:sz="6" w:space="0" w:color="auto"/>
              <w:right w:val="single" w:sz="6" w:space="0" w:color="000000"/>
            </w:tcBorders>
          </w:tcPr>
          <w:p>
            <w:pPr/>
          </w:p>
        </w:tc>
        <w:tc>
          <w:tcPr>
            <w:tcW w:w="1000" w:type="dxa"/>
            <w:tcBorders>
              <w:top w:val="single" w:sz="12" w:space="0" w:color="000000"/>
              <w:left w:val="single" w:sz="6" w:space="0" w:color="000000"/>
              <w:bottom w:val="nil" w:sz="6" w:space="0" w:color="auto"/>
              <w:right w:val="single" w:sz="6" w:space="0" w:color="000000"/>
            </w:tcBorders>
          </w:tcPr>
          <w:p>
            <w:pPr/>
          </w:p>
        </w:tc>
        <w:tc>
          <w:tcPr>
            <w:tcW w:w="1001" w:type="dxa"/>
            <w:tcBorders>
              <w:top w:val="single" w:sz="12" w:space="0" w:color="000000"/>
              <w:left w:val="single" w:sz="6" w:space="0" w:color="000000"/>
              <w:bottom w:val="nil" w:sz="6" w:space="0" w:color="auto"/>
              <w:right w:val="single" w:sz="6" w:space="0" w:color="000000"/>
            </w:tcBorders>
          </w:tcPr>
          <w:p>
            <w:pPr/>
          </w:p>
        </w:tc>
        <w:tc>
          <w:tcPr>
            <w:tcW w:w="462" w:type="dxa"/>
            <w:tcBorders>
              <w:top w:val="single" w:sz="12" w:space="0" w:color="000000"/>
              <w:left w:val="single" w:sz="6" w:space="0" w:color="000000"/>
              <w:bottom w:val="nil" w:sz="6" w:space="0" w:color="auto"/>
              <w:right w:val="single" w:sz="6" w:space="0" w:color="000000"/>
            </w:tcBorders>
          </w:tcPr>
          <w:p>
            <w:pPr/>
          </w:p>
        </w:tc>
        <w:tc>
          <w:tcPr>
            <w:tcW w:w="340" w:type="dxa"/>
            <w:tcBorders>
              <w:top w:val="single" w:sz="12" w:space="0" w:color="000000"/>
              <w:left w:val="single" w:sz="6" w:space="0" w:color="000000"/>
              <w:bottom w:val="nil" w:sz="6" w:space="0" w:color="auto"/>
              <w:right w:val="single" w:sz="6" w:space="0" w:color="000000"/>
            </w:tcBorders>
          </w:tcPr>
          <w:p>
            <w:pPr/>
          </w:p>
        </w:tc>
        <w:tc>
          <w:tcPr>
            <w:tcW w:w="931" w:type="dxa"/>
            <w:tcBorders>
              <w:top w:val="single" w:sz="12" w:space="0" w:color="000000"/>
              <w:left w:val="single" w:sz="6" w:space="0" w:color="000000"/>
              <w:bottom w:val="nil" w:sz="6" w:space="0" w:color="auto"/>
              <w:right w:val="single" w:sz="6" w:space="0" w:color="000000"/>
            </w:tcBorders>
          </w:tcPr>
          <w:p>
            <w:pPr/>
          </w:p>
        </w:tc>
        <w:tc>
          <w:tcPr>
            <w:tcW w:w="1045" w:type="dxa"/>
            <w:tcBorders>
              <w:top w:val="single" w:sz="12" w:space="0" w:color="000000"/>
              <w:left w:val="single" w:sz="6" w:space="0" w:color="000000"/>
              <w:bottom w:val="nil" w:sz="6" w:space="0" w:color="auto"/>
              <w:right w:val="single" w:sz="6" w:space="0" w:color="000000"/>
            </w:tcBorders>
          </w:tcPr>
          <w:p>
            <w:pPr/>
          </w:p>
        </w:tc>
        <w:tc>
          <w:tcPr>
            <w:tcW w:w="338" w:type="dxa"/>
            <w:tcBorders>
              <w:top w:val="single" w:sz="12" w:space="0" w:color="000000"/>
              <w:left w:val="single" w:sz="6" w:space="0" w:color="000000"/>
              <w:bottom w:val="nil" w:sz="6" w:space="0" w:color="auto"/>
              <w:right w:val="single" w:sz="6" w:space="0" w:color="000000"/>
            </w:tcBorders>
          </w:tcPr>
          <w:p>
            <w:pPr/>
          </w:p>
        </w:tc>
        <w:tc>
          <w:tcPr>
            <w:tcW w:w="985" w:type="dxa"/>
            <w:tcBorders>
              <w:top w:val="single" w:sz="12" w:space="0" w:color="000000"/>
              <w:left w:val="single" w:sz="6" w:space="0" w:color="000000"/>
              <w:bottom w:val="nil" w:sz="6" w:space="0" w:color="auto"/>
              <w:right w:val="single" w:sz="12" w:space="0" w:color="000000"/>
            </w:tcBorders>
          </w:tcPr>
          <w:p>
            <w:pPr/>
          </w:p>
        </w:tc>
      </w:tr>
      <w:tr>
        <w:trPr>
          <w:trHeight w:val="228"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售金融资</w:t>
            </w:r>
          </w:p>
        </w:tc>
        <w:tc>
          <w:tcPr>
            <w:tcW w:w="900" w:type="dxa"/>
            <w:tcBorders>
              <w:top w:val="nil" w:sz="6" w:space="0" w:color="auto"/>
              <w:left w:val="single" w:sz="6" w:space="0" w:color="000000"/>
              <w:bottom w:val="nil" w:sz="6" w:space="0" w:color="auto"/>
              <w:right w:val="single" w:sz="6" w:space="0" w:color="000000"/>
            </w:tcBorders>
          </w:tcPr>
          <w:p>
            <w:pPr/>
          </w:p>
        </w:tc>
        <w:tc>
          <w:tcPr>
            <w:tcW w:w="923" w:type="dxa"/>
            <w:tcBorders>
              <w:top w:val="nil" w:sz="6" w:space="0" w:color="auto"/>
              <w:left w:val="single" w:sz="6" w:space="0" w:color="000000"/>
              <w:bottom w:val="nil" w:sz="6" w:space="0" w:color="auto"/>
              <w:right w:val="single" w:sz="6" w:space="0" w:color="000000"/>
            </w:tcBorders>
          </w:tcPr>
          <w:p>
            <w:pPr/>
          </w:p>
        </w:tc>
        <w:tc>
          <w:tcPr>
            <w:tcW w:w="463"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01" w:type="dxa"/>
            <w:tcBorders>
              <w:top w:val="nil" w:sz="6" w:space="0" w:color="auto"/>
              <w:left w:val="single" w:sz="6" w:space="0" w:color="000000"/>
              <w:bottom w:val="nil" w:sz="6" w:space="0" w:color="auto"/>
              <w:right w:val="single" w:sz="6" w:space="0" w:color="000000"/>
            </w:tcBorders>
          </w:tcPr>
          <w:p>
            <w:pPr/>
          </w:p>
        </w:tc>
        <w:tc>
          <w:tcPr>
            <w:tcW w:w="462"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931" w:type="dxa"/>
            <w:tcBorders>
              <w:top w:val="nil" w:sz="6" w:space="0" w:color="auto"/>
              <w:left w:val="single" w:sz="6" w:space="0" w:color="000000"/>
              <w:bottom w:val="nil" w:sz="6" w:space="0" w:color="auto"/>
              <w:right w:val="single" w:sz="6" w:space="0" w:color="000000"/>
            </w:tcBorders>
          </w:tcPr>
          <w:p>
            <w:pPr/>
          </w:p>
        </w:tc>
        <w:tc>
          <w:tcPr>
            <w:tcW w:w="1045"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985"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产公允价</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值变动净</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11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900" w:type="dxa"/>
            <w:tcBorders>
              <w:top w:val="nil" w:sz="6" w:space="0" w:color="auto"/>
              <w:left w:val="single" w:sz="6" w:space="0" w:color="000000"/>
              <w:bottom w:val="single" w:sz="6" w:space="0" w:color="000000"/>
              <w:right w:val="single" w:sz="6" w:space="0" w:color="000000"/>
            </w:tcBorders>
          </w:tcPr>
          <w:p>
            <w:pPr/>
          </w:p>
        </w:tc>
        <w:tc>
          <w:tcPr>
            <w:tcW w:w="923" w:type="dxa"/>
            <w:tcBorders>
              <w:top w:val="nil" w:sz="6" w:space="0" w:color="auto"/>
              <w:left w:val="single" w:sz="6" w:space="0" w:color="000000"/>
              <w:bottom w:val="single" w:sz="6" w:space="0" w:color="000000"/>
              <w:right w:val="single" w:sz="6" w:space="0" w:color="000000"/>
            </w:tcBorders>
          </w:tcPr>
          <w:p>
            <w:pPr/>
          </w:p>
        </w:tc>
        <w:tc>
          <w:tcPr>
            <w:tcW w:w="463"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01" w:type="dxa"/>
            <w:tcBorders>
              <w:top w:val="nil" w:sz="6" w:space="0" w:color="auto"/>
              <w:left w:val="single" w:sz="6" w:space="0" w:color="000000"/>
              <w:bottom w:val="single" w:sz="6" w:space="0" w:color="000000"/>
              <w:right w:val="single" w:sz="6" w:space="0" w:color="000000"/>
            </w:tcBorders>
          </w:tcPr>
          <w:p>
            <w:pPr/>
          </w:p>
        </w:tc>
        <w:tc>
          <w:tcPr>
            <w:tcW w:w="462"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931" w:type="dxa"/>
            <w:tcBorders>
              <w:top w:val="nil" w:sz="6" w:space="0" w:color="auto"/>
              <w:left w:val="single" w:sz="6" w:space="0" w:color="000000"/>
              <w:bottom w:val="single" w:sz="6" w:space="0" w:color="000000"/>
              <w:right w:val="single" w:sz="6" w:space="0" w:color="000000"/>
            </w:tcBorders>
          </w:tcPr>
          <w:p>
            <w:pPr/>
          </w:p>
        </w:tc>
        <w:tc>
          <w:tcPr>
            <w:tcW w:w="1045"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985" w:type="dxa"/>
            <w:tcBorders>
              <w:top w:val="nil" w:sz="6" w:space="0" w:color="auto"/>
              <w:left w:val="single" w:sz="6" w:space="0" w:color="000000"/>
              <w:bottom w:val="single" w:sz="6" w:space="0" w:color="000000"/>
              <w:right w:val="single" w:sz="12" w:space="0" w:color="000000"/>
            </w:tcBorders>
          </w:tcPr>
          <w:p>
            <w:pP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2" w:lineRule="exact"/>
              <w:ind w:left="93" w:right="0"/>
              <w:jc w:val="left"/>
              <w:rPr>
                <w:rFonts w:ascii="宋体" w:hAnsi="宋体" w:cs="宋体" w:eastAsia="宋体" w:hint="default"/>
                <w:sz w:val="18"/>
                <w:szCs w:val="18"/>
              </w:rPr>
            </w:pPr>
            <w:r>
              <w:rPr>
                <w:rFonts w:ascii="宋体" w:hAnsi="宋体" w:cs="宋体" w:eastAsia="宋体" w:hint="default"/>
                <w:sz w:val="18"/>
                <w:szCs w:val="18"/>
              </w:rPr>
              <w:t>下被投资</w:t>
            </w:r>
          </w:p>
        </w:tc>
        <w:tc>
          <w:tcPr>
            <w:tcW w:w="900" w:type="dxa"/>
            <w:tcBorders>
              <w:top w:val="nil" w:sz="6" w:space="0" w:color="auto"/>
              <w:left w:val="single" w:sz="6" w:space="0" w:color="000000"/>
              <w:bottom w:val="nil" w:sz="6" w:space="0" w:color="auto"/>
              <w:right w:val="single" w:sz="6" w:space="0" w:color="000000"/>
            </w:tcBorders>
          </w:tcPr>
          <w:p>
            <w:pPr/>
          </w:p>
        </w:tc>
        <w:tc>
          <w:tcPr>
            <w:tcW w:w="923" w:type="dxa"/>
            <w:tcBorders>
              <w:top w:val="nil" w:sz="6" w:space="0" w:color="auto"/>
              <w:left w:val="single" w:sz="6" w:space="0" w:color="000000"/>
              <w:bottom w:val="nil" w:sz="6" w:space="0" w:color="auto"/>
              <w:right w:val="single" w:sz="6" w:space="0" w:color="000000"/>
            </w:tcBorders>
          </w:tcPr>
          <w:p>
            <w:pPr/>
          </w:p>
        </w:tc>
        <w:tc>
          <w:tcPr>
            <w:tcW w:w="463"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01" w:type="dxa"/>
            <w:tcBorders>
              <w:top w:val="nil" w:sz="6" w:space="0" w:color="auto"/>
              <w:left w:val="single" w:sz="6" w:space="0" w:color="000000"/>
              <w:bottom w:val="nil" w:sz="6" w:space="0" w:color="auto"/>
              <w:right w:val="single" w:sz="6" w:space="0" w:color="000000"/>
            </w:tcBorders>
          </w:tcPr>
          <w:p>
            <w:pPr/>
          </w:p>
        </w:tc>
        <w:tc>
          <w:tcPr>
            <w:tcW w:w="462"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931" w:type="dxa"/>
            <w:tcBorders>
              <w:top w:val="nil" w:sz="6" w:space="0" w:color="auto"/>
              <w:left w:val="single" w:sz="6" w:space="0" w:color="000000"/>
              <w:bottom w:val="nil" w:sz="6" w:space="0" w:color="auto"/>
              <w:right w:val="single" w:sz="6" w:space="0" w:color="000000"/>
            </w:tcBorders>
          </w:tcPr>
          <w:p>
            <w:pPr/>
          </w:p>
        </w:tc>
        <w:tc>
          <w:tcPr>
            <w:tcW w:w="1045"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985"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单位其他</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所有者权</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nil" w:sz="6" w:space="0" w:color="auto"/>
              <w:right w:val="single" w:sz="12" w:space="0" w:color="000000"/>
            </w:tcBorders>
          </w:tcPr>
          <w:p>
            <w:pPr>
              <w:pStyle w:val="TableParagraph"/>
              <w:spacing w:line="240" w:lineRule="auto" w:before="125"/>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33"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益变动的</w:t>
            </w:r>
          </w:p>
        </w:tc>
        <w:tc>
          <w:tcPr>
            <w:tcW w:w="900" w:type="dxa"/>
            <w:tcBorders>
              <w:top w:val="nil" w:sz="6" w:space="0" w:color="auto"/>
              <w:left w:val="single" w:sz="6" w:space="0" w:color="000000"/>
              <w:bottom w:val="nil" w:sz="6" w:space="0" w:color="auto"/>
              <w:right w:val="single" w:sz="6" w:space="0" w:color="000000"/>
            </w:tcBorders>
          </w:tcPr>
          <w:p>
            <w:pPr/>
          </w:p>
        </w:tc>
        <w:tc>
          <w:tcPr>
            <w:tcW w:w="923" w:type="dxa"/>
            <w:tcBorders>
              <w:top w:val="nil" w:sz="6" w:space="0" w:color="auto"/>
              <w:left w:val="single" w:sz="6" w:space="0" w:color="000000"/>
              <w:bottom w:val="nil" w:sz="6" w:space="0" w:color="auto"/>
              <w:right w:val="single" w:sz="6" w:space="0" w:color="000000"/>
            </w:tcBorders>
          </w:tcPr>
          <w:p>
            <w:pPr/>
          </w:p>
        </w:tc>
        <w:tc>
          <w:tcPr>
            <w:tcW w:w="463"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01" w:type="dxa"/>
            <w:tcBorders>
              <w:top w:val="nil" w:sz="6" w:space="0" w:color="auto"/>
              <w:left w:val="single" w:sz="6" w:space="0" w:color="000000"/>
              <w:bottom w:val="nil" w:sz="6" w:space="0" w:color="auto"/>
              <w:right w:val="single" w:sz="6" w:space="0" w:color="000000"/>
            </w:tcBorders>
          </w:tcPr>
          <w:p>
            <w:pPr/>
          </w:p>
        </w:tc>
        <w:tc>
          <w:tcPr>
            <w:tcW w:w="462"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931" w:type="dxa"/>
            <w:tcBorders>
              <w:top w:val="nil" w:sz="6" w:space="0" w:color="auto"/>
              <w:left w:val="single" w:sz="6" w:space="0" w:color="000000"/>
              <w:bottom w:val="nil" w:sz="6" w:space="0" w:color="auto"/>
              <w:right w:val="single" w:sz="6" w:space="0" w:color="000000"/>
            </w:tcBorders>
          </w:tcPr>
          <w:p>
            <w:pPr/>
          </w:p>
        </w:tc>
        <w:tc>
          <w:tcPr>
            <w:tcW w:w="1045"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985" w:type="dxa"/>
            <w:tcBorders>
              <w:top w:val="nil" w:sz="6" w:space="0" w:color="auto"/>
              <w:left w:val="single" w:sz="6" w:space="0" w:color="000000"/>
              <w:bottom w:val="nil" w:sz="6" w:space="0" w:color="auto"/>
              <w:right w:val="single" w:sz="12" w:space="0" w:color="000000"/>
            </w:tcBorders>
          </w:tcPr>
          <w:p>
            <w:pPr/>
          </w:p>
        </w:tc>
      </w:tr>
      <w:tr>
        <w:trPr>
          <w:trHeight w:val="242"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影响</w:t>
            </w:r>
          </w:p>
        </w:tc>
        <w:tc>
          <w:tcPr>
            <w:tcW w:w="900" w:type="dxa"/>
            <w:tcBorders>
              <w:top w:val="nil" w:sz="6" w:space="0" w:color="auto"/>
              <w:left w:val="single" w:sz="6" w:space="0" w:color="000000"/>
              <w:bottom w:val="single" w:sz="6" w:space="0" w:color="000000"/>
              <w:right w:val="single" w:sz="6" w:space="0" w:color="000000"/>
            </w:tcBorders>
          </w:tcPr>
          <w:p>
            <w:pPr/>
          </w:p>
        </w:tc>
        <w:tc>
          <w:tcPr>
            <w:tcW w:w="923" w:type="dxa"/>
            <w:tcBorders>
              <w:top w:val="nil" w:sz="6" w:space="0" w:color="auto"/>
              <w:left w:val="single" w:sz="6" w:space="0" w:color="000000"/>
              <w:bottom w:val="single" w:sz="6" w:space="0" w:color="000000"/>
              <w:right w:val="single" w:sz="6" w:space="0" w:color="000000"/>
            </w:tcBorders>
          </w:tcPr>
          <w:p>
            <w:pPr/>
          </w:p>
        </w:tc>
        <w:tc>
          <w:tcPr>
            <w:tcW w:w="463"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01" w:type="dxa"/>
            <w:tcBorders>
              <w:top w:val="nil" w:sz="6" w:space="0" w:color="auto"/>
              <w:left w:val="single" w:sz="6" w:space="0" w:color="000000"/>
              <w:bottom w:val="single" w:sz="6" w:space="0" w:color="000000"/>
              <w:right w:val="single" w:sz="6" w:space="0" w:color="000000"/>
            </w:tcBorders>
          </w:tcPr>
          <w:p>
            <w:pPr/>
          </w:p>
        </w:tc>
        <w:tc>
          <w:tcPr>
            <w:tcW w:w="462"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931" w:type="dxa"/>
            <w:tcBorders>
              <w:top w:val="nil" w:sz="6" w:space="0" w:color="auto"/>
              <w:left w:val="single" w:sz="6" w:space="0" w:color="000000"/>
              <w:bottom w:val="single" w:sz="6" w:space="0" w:color="000000"/>
              <w:right w:val="single" w:sz="6" w:space="0" w:color="000000"/>
            </w:tcBorders>
          </w:tcPr>
          <w:p>
            <w:pPr/>
          </w:p>
        </w:tc>
        <w:tc>
          <w:tcPr>
            <w:tcW w:w="1045"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985" w:type="dxa"/>
            <w:tcBorders>
              <w:top w:val="nil" w:sz="6" w:space="0" w:color="auto"/>
              <w:left w:val="single" w:sz="6" w:space="0" w:color="000000"/>
              <w:bottom w:val="single" w:sz="6" w:space="0" w:color="000000"/>
              <w:right w:val="single" w:sz="12" w:space="0" w:color="000000"/>
            </w:tcBorders>
          </w:tcPr>
          <w:p>
            <w:pPr/>
          </w:p>
        </w:tc>
      </w:tr>
      <w:tr>
        <w:trPr>
          <w:trHeight w:val="245"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．与计入</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所有者权</w:t>
            </w:r>
          </w:p>
        </w:tc>
        <w:tc>
          <w:tcPr>
            <w:tcW w:w="900" w:type="dxa"/>
            <w:tcBorders>
              <w:top w:val="nil" w:sz="6" w:space="0" w:color="auto"/>
              <w:left w:val="single" w:sz="6" w:space="0" w:color="000000"/>
              <w:bottom w:val="nil" w:sz="6" w:space="0" w:color="auto"/>
              <w:right w:val="single" w:sz="6" w:space="0" w:color="000000"/>
            </w:tcBorders>
          </w:tcPr>
          <w:p>
            <w:pPr/>
          </w:p>
        </w:tc>
        <w:tc>
          <w:tcPr>
            <w:tcW w:w="923" w:type="dxa"/>
            <w:tcBorders>
              <w:top w:val="nil" w:sz="6" w:space="0" w:color="auto"/>
              <w:left w:val="single" w:sz="6" w:space="0" w:color="000000"/>
              <w:bottom w:val="nil" w:sz="6" w:space="0" w:color="auto"/>
              <w:right w:val="single" w:sz="6" w:space="0" w:color="000000"/>
            </w:tcBorders>
          </w:tcPr>
          <w:p>
            <w:pPr/>
          </w:p>
        </w:tc>
        <w:tc>
          <w:tcPr>
            <w:tcW w:w="463"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1068" w:type="dxa"/>
            <w:tcBorders>
              <w:top w:val="nil" w:sz="6" w:space="0" w:color="auto"/>
              <w:left w:val="single" w:sz="6" w:space="0" w:color="000000"/>
              <w:bottom w:val="nil" w:sz="6" w:space="0" w:color="auto"/>
              <w:right w:val="single" w:sz="6" w:space="0" w:color="000000"/>
            </w:tcBorders>
          </w:tcPr>
          <w:p>
            <w:pPr/>
          </w:p>
        </w:tc>
        <w:tc>
          <w:tcPr>
            <w:tcW w:w="1000" w:type="dxa"/>
            <w:tcBorders>
              <w:top w:val="nil" w:sz="6" w:space="0" w:color="auto"/>
              <w:left w:val="single" w:sz="6" w:space="0" w:color="000000"/>
              <w:bottom w:val="nil" w:sz="6" w:space="0" w:color="auto"/>
              <w:right w:val="single" w:sz="6" w:space="0" w:color="000000"/>
            </w:tcBorders>
          </w:tcPr>
          <w:p>
            <w:pPr/>
          </w:p>
        </w:tc>
        <w:tc>
          <w:tcPr>
            <w:tcW w:w="1001" w:type="dxa"/>
            <w:tcBorders>
              <w:top w:val="nil" w:sz="6" w:space="0" w:color="auto"/>
              <w:left w:val="single" w:sz="6" w:space="0" w:color="000000"/>
              <w:bottom w:val="nil" w:sz="6" w:space="0" w:color="auto"/>
              <w:right w:val="single" w:sz="6" w:space="0" w:color="000000"/>
            </w:tcBorders>
          </w:tcPr>
          <w:p>
            <w:pPr/>
          </w:p>
        </w:tc>
        <w:tc>
          <w:tcPr>
            <w:tcW w:w="462" w:type="dxa"/>
            <w:tcBorders>
              <w:top w:val="nil" w:sz="6" w:space="0" w:color="auto"/>
              <w:left w:val="single" w:sz="6" w:space="0" w:color="000000"/>
              <w:bottom w:val="nil" w:sz="6" w:space="0" w:color="auto"/>
              <w:right w:val="single" w:sz="6" w:space="0" w:color="000000"/>
            </w:tcBorders>
          </w:tcPr>
          <w:p>
            <w:pPr/>
          </w:p>
        </w:tc>
        <w:tc>
          <w:tcPr>
            <w:tcW w:w="340" w:type="dxa"/>
            <w:tcBorders>
              <w:top w:val="nil" w:sz="6" w:space="0" w:color="auto"/>
              <w:left w:val="single" w:sz="6" w:space="0" w:color="000000"/>
              <w:bottom w:val="nil" w:sz="6" w:space="0" w:color="auto"/>
              <w:right w:val="single" w:sz="6" w:space="0" w:color="000000"/>
            </w:tcBorders>
          </w:tcPr>
          <w:p>
            <w:pPr/>
          </w:p>
        </w:tc>
        <w:tc>
          <w:tcPr>
            <w:tcW w:w="931" w:type="dxa"/>
            <w:tcBorders>
              <w:top w:val="nil" w:sz="6" w:space="0" w:color="auto"/>
              <w:left w:val="single" w:sz="6" w:space="0" w:color="000000"/>
              <w:bottom w:val="nil" w:sz="6" w:space="0" w:color="auto"/>
              <w:right w:val="single" w:sz="6" w:space="0" w:color="000000"/>
            </w:tcBorders>
          </w:tcPr>
          <w:p>
            <w:pPr/>
          </w:p>
        </w:tc>
        <w:tc>
          <w:tcPr>
            <w:tcW w:w="1045" w:type="dxa"/>
            <w:tcBorders>
              <w:top w:val="nil" w:sz="6" w:space="0" w:color="auto"/>
              <w:left w:val="single" w:sz="6" w:space="0" w:color="000000"/>
              <w:bottom w:val="nil" w:sz="6" w:space="0" w:color="auto"/>
              <w:right w:val="single" w:sz="6" w:space="0" w:color="000000"/>
            </w:tcBorders>
          </w:tcPr>
          <w:p>
            <w:pPr/>
          </w:p>
        </w:tc>
        <w:tc>
          <w:tcPr>
            <w:tcW w:w="338" w:type="dxa"/>
            <w:tcBorders>
              <w:top w:val="nil" w:sz="6" w:space="0" w:color="auto"/>
              <w:left w:val="single" w:sz="6" w:space="0" w:color="000000"/>
              <w:bottom w:val="nil" w:sz="6" w:space="0" w:color="auto"/>
              <w:right w:val="single" w:sz="6" w:space="0" w:color="000000"/>
            </w:tcBorders>
          </w:tcPr>
          <w:p>
            <w:pPr/>
          </w:p>
        </w:tc>
        <w:tc>
          <w:tcPr>
            <w:tcW w:w="985"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益项目相</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关的所得</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税影响</w:t>
            </w:r>
          </w:p>
        </w:tc>
        <w:tc>
          <w:tcPr>
            <w:tcW w:w="900" w:type="dxa"/>
            <w:tcBorders>
              <w:top w:val="nil" w:sz="6" w:space="0" w:color="auto"/>
              <w:left w:val="single" w:sz="6" w:space="0" w:color="000000"/>
              <w:bottom w:val="single" w:sz="6" w:space="0" w:color="000000"/>
              <w:right w:val="single" w:sz="6" w:space="0" w:color="000000"/>
            </w:tcBorders>
          </w:tcPr>
          <w:p>
            <w:pPr/>
          </w:p>
        </w:tc>
        <w:tc>
          <w:tcPr>
            <w:tcW w:w="923" w:type="dxa"/>
            <w:tcBorders>
              <w:top w:val="nil" w:sz="6" w:space="0" w:color="auto"/>
              <w:left w:val="single" w:sz="6" w:space="0" w:color="000000"/>
              <w:bottom w:val="single" w:sz="6" w:space="0" w:color="000000"/>
              <w:right w:val="single" w:sz="6" w:space="0" w:color="000000"/>
            </w:tcBorders>
          </w:tcPr>
          <w:p>
            <w:pPr/>
          </w:p>
        </w:tc>
        <w:tc>
          <w:tcPr>
            <w:tcW w:w="463"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01" w:type="dxa"/>
            <w:tcBorders>
              <w:top w:val="nil" w:sz="6" w:space="0" w:color="auto"/>
              <w:left w:val="single" w:sz="6" w:space="0" w:color="000000"/>
              <w:bottom w:val="single" w:sz="6" w:space="0" w:color="000000"/>
              <w:right w:val="single" w:sz="6" w:space="0" w:color="000000"/>
            </w:tcBorders>
          </w:tcPr>
          <w:p>
            <w:pPr/>
          </w:p>
        </w:tc>
        <w:tc>
          <w:tcPr>
            <w:tcW w:w="462"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931" w:type="dxa"/>
            <w:tcBorders>
              <w:top w:val="nil" w:sz="6" w:space="0" w:color="auto"/>
              <w:left w:val="single" w:sz="6" w:space="0" w:color="000000"/>
              <w:bottom w:val="single" w:sz="6" w:space="0" w:color="000000"/>
              <w:right w:val="single" w:sz="6" w:space="0" w:color="000000"/>
            </w:tcBorders>
          </w:tcPr>
          <w:p>
            <w:pPr/>
          </w:p>
        </w:tc>
        <w:tc>
          <w:tcPr>
            <w:tcW w:w="1045"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985" w:type="dxa"/>
            <w:tcBorders>
              <w:top w:val="nil" w:sz="6" w:space="0" w:color="auto"/>
              <w:left w:val="single" w:sz="6" w:space="0" w:color="000000"/>
              <w:bottom w:val="single" w:sz="6" w:space="0" w:color="000000"/>
              <w:right w:val="single" w:sz="12" w:space="0" w:color="000000"/>
            </w:tcBorders>
          </w:tcPr>
          <w:p>
            <w:pPr/>
          </w:p>
        </w:tc>
      </w:tr>
      <w:tr>
        <w:trPr>
          <w:trHeight w:val="428"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6"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上述（一）</w:t>
            </w:r>
          </w:p>
          <w:p>
            <w:pPr>
              <w:pStyle w:val="TableParagraph"/>
              <w:spacing w:line="240" w:lineRule="auto"/>
              <w:ind w:left="435" w:right="98" w:hanging="342"/>
              <w:jc w:val="left"/>
              <w:rPr>
                <w:rFonts w:ascii="宋体" w:hAnsi="宋体" w:cs="宋体" w:eastAsia="宋体" w:hint="default"/>
                <w:sz w:val="18"/>
                <w:szCs w:val="18"/>
              </w:rPr>
            </w:pPr>
            <w:r>
              <w:rPr>
                <w:rFonts w:ascii="宋体" w:hAnsi="宋体" w:cs="宋体" w:eastAsia="宋体" w:hint="default"/>
                <w:spacing w:val="-8"/>
                <w:sz w:val="18"/>
                <w:szCs w:val="18"/>
              </w:rPr>
              <w:t>和（二）小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计</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left="718" w:right="0"/>
              <w:jc w:val="lef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52" w:right="0"/>
              <w:jc w:val="left"/>
              <w:rPr>
                <w:rFonts w:ascii="Times New Roman" w:hAnsi="Times New Roman" w:cs="Times New Roman" w:eastAsia="Times New Roman" w:hint="default"/>
                <w:sz w:val="20"/>
                <w:szCs w:val="20"/>
              </w:rPr>
            </w:pPr>
            <w:r>
              <w:rPr>
                <w:rFonts w:ascii="Times New Roman"/>
                <w:sz w:val="20"/>
              </w:rPr>
              <w:t>61,504,98</w:t>
            </w:r>
          </w:p>
          <w:p>
            <w:pPr>
              <w:pStyle w:val="TableParagraph"/>
              <w:spacing w:line="240" w:lineRule="auto"/>
              <w:ind w:left="602" w:right="0"/>
              <w:jc w:val="left"/>
              <w:rPr>
                <w:rFonts w:ascii="Times New Roman" w:hAnsi="Times New Roman" w:cs="Times New Roman" w:eastAsia="Times New Roman" w:hint="default"/>
                <w:sz w:val="20"/>
                <w:szCs w:val="20"/>
              </w:rPr>
            </w:pPr>
            <w:r>
              <w:rPr>
                <w:rFonts w:ascii="Times New Roman"/>
                <w:sz w:val="20"/>
              </w:rPr>
              <w:t>1.78</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8"/>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52" w:right="0"/>
              <w:jc w:val="left"/>
              <w:rPr>
                <w:rFonts w:ascii="Times New Roman" w:hAnsi="Times New Roman" w:cs="Times New Roman" w:eastAsia="Times New Roman" w:hint="default"/>
                <w:sz w:val="20"/>
                <w:szCs w:val="20"/>
              </w:rPr>
            </w:pPr>
            <w:r>
              <w:rPr>
                <w:rFonts w:ascii="Times New Roman"/>
                <w:sz w:val="20"/>
              </w:rPr>
              <w:t>61,504,98</w:t>
            </w:r>
          </w:p>
          <w:p>
            <w:pPr>
              <w:pStyle w:val="TableParagraph"/>
              <w:spacing w:line="240" w:lineRule="auto"/>
              <w:ind w:left="602" w:right="0"/>
              <w:jc w:val="left"/>
              <w:rPr>
                <w:rFonts w:ascii="Times New Roman" w:hAnsi="Times New Roman" w:cs="Times New Roman" w:eastAsia="Times New Roman" w:hint="default"/>
                <w:sz w:val="20"/>
                <w:szCs w:val="20"/>
              </w:rPr>
            </w:pPr>
            <w:r>
              <w:rPr>
                <w:rFonts w:ascii="Times New Roman"/>
                <w:sz w:val="20"/>
              </w:rPr>
              <w:t>1.78</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8"/>
              <w:ind w:left="129" w:right="0"/>
              <w:jc w:val="left"/>
              <w:rPr>
                <w:rFonts w:ascii="Times New Roman" w:hAnsi="Times New Roman" w:cs="Times New Roman" w:eastAsia="Times New Roman" w:hint="default"/>
                <w:sz w:val="20"/>
                <w:szCs w:val="20"/>
              </w:rPr>
            </w:pPr>
            <w:r>
              <w:rPr>
                <w:rFonts w:ascii="Times New Roman"/>
                <w:sz w:val="20"/>
              </w:rPr>
              <w:t>41,045,57</w:t>
            </w:r>
          </w:p>
          <w:p>
            <w:pPr>
              <w:pStyle w:val="TableParagraph"/>
              <w:spacing w:line="240" w:lineRule="auto"/>
              <w:ind w:left="579" w:right="0"/>
              <w:jc w:val="left"/>
              <w:rPr>
                <w:rFonts w:ascii="Times New Roman" w:hAnsi="Times New Roman" w:cs="Times New Roman" w:eastAsia="Times New Roman" w:hint="default"/>
                <w:sz w:val="20"/>
                <w:szCs w:val="20"/>
              </w:rPr>
            </w:pPr>
            <w:r>
              <w:rPr>
                <w:rFonts w:ascii="Times New Roman"/>
                <w:sz w:val="20"/>
              </w:rPr>
              <w:t>0.47</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1"/>
              <w:ind w:right="99"/>
              <w:jc w:val="right"/>
              <w:rPr>
                <w:rFonts w:ascii="Arial Narrow" w:hAnsi="Arial Narrow" w:cs="Arial Narrow" w:eastAsia="Arial Narrow" w:hint="default"/>
                <w:sz w:val="20"/>
                <w:szCs w:val="20"/>
              </w:rPr>
            </w:pPr>
            <w:r>
              <w:rPr>
                <w:rFonts w:ascii="Arial Narrow"/>
                <w:w w:val="100"/>
                <w:sz w:val="20"/>
              </w:rPr>
              <w:t>-</w:t>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1"/>
              <w:ind w:left="140" w:right="0"/>
              <w:jc w:val="left"/>
              <w:rPr>
                <w:rFonts w:ascii="Arial Narrow" w:hAnsi="Arial Narrow" w:cs="Arial Narrow" w:eastAsia="Arial Narrow" w:hint="default"/>
                <w:sz w:val="20"/>
                <w:szCs w:val="20"/>
              </w:rPr>
            </w:pPr>
            <w:r>
              <w:rPr>
                <w:rFonts w:ascii="Arial Narrow"/>
                <w:sz w:val="20"/>
              </w:rPr>
              <w:t>41,045,57</w:t>
            </w:r>
          </w:p>
          <w:p>
            <w:pPr>
              <w:pStyle w:val="TableParagraph"/>
              <w:spacing w:line="240" w:lineRule="auto" w:before="1"/>
              <w:ind w:left="550" w:right="0"/>
              <w:jc w:val="left"/>
              <w:rPr>
                <w:rFonts w:ascii="Arial Narrow" w:hAnsi="Arial Narrow" w:cs="Arial Narrow" w:eastAsia="Arial Narrow" w:hint="default"/>
                <w:sz w:val="20"/>
                <w:szCs w:val="20"/>
              </w:rPr>
            </w:pPr>
            <w:r>
              <w:rPr>
                <w:rFonts w:ascii="Arial Narrow"/>
                <w:sz w:val="20"/>
              </w:rPr>
              <w:t>0.47</w:t>
            </w:r>
          </w:p>
        </w:tc>
      </w:tr>
      <w:tr>
        <w:trPr>
          <w:trHeight w:val="715"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（三）所有</w:t>
            </w:r>
          </w:p>
          <w:p>
            <w:pPr>
              <w:pStyle w:val="TableParagraph"/>
              <w:spacing w:line="240" w:lineRule="auto"/>
              <w:ind w:left="93" w:right="242"/>
              <w:jc w:val="left"/>
              <w:rPr>
                <w:rFonts w:ascii="宋体" w:hAnsi="宋体" w:cs="宋体" w:eastAsia="宋体" w:hint="default"/>
                <w:sz w:val="18"/>
                <w:szCs w:val="18"/>
              </w:rPr>
            </w:pPr>
            <w:r>
              <w:rPr>
                <w:rFonts w:ascii="宋体" w:hAnsi="宋体" w:cs="宋体" w:eastAsia="宋体" w:hint="default"/>
                <w:sz w:val="18"/>
                <w:szCs w:val="18"/>
              </w:rPr>
              <w:t>者投入和 减少资本</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8"/>
              <w:ind w:left="184" w:right="0"/>
              <w:jc w:val="left"/>
              <w:rPr>
                <w:rFonts w:ascii="Times New Roman" w:hAnsi="Times New Roman" w:cs="Times New Roman" w:eastAsia="Times New Roman" w:hint="default"/>
                <w:sz w:val="20"/>
                <w:szCs w:val="20"/>
              </w:rPr>
            </w:pPr>
            <w:r>
              <w:rPr>
                <w:rFonts w:ascii="Times New Roman"/>
                <w:sz w:val="20"/>
              </w:rPr>
              <w:t>13,500,</w:t>
            </w:r>
          </w:p>
          <w:p>
            <w:pPr>
              <w:pStyle w:val="TableParagraph"/>
              <w:spacing w:line="230" w:lineRule="exact"/>
              <w:ind w:left="233" w:right="0"/>
              <w:jc w:val="left"/>
              <w:rPr>
                <w:rFonts w:ascii="Times New Roman" w:hAnsi="Times New Roman" w:cs="Times New Roman" w:eastAsia="Times New Roman" w:hint="default"/>
                <w:sz w:val="20"/>
                <w:szCs w:val="20"/>
              </w:rPr>
            </w:pPr>
            <w:r>
              <w:rPr>
                <w:rFonts w:ascii="Times New Roman"/>
                <w:sz w:val="20"/>
              </w:rPr>
              <w:t>000.00</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8"/>
              <w:ind w:left="7" w:right="0"/>
              <w:jc w:val="center"/>
              <w:rPr>
                <w:rFonts w:ascii="Times New Roman" w:hAnsi="Times New Roman" w:cs="Times New Roman" w:eastAsia="Times New Roman" w:hint="default"/>
                <w:sz w:val="20"/>
                <w:szCs w:val="20"/>
              </w:rPr>
            </w:pPr>
            <w:r>
              <w:rPr>
                <w:rFonts w:ascii="Times New Roman"/>
                <w:sz w:val="20"/>
              </w:rPr>
              <w:t>487,906,</w:t>
            </w:r>
          </w:p>
          <w:p>
            <w:pPr>
              <w:pStyle w:val="TableParagraph"/>
              <w:spacing w:line="230" w:lineRule="exact"/>
              <w:ind w:left="154" w:right="0"/>
              <w:jc w:val="center"/>
              <w:rPr>
                <w:rFonts w:ascii="Times New Roman" w:hAnsi="Times New Roman" w:cs="Times New Roman" w:eastAsia="Times New Roman" w:hint="default"/>
                <w:sz w:val="20"/>
                <w:szCs w:val="20"/>
              </w:rPr>
            </w:pPr>
            <w:r>
              <w:rPr>
                <w:rFonts w:ascii="Times New Roman"/>
                <w:sz w:val="20"/>
              </w:rPr>
              <w:t>035.00</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7"/>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left="152" w:right="0"/>
              <w:jc w:val="left"/>
              <w:rPr>
                <w:rFonts w:ascii="Times New Roman" w:hAnsi="Times New Roman" w:cs="Times New Roman" w:eastAsia="Times New Roman" w:hint="default"/>
                <w:sz w:val="20"/>
                <w:szCs w:val="20"/>
              </w:rPr>
            </w:pPr>
            <w:r>
              <w:rPr>
                <w:rFonts w:ascii="Times New Roman"/>
                <w:sz w:val="20"/>
              </w:rPr>
              <w:t>501,406,0</w:t>
            </w:r>
          </w:p>
          <w:p>
            <w:pPr>
              <w:pStyle w:val="TableParagraph"/>
              <w:spacing w:line="240" w:lineRule="auto"/>
              <w:ind w:left="502" w:right="0"/>
              <w:jc w:val="left"/>
              <w:rPr>
                <w:rFonts w:ascii="Times New Roman" w:hAnsi="Times New Roman" w:cs="Times New Roman" w:eastAsia="Times New Roman" w:hint="default"/>
                <w:sz w:val="20"/>
                <w:szCs w:val="20"/>
              </w:rPr>
            </w:pPr>
            <w:r>
              <w:rPr>
                <w:rFonts w:ascii="Times New Roman"/>
                <w:sz w:val="20"/>
              </w:rPr>
              <w:t>35.00</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w w:val="100"/>
                <w:sz w:val="20"/>
              </w:rPr>
              <w:t>-</w:t>
            </w:r>
          </w:p>
        </w:tc>
      </w:tr>
      <w:tr>
        <w:trPr>
          <w:trHeight w:val="704"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32" w:lineRule="exact" w:before="106"/>
              <w:ind w:left="9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 投入资本</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184" w:right="0"/>
              <w:jc w:val="left"/>
              <w:rPr>
                <w:rFonts w:ascii="Times New Roman" w:hAnsi="Times New Roman" w:cs="Times New Roman" w:eastAsia="Times New Roman" w:hint="default"/>
                <w:sz w:val="20"/>
                <w:szCs w:val="20"/>
              </w:rPr>
            </w:pPr>
            <w:r>
              <w:rPr>
                <w:rFonts w:ascii="Times New Roman"/>
                <w:sz w:val="20"/>
              </w:rPr>
              <w:t>13,500,</w:t>
            </w:r>
          </w:p>
          <w:p>
            <w:pPr>
              <w:pStyle w:val="TableParagraph"/>
              <w:spacing w:line="230" w:lineRule="exact"/>
              <w:ind w:left="233" w:right="0"/>
              <w:jc w:val="left"/>
              <w:rPr>
                <w:rFonts w:ascii="Times New Roman" w:hAnsi="Times New Roman" w:cs="Times New Roman" w:eastAsia="Times New Roman" w:hint="default"/>
                <w:sz w:val="20"/>
                <w:szCs w:val="20"/>
              </w:rPr>
            </w:pPr>
            <w:r>
              <w:rPr>
                <w:rFonts w:ascii="Times New Roman"/>
                <w:sz w:val="20"/>
              </w:rPr>
              <w:t>000.00</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before="112"/>
              <w:ind w:left="7" w:right="0"/>
              <w:jc w:val="center"/>
              <w:rPr>
                <w:rFonts w:ascii="Times New Roman" w:hAnsi="Times New Roman" w:cs="Times New Roman" w:eastAsia="Times New Roman" w:hint="default"/>
                <w:sz w:val="20"/>
                <w:szCs w:val="20"/>
              </w:rPr>
            </w:pPr>
            <w:r>
              <w:rPr>
                <w:rFonts w:ascii="Times New Roman"/>
                <w:sz w:val="20"/>
              </w:rPr>
              <w:t>487,906,</w:t>
            </w:r>
          </w:p>
          <w:p>
            <w:pPr>
              <w:pStyle w:val="TableParagraph"/>
              <w:spacing w:line="230" w:lineRule="exact"/>
              <w:ind w:left="154" w:right="0"/>
              <w:jc w:val="center"/>
              <w:rPr>
                <w:rFonts w:ascii="Times New Roman" w:hAnsi="Times New Roman" w:cs="Times New Roman" w:eastAsia="Times New Roman" w:hint="default"/>
                <w:sz w:val="20"/>
                <w:szCs w:val="20"/>
              </w:rPr>
            </w:pPr>
            <w:r>
              <w:rPr>
                <w:rFonts w:ascii="Times New Roman"/>
                <w:sz w:val="20"/>
              </w:rPr>
              <w:t>035.00</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9"/>
                <w:szCs w:val="29"/>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9"/>
                <w:szCs w:val="19"/>
              </w:rPr>
            </w:pPr>
          </w:p>
          <w:p>
            <w:pPr>
              <w:pStyle w:val="TableParagraph"/>
              <w:spacing w:line="240" w:lineRule="auto"/>
              <w:ind w:left="152" w:right="0"/>
              <w:jc w:val="left"/>
              <w:rPr>
                <w:rFonts w:ascii="Times New Roman" w:hAnsi="Times New Roman" w:cs="Times New Roman" w:eastAsia="Times New Roman" w:hint="default"/>
                <w:sz w:val="20"/>
                <w:szCs w:val="20"/>
              </w:rPr>
            </w:pPr>
            <w:r>
              <w:rPr>
                <w:rFonts w:ascii="Times New Roman"/>
                <w:sz w:val="20"/>
              </w:rPr>
              <w:t>501,406,0</w:t>
            </w:r>
          </w:p>
          <w:p>
            <w:pPr>
              <w:pStyle w:val="TableParagraph"/>
              <w:spacing w:line="240" w:lineRule="auto"/>
              <w:ind w:left="502" w:right="0"/>
              <w:jc w:val="left"/>
              <w:rPr>
                <w:rFonts w:ascii="Times New Roman" w:hAnsi="Times New Roman" w:cs="Times New Roman" w:eastAsia="Times New Roman" w:hint="default"/>
                <w:sz w:val="20"/>
                <w:szCs w:val="20"/>
              </w:rPr>
            </w:pPr>
            <w:r>
              <w:rPr>
                <w:rFonts w:ascii="Times New Roman"/>
                <w:sz w:val="20"/>
              </w:rPr>
              <w:t>35.00</w:t>
            </w: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0"/>
              <w:ind w:right="0"/>
              <w:jc w:val="left"/>
              <w:rPr>
                <w:rFonts w:ascii="Times New Roman" w:hAnsi="Times New Roman" w:cs="Times New Roman" w:eastAsia="Times New Roman" w:hint="default"/>
                <w:sz w:val="20"/>
                <w:szCs w:val="20"/>
              </w:rPr>
            </w:pPr>
          </w:p>
          <w:p>
            <w:pPr>
              <w:pStyle w:val="TableParagraph"/>
              <w:spacing w:line="240" w:lineRule="auto"/>
              <w:ind w:right="91"/>
              <w:jc w:val="right"/>
              <w:rPr>
                <w:rFonts w:ascii="Arial Narrow" w:hAnsi="Arial Narrow" w:cs="Arial Narrow" w:eastAsia="Arial Narrow" w:hint="default"/>
                <w:sz w:val="20"/>
                <w:szCs w:val="20"/>
              </w:rPr>
            </w:pPr>
            <w:r>
              <w:rPr>
                <w:rFonts w:ascii="Arial Narrow"/>
                <w:w w:val="100"/>
                <w:sz w:val="20"/>
              </w:rPr>
              <w:t>-</w:t>
            </w: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62" w:hRule="exact"/>
        </w:trPr>
        <w:tc>
          <w:tcPr>
            <w:tcW w:w="108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付计入所</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有者权益</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nil" w:sz="6" w:space="0" w:color="auto"/>
              <w:right w:val="single" w:sz="6" w:space="0" w:color="000000"/>
            </w:tcBorders>
          </w:tcPr>
          <w:p>
            <w:pPr>
              <w:pStyle w:val="TableParagraph"/>
              <w:spacing w:line="240" w:lineRule="auto" w:before="121"/>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nil" w:sz="6" w:space="0" w:color="auto"/>
              <w:right w:val="single" w:sz="12" w:space="0" w:color="000000"/>
            </w:tcBorders>
          </w:tcPr>
          <w:p>
            <w:pPr>
              <w:pStyle w:val="TableParagraph"/>
              <w:spacing w:line="240" w:lineRule="auto" w:before="121"/>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900" w:type="dxa"/>
            <w:tcBorders>
              <w:top w:val="nil" w:sz="6" w:space="0" w:color="auto"/>
              <w:left w:val="single" w:sz="6" w:space="0" w:color="000000"/>
              <w:bottom w:val="single" w:sz="6" w:space="0" w:color="000000"/>
              <w:right w:val="single" w:sz="6" w:space="0" w:color="000000"/>
            </w:tcBorders>
          </w:tcPr>
          <w:p>
            <w:pPr/>
          </w:p>
        </w:tc>
        <w:tc>
          <w:tcPr>
            <w:tcW w:w="923" w:type="dxa"/>
            <w:tcBorders>
              <w:top w:val="nil" w:sz="6" w:space="0" w:color="auto"/>
              <w:left w:val="single" w:sz="6" w:space="0" w:color="000000"/>
              <w:bottom w:val="single" w:sz="6" w:space="0" w:color="000000"/>
              <w:right w:val="single" w:sz="6" w:space="0" w:color="000000"/>
            </w:tcBorders>
          </w:tcPr>
          <w:p>
            <w:pPr/>
          </w:p>
        </w:tc>
        <w:tc>
          <w:tcPr>
            <w:tcW w:w="463"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
        </w:tc>
        <w:tc>
          <w:tcPr>
            <w:tcW w:w="1001" w:type="dxa"/>
            <w:tcBorders>
              <w:top w:val="nil" w:sz="6" w:space="0" w:color="auto"/>
              <w:left w:val="single" w:sz="6" w:space="0" w:color="000000"/>
              <w:bottom w:val="single" w:sz="6" w:space="0" w:color="000000"/>
              <w:right w:val="single" w:sz="6" w:space="0" w:color="000000"/>
            </w:tcBorders>
          </w:tcPr>
          <w:p>
            <w:pPr/>
          </w:p>
        </w:tc>
        <w:tc>
          <w:tcPr>
            <w:tcW w:w="462" w:type="dxa"/>
            <w:tcBorders>
              <w:top w:val="nil" w:sz="6" w:space="0" w:color="auto"/>
              <w:left w:val="single" w:sz="6" w:space="0" w:color="000000"/>
              <w:bottom w:val="single" w:sz="6" w:space="0" w:color="000000"/>
              <w:right w:val="single" w:sz="6" w:space="0" w:color="000000"/>
            </w:tcBorders>
          </w:tcPr>
          <w:p>
            <w:pPr/>
          </w:p>
        </w:tc>
        <w:tc>
          <w:tcPr>
            <w:tcW w:w="340" w:type="dxa"/>
            <w:tcBorders>
              <w:top w:val="nil" w:sz="6" w:space="0" w:color="auto"/>
              <w:left w:val="single" w:sz="6" w:space="0" w:color="000000"/>
              <w:bottom w:val="single" w:sz="6" w:space="0" w:color="000000"/>
              <w:right w:val="single" w:sz="6" w:space="0" w:color="000000"/>
            </w:tcBorders>
          </w:tcPr>
          <w:p>
            <w:pPr/>
          </w:p>
        </w:tc>
        <w:tc>
          <w:tcPr>
            <w:tcW w:w="931" w:type="dxa"/>
            <w:tcBorders>
              <w:top w:val="nil" w:sz="6" w:space="0" w:color="auto"/>
              <w:left w:val="single" w:sz="6" w:space="0" w:color="000000"/>
              <w:bottom w:val="single" w:sz="6" w:space="0" w:color="000000"/>
              <w:right w:val="single" w:sz="6" w:space="0" w:color="000000"/>
            </w:tcBorders>
          </w:tcPr>
          <w:p>
            <w:pPr/>
          </w:p>
        </w:tc>
        <w:tc>
          <w:tcPr>
            <w:tcW w:w="1045" w:type="dxa"/>
            <w:tcBorders>
              <w:top w:val="nil" w:sz="6" w:space="0" w:color="auto"/>
              <w:left w:val="single" w:sz="6" w:space="0" w:color="000000"/>
              <w:bottom w:val="single" w:sz="6" w:space="0" w:color="000000"/>
              <w:right w:val="single" w:sz="6" w:space="0" w:color="000000"/>
            </w:tcBorders>
          </w:tcPr>
          <w:p>
            <w:pPr/>
          </w:p>
        </w:tc>
        <w:tc>
          <w:tcPr>
            <w:tcW w:w="338" w:type="dxa"/>
            <w:tcBorders>
              <w:top w:val="nil" w:sz="6" w:space="0" w:color="auto"/>
              <w:left w:val="single" w:sz="6" w:space="0" w:color="000000"/>
              <w:bottom w:val="single" w:sz="6" w:space="0" w:color="000000"/>
              <w:right w:val="single" w:sz="6" w:space="0" w:color="000000"/>
            </w:tcBorders>
          </w:tcPr>
          <w:p>
            <w:pPr/>
          </w:p>
        </w:tc>
        <w:tc>
          <w:tcPr>
            <w:tcW w:w="985" w:type="dxa"/>
            <w:tcBorders>
              <w:top w:val="nil" w:sz="6" w:space="0" w:color="auto"/>
              <w:left w:val="single" w:sz="6" w:space="0" w:color="000000"/>
              <w:bottom w:val="single" w:sz="6" w:space="0" w:color="000000"/>
              <w:right w:val="single" w:sz="12" w:space="0" w:color="000000"/>
            </w:tcBorders>
          </w:tcPr>
          <w:p>
            <w:pPr/>
          </w:p>
        </w:tc>
      </w:tr>
      <w:tr>
        <w:trPr>
          <w:trHeight w:val="428"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（四）利润</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分配</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left="718" w:right="0"/>
              <w:jc w:val="lef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84" w:right="0"/>
              <w:jc w:val="left"/>
              <w:rPr>
                <w:rFonts w:ascii="Times New Roman" w:hAnsi="Times New Roman" w:cs="Times New Roman" w:eastAsia="Times New Roman" w:hint="default"/>
                <w:sz w:val="20"/>
                <w:szCs w:val="20"/>
              </w:rPr>
            </w:pPr>
            <w:r>
              <w:rPr>
                <w:rFonts w:ascii="Times New Roman"/>
                <w:sz w:val="20"/>
              </w:rPr>
              <w:t>6,009,22</w:t>
            </w:r>
          </w:p>
          <w:p>
            <w:pPr>
              <w:pStyle w:val="TableParagraph"/>
              <w:spacing w:line="240" w:lineRule="auto"/>
              <w:ind w:left="534" w:right="0"/>
              <w:jc w:val="left"/>
              <w:rPr>
                <w:rFonts w:ascii="Times New Roman" w:hAnsi="Times New Roman" w:cs="Times New Roman" w:eastAsia="Times New Roman" w:hint="default"/>
                <w:sz w:val="20"/>
                <w:szCs w:val="20"/>
              </w:rPr>
            </w:pPr>
            <w:r>
              <w:rPr>
                <w:rFonts w:ascii="Times New Roman"/>
                <w:sz w:val="20"/>
              </w:rPr>
              <w:t>9.32</w:t>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86" w:right="0"/>
              <w:jc w:val="left"/>
              <w:rPr>
                <w:rFonts w:ascii="Times New Roman" w:hAnsi="Times New Roman" w:cs="Times New Roman" w:eastAsia="Times New Roman" w:hint="default"/>
                <w:sz w:val="20"/>
                <w:szCs w:val="20"/>
              </w:rPr>
            </w:pPr>
            <w:r>
              <w:rPr>
                <w:rFonts w:ascii="Times New Roman"/>
                <w:sz w:val="20"/>
              </w:rPr>
              <w:t>-6,009,22</w:t>
            </w:r>
          </w:p>
          <w:p>
            <w:pPr>
              <w:pStyle w:val="TableParagraph"/>
              <w:spacing w:line="240" w:lineRule="auto"/>
              <w:ind w:left="602" w:right="0"/>
              <w:jc w:val="left"/>
              <w:rPr>
                <w:rFonts w:ascii="Times New Roman" w:hAnsi="Times New Roman" w:cs="Times New Roman" w:eastAsia="Times New Roman" w:hint="default"/>
                <w:sz w:val="20"/>
                <w:szCs w:val="20"/>
              </w:rPr>
            </w:pPr>
            <w:r>
              <w:rPr>
                <w:rFonts w:ascii="Times New Roman"/>
                <w:sz w:val="20"/>
              </w:rPr>
              <w:t>9.32</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7"/>
              <w:jc w:val="right"/>
              <w:rPr>
                <w:rFonts w:ascii="Times New Roman" w:hAnsi="Times New Roman" w:cs="Times New Roman" w:eastAsia="Times New Roman" w:hint="default"/>
                <w:sz w:val="20"/>
                <w:szCs w:val="20"/>
              </w:rPr>
            </w:pPr>
            <w:r>
              <w:rPr>
                <w:rFonts w:ascii="Times New Roman"/>
                <w:w w:val="100"/>
                <w:sz w:val="20"/>
              </w:rPr>
              <w:t>-</w:t>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7"/>
              <w:jc w:val="right"/>
              <w:rPr>
                <w:rFonts w:ascii="Times New Roman" w:hAnsi="Times New Roman" w:cs="Times New Roman" w:eastAsia="Times New Roman" w:hint="default"/>
                <w:sz w:val="20"/>
                <w:szCs w:val="20"/>
              </w:rPr>
            </w:pPr>
            <w:r>
              <w:rPr>
                <w:rFonts w:ascii="Times New Roman"/>
                <w:w w:val="100"/>
                <w:sz w:val="20"/>
              </w:rPr>
              <w:t>-</w:t>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99"/>
              <w:jc w:val="right"/>
              <w:rPr>
                <w:rFonts w:ascii="Times New Roman" w:hAnsi="Times New Roman" w:cs="Times New Roman" w:eastAsia="Times New Roman" w:hint="default"/>
                <w:sz w:val="20"/>
                <w:szCs w:val="20"/>
              </w:rPr>
            </w:pPr>
            <w:r>
              <w:rPr>
                <w:rFonts w:ascii="Times New Roman"/>
                <w:w w:val="100"/>
                <w:sz w:val="20"/>
              </w:rPr>
              <w:t>-</w:t>
            </w: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16" w:right="0"/>
              <w:jc w:val="left"/>
              <w:rPr>
                <w:rFonts w:ascii="Times New Roman" w:hAnsi="Times New Roman" w:cs="Times New Roman" w:eastAsia="Times New Roman" w:hint="default"/>
                <w:sz w:val="20"/>
                <w:szCs w:val="20"/>
              </w:rPr>
            </w:pPr>
            <w:r>
              <w:rPr>
                <w:rFonts w:ascii="Times New Roman"/>
                <w:sz w:val="20"/>
              </w:rPr>
              <w:t>4,140,60</w:t>
            </w:r>
          </w:p>
          <w:p>
            <w:pPr>
              <w:pStyle w:val="TableParagraph"/>
              <w:spacing w:line="240" w:lineRule="auto"/>
              <w:ind w:left="465" w:right="0"/>
              <w:jc w:val="left"/>
              <w:rPr>
                <w:rFonts w:ascii="Times New Roman" w:hAnsi="Times New Roman" w:cs="Times New Roman" w:eastAsia="Times New Roman" w:hint="default"/>
                <w:sz w:val="20"/>
                <w:szCs w:val="20"/>
              </w:rPr>
            </w:pPr>
            <w:r>
              <w:rPr>
                <w:rFonts w:ascii="Times New Roman"/>
                <w:sz w:val="20"/>
              </w:rPr>
              <w:t>6.05</w:t>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63" w:right="0"/>
              <w:jc w:val="left"/>
              <w:rPr>
                <w:rFonts w:ascii="Times New Roman" w:hAnsi="Times New Roman" w:cs="Times New Roman" w:eastAsia="Times New Roman" w:hint="default"/>
                <w:sz w:val="20"/>
                <w:szCs w:val="20"/>
              </w:rPr>
            </w:pPr>
            <w:r>
              <w:rPr>
                <w:rFonts w:ascii="Times New Roman"/>
                <w:sz w:val="20"/>
              </w:rPr>
              <w:t>-10,140,6</w:t>
            </w:r>
          </w:p>
          <w:p>
            <w:pPr>
              <w:pStyle w:val="TableParagraph"/>
              <w:spacing w:line="240" w:lineRule="auto"/>
              <w:ind w:left="480" w:right="0"/>
              <w:jc w:val="left"/>
              <w:rPr>
                <w:rFonts w:ascii="Times New Roman" w:hAnsi="Times New Roman" w:cs="Times New Roman" w:eastAsia="Times New Roman" w:hint="default"/>
                <w:sz w:val="20"/>
                <w:szCs w:val="20"/>
              </w:rPr>
            </w:pPr>
            <w:r>
              <w:rPr>
                <w:rFonts w:ascii="Times New Roman"/>
                <w:sz w:val="20"/>
              </w:rPr>
              <w:t>06.05</w:t>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29" w:lineRule="exact" w:before="4"/>
              <w:ind w:left="176" w:right="0"/>
              <w:jc w:val="left"/>
              <w:rPr>
                <w:rFonts w:ascii="Arial Narrow" w:hAnsi="Arial Narrow" w:cs="Arial Narrow" w:eastAsia="Arial Narrow" w:hint="default"/>
                <w:sz w:val="20"/>
                <w:szCs w:val="20"/>
              </w:rPr>
            </w:pPr>
            <w:r>
              <w:rPr>
                <w:rFonts w:ascii="Arial Narrow"/>
                <w:sz w:val="20"/>
              </w:rPr>
              <w:t>-6,000,00</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0.00</w:t>
            </w:r>
          </w:p>
        </w:tc>
      </w:tr>
      <w:tr>
        <w:trPr>
          <w:trHeight w:val="401" w:hRule="exact"/>
        </w:trPr>
        <w:tc>
          <w:tcPr>
            <w:tcW w:w="10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3"/>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718" w:right="0"/>
              <w:jc w:val="lef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tcBorders>
              <w:top w:val="single" w:sz="6" w:space="0" w:color="000000"/>
              <w:left w:val="single" w:sz="6" w:space="0" w:color="000000"/>
              <w:bottom w:val="single" w:sz="12" w:space="0" w:color="000000"/>
              <w:right w:val="single" w:sz="6" w:space="0" w:color="000000"/>
            </w:tcBorders>
          </w:tcPr>
          <w:p>
            <w:pPr/>
          </w:p>
        </w:tc>
        <w:tc>
          <w:tcPr>
            <w:tcW w:w="340" w:type="dxa"/>
            <w:tcBorders>
              <w:top w:val="single" w:sz="6" w:space="0" w:color="000000"/>
              <w:left w:val="single" w:sz="6" w:space="0" w:color="000000"/>
              <w:bottom w:val="single" w:sz="12" w:space="0" w:color="000000"/>
              <w:right w:val="single" w:sz="6" w:space="0" w:color="000000"/>
            </w:tcBorders>
          </w:tcPr>
          <w:p>
            <w:pPr/>
          </w:p>
        </w:tc>
        <w:tc>
          <w:tcPr>
            <w:tcW w:w="10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right="98"/>
              <w:jc w:val="right"/>
              <w:rPr>
                <w:rFonts w:ascii="Times New Roman" w:hAnsi="Times New Roman" w:cs="Times New Roman" w:eastAsia="Times New Roman" w:hint="default"/>
                <w:sz w:val="20"/>
                <w:szCs w:val="20"/>
              </w:rPr>
            </w:pPr>
            <w:r>
              <w:rPr>
                <w:rFonts w:ascii="Times New Roman"/>
                <w:spacing w:val="-1"/>
                <w:sz w:val="20"/>
              </w:rPr>
              <w:t>6,009,22</w:t>
            </w:r>
          </w:p>
        </w:tc>
        <w:tc>
          <w:tcPr>
            <w:tcW w:w="10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185" w:right="0"/>
              <w:jc w:val="left"/>
              <w:rPr>
                <w:rFonts w:ascii="Times New Roman" w:hAnsi="Times New Roman" w:cs="Times New Roman" w:eastAsia="Times New Roman" w:hint="default"/>
                <w:sz w:val="20"/>
                <w:szCs w:val="20"/>
              </w:rPr>
            </w:pPr>
            <w:r>
              <w:rPr>
                <w:rFonts w:ascii="Times New Roman"/>
                <w:sz w:val="20"/>
              </w:rPr>
              <w:t>-6,009,22</w:t>
            </w:r>
          </w:p>
        </w:tc>
        <w:tc>
          <w:tcPr>
            <w:tcW w:w="338" w:type="dxa"/>
            <w:tcBorders>
              <w:top w:val="single" w:sz="6" w:space="0" w:color="000000"/>
              <w:left w:val="single" w:sz="6" w:space="0" w:color="000000"/>
              <w:bottom w:val="single" w:sz="12" w:space="0" w:color="000000"/>
              <w:right w:val="single" w:sz="6" w:space="0" w:color="000000"/>
            </w:tcBorders>
          </w:tcPr>
          <w:p>
            <w:pPr/>
          </w:p>
        </w:tc>
        <w:tc>
          <w:tcPr>
            <w:tcW w:w="340" w:type="dxa"/>
            <w:tcBorders>
              <w:top w:val="single" w:sz="6" w:space="0" w:color="000000"/>
              <w:left w:val="single" w:sz="6" w:space="0" w:color="000000"/>
              <w:bottom w:val="single" w:sz="12" w:space="0" w:color="000000"/>
              <w:right w:val="single" w:sz="6" w:space="0" w:color="000000"/>
            </w:tcBorders>
          </w:tcPr>
          <w:p>
            <w:pPr/>
          </w:p>
        </w:tc>
        <w:tc>
          <w:tcPr>
            <w:tcW w:w="106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right="98"/>
              <w:jc w:val="right"/>
              <w:rPr>
                <w:rFonts w:ascii="Times New Roman" w:hAnsi="Times New Roman" w:cs="Times New Roman" w:eastAsia="Times New Roman" w:hint="default"/>
                <w:sz w:val="20"/>
                <w:szCs w:val="20"/>
              </w:rPr>
            </w:pPr>
            <w:r>
              <w:rPr>
                <w:rFonts w:ascii="Times New Roman"/>
                <w:w w:val="100"/>
                <w:sz w:val="20"/>
              </w:rPr>
              <w:t>-</w:t>
            </w:r>
          </w:p>
        </w:tc>
        <w:tc>
          <w:tcPr>
            <w:tcW w:w="1000" w:type="dxa"/>
            <w:tcBorders>
              <w:top w:val="single" w:sz="6" w:space="0" w:color="000000"/>
              <w:left w:val="single" w:sz="6" w:space="0" w:color="000000"/>
              <w:bottom w:val="single" w:sz="12" w:space="0" w:color="000000"/>
              <w:right w:val="single" w:sz="6" w:space="0" w:color="000000"/>
            </w:tcBorders>
          </w:tcPr>
          <w:p>
            <w:pPr/>
          </w:p>
        </w:tc>
        <w:tc>
          <w:tcPr>
            <w:tcW w:w="1001" w:type="dxa"/>
            <w:tcBorders>
              <w:top w:val="single" w:sz="6" w:space="0" w:color="000000"/>
              <w:left w:val="single" w:sz="6" w:space="0" w:color="000000"/>
              <w:bottom w:val="single" w:sz="12" w:space="0" w:color="000000"/>
              <w:right w:val="single" w:sz="6" w:space="0" w:color="000000"/>
            </w:tcBorders>
          </w:tcPr>
          <w:p>
            <w:pPr/>
          </w:p>
        </w:tc>
        <w:tc>
          <w:tcPr>
            <w:tcW w:w="462" w:type="dxa"/>
            <w:tcBorders>
              <w:top w:val="single" w:sz="6" w:space="0" w:color="000000"/>
              <w:left w:val="single" w:sz="6" w:space="0" w:color="000000"/>
              <w:bottom w:val="single" w:sz="12" w:space="0" w:color="000000"/>
              <w:right w:val="single" w:sz="6" w:space="0" w:color="000000"/>
            </w:tcBorders>
          </w:tcPr>
          <w:p>
            <w:pPr/>
          </w:p>
        </w:tc>
        <w:tc>
          <w:tcPr>
            <w:tcW w:w="340" w:type="dxa"/>
            <w:tcBorders>
              <w:top w:val="single" w:sz="6" w:space="0" w:color="000000"/>
              <w:left w:val="single" w:sz="6" w:space="0" w:color="000000"/>
              <w:bottom w:val="single" w:sz="12" w:space="0" w:color="000000"/>
              <w:right w:val="single" w:sz="6" w:space="0" w:color="000000"/>
            </w:tcBorders>
          </w:tcPr>
          <w:p>
            <w:pPr/>
          </w:p>
        </w:tc>
        <w:tc>
          <w:tcPr>
            <w:tcW w:w="93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left="116" w:right="0"/>
              <w:jc w:val="left"/>
              <w:rPr>
                <w:rFonts w:ascii="Times New Roman" w:hAnsi="Times New Roman" w:cs="Times New Roman" w:eastAsia="Times New Roman" w:hint="default"/>
                <w:sz w:val="20"/>
                <w:szCs w:val="20"/>
              </w:rPr>
            </w:pPr>
            <w:r>
              <w:rPr>
                <w:rFonts w:ascii="Times New Roman"/>
                <w:sz w:val="20"/>
              </w:rPr>
              <w:t>4,140,60</w:t>
            </w:r>
          </w:p>
        </w:tc>
        <w:tc>
          <w:tcPr>
            <w:tcW w:w="10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1"/>
              <w:ind w:right="97"/>
              <w:jc w:val="right"/>
              <w:rPr>
                <w:rFonts w:ascii="Times New Roman" w:hAnsi="Times New Roman" w:cs="Times New Roman" w:eastAsia="Times New Roman" w:hint="default"/>
                <w:sz w:val="20"/>
                <w:szCs w:val="20"/>
              </w:rPr>
            </w:pPr>
            <w:r>
              <w:rPr>
                <w:rFonts w:ascii="Times New Roman"/>
                <w:spacing w:val="-1"/>
                <w:sz w:val="20"/>
              </w:rPr>
              <w:t>-4,140,60</w:t>
            </w:r>
          </w:p>
        </w:tc>
        <w:tc>
          <w:tcPr>
            <w:tcW w:w="338" w:type="dxa"/>
            <w:tcBorders>
              <w:top w:val="single" w:sz="6" w:space="0" w:color="000000"/>
              <w:left w:val="single" w:sz="6" w:space="0" w:color="000000"/>
              <w:bottom w:val="single" w:sz="12" w:space="0" w:color="000000"/>
              <w:right w:val="single" w:sz="6" w:space="0" w:color="000000"/>
            </w:tcBorders>
          </w:tcPr>
          <w:p>
            <w:pPr/>
          </w:p>
        </w:tc>
        <w:tc>
          <w:tcPr>
            <w:tcW w:w="98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5"/>
              <w:ind w:right="90"/>
              <w:jc w:val="right"/>
              <w:rPr>
                <w:rFonts w:ascii="Arial Narrow" w:hAnsi="Arial Narrow" w:cs="Arial Narrow" w:eastAsia="Arial Narrow" w:hint="default"/>
                <w:sz w:val="20"/>
                <w:szCs w:val="20"/>
              </w:rPr>
            </w:pPr>
            <w:r>
              <w:rPr>
                <w:rFonts w:ascii="Arial Narrow"/>
                <w:w w:val="100"/>
                <w:sz w:val="20"/>
              </w:rPr>
              <w:t>-</w:t>
            </w:r>
          </w:p>
        </w:tc>
      </w:tr>
    </w:tbl>
    <w:p>
      <w:pPr>
        <w:spacing w:after="0" w:line="240" w:lineRule="auto"/>
        <w:jc w:val="right"/>
        <w:rPr>
          <w:rFonts w:ascii="Arial Narrow" w:hAnsi="Arial Narrow" w:cs="Arial Narrow" w:eastAsia="Arial Narrow" w:hint="default"/>
          <w:sz w:val="20"/>
          <w:szCs w:val="20"/>
        </w:rPr>
        <w:sectPr>
          <w:pgSz w:w="15840" w:h="12240" w:orient="landscape"/>
          <w:pgMar w:header="0" w:footer="688" w:top="1140" w:bottom="880" w:left="76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1081"/>
        <w:gridCol w:w="900"/>
        <w:gridCol w:w="923"/>
        <w:gridCol w:w="463"/>
        <w:gridCol w:w="340"/>
        <w:gridCol w:w="1000"/>
        <w:gridCol w:w="1068"/>
        <w:gridCol w:w="338"/>
        <w:gridCol w:w="340"/>
        <w:gridCol w:w="1068"/>
        <w:gridCol w:w="1000"/>
        <w:gridCol w:w="1001"/>
        <w:gridCol w:w="462"/>
        <w:gridCol w:w="340"/>
        <w:gridCol w:w="931"/>
        <w:gridCol w:w="1045"/>
        <w:gridCol w:w="338"/>
        <w:gridCol w:w="985"/>
      </w:tblGrid>
      <w:tr>
        <w:trPr>
          <w:trHeight w:val="400" w:hRule="exact"/>
        </w:trPr>
        <w:tc>
          <w:tcPr>
            <w:tcW w:w="1081"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余公积</w:t>
            </w:r>
          </w:p>
        </w:tc>
        <w:tc>
          <w:tcPr>
            <w:tcW w:w="900" w:type="dxa"/>
            <w:tcBorders>
              <w:top w:val="single" w:sz="12" w:space="0" w:color="000000"/>
              <w:left w:val="single" w:sz="6" w:space="0" w:color="000000"/>
              <w:bottom w:val="single" w:sz="6" w:space="0" w:color="000000"/>
              <w:right w:val="single" w:sz="6" w:space="0" w:color="000000"/>
            </w:tcBorders>
          </w:tcPr>
          <w:p>
            <w:pPr/>
          </w:p>
        </w:tc>
        <w:tc>
          <w:tcPr>
            <w:tcW w:w="923" w:type="dxa"/>
            <w:tcBorders>
              <w:top w:val="single" w:sz="12" w:space="0" w:color="000000"/>
              <w:left w:val="single" w:sz="6" w:space="0" w:color="000000"/>
              <w:bottom w:val="single" w:sz="6" w:space="0" w:color="000000"/>
              <w:right w:val="single" w:sz="6" w:space="0" w:color="000000"/>
            </w:tcBorders>
          </w:tcPr>
          <w:p>
            <w:pPr/>
          </w:p>
        </w:tc>
        <w:tc>
          <w:tcPr>
            <w:tcW w:w="463" w:type="dxa"/>
            <w:tcBorders>
              <w:top w:val="single" w:sz="12" w:space="0" w:color="000000"/>
              <w:left w:val="single" w:sz="6" w:space="0" w:color="000000"/>
              <w:bottom w:val="single" w:sz="6" w:space="0" w:color="000000"/>
              <w:right w:val="single" w:sz="6" w:space="0" w:color="000000"/>
            </w:tcBorders>
          </w:tcPr>
          <w:p>
            <w:pPr/>
          </w:p>
        </w:tc>
        <w:tc>
          <w:tcPr>
            <w:tcW w:w="340" w:type="dxa"/>
            <w:tcBorders>
              <w:top w:val="single" w:sz="12" w:space="0" w:color="000000"/>
              <w:left w:val="single" w:sz="6" w:space="0" w:color="000000"/>
              <w:bottom w:val="single" w:sz="6" w:space="0" w:color="000000"/>
              <w:right w:val="single" w:sz="6" w:space="0" w:color="000000"/>
            </w:tcBorders>
          </w:tcPr>
          <w:p>
            <w:pPr/>
          </w:p>
        </w:tc>
        <w:tc>
          <w:tcPr>
            <w:tcW w:w="1000" w:type="dxa"/>
            <w:tcBorders>
              <w:top w:val="single" w:sz="12" w:space="0" w:color="000000"/>
              <w:left w:val="single" w:sz="6" w:space="0" w:color="000000"/>
              <w:bottom w:val="single" w:sz="6" w:space="0" w:color="000000"/>
              <w:right w:val="single" w:sz="6" w:space="0" w:color="000000"/>
            </w:tcBorders>
          </w:tcPr>
          <w:p>
            <w:pPr>
              <w:pStyle w:val="TableParagraph"/>
              <w:spacing w:line="227" w:lineRule="exact"/>
              <w:ind w:right="97"/>
              <w:jc w:val="right"/>
              <w:rPr>
                <w:rFonts w:ascii="Times New Roman" w:hAnsi="Times New Roman" w:cs="Times New Roman" w:eastAsia="Times New Roman" w:hint="default"/>
                <w:sz w:val="20"/>
                <w:szCs w:val="20"/>
              </w:rPr>
            </w:pPr>
            <w:r>
              <w:rPr>
                <w:rFonts w:ascii="Times New Roman"/>
                <w:spacing w:val="-1"/>
                <w:sz w:val="20"/>
              </w:rPr>
              <w:t>9.32</w:t>
            </w:r>
          </w:p>
        </w:tc>
        <w:tc>
          <w:tcPr>
            <w:tcW w:w="1068" w:type="dxa"/>
            <w:tcBorders>
              <w:top w:val="single" w:sz="12" w:space="0" w:color="000000"/>
              <w:left w:val="single" w:sz="6" w:space="0" w:color="000000"/>
              <w:bottom w:val="single" w:sz="6" w:space="0" w:color="000000"/>
              <w:right w:val="single" w:sz="6" w:space="0" w:color="000000"/>
            </w:tcBorders>
          </w:tcPr>
          <w:p>
            <w:pPr>
              <w:pStyle w:val="TableParagraph"/>
              <w:spacing w:line="227" w:lineRule="exact"/>
              <w:ind w:right="97"/>
              <w:jc w:val="right"/>
              <w:rPr>
                <w:rFonts w:ascii="Times New Roman" w:hAnsi="Times New Roman" w:cs="Times New Roman" w:eastAsia="Times New Roman" w:hint="default"/>
                <w:sz w:val="20"/>
                <w:szCs w:val="20"/>
              </w:rPr>
            </w:pPr>
            <w:r>
              <w:rPr>
                <w:rFonts w:ascii="Times New Roman"/>
                <w:spacing w:val="-1"/>
                <w:sz w:val="20"/>
              </w:rPr>
              <w:t>9.32</w:t>
            </w:r>
          </w:p>
        </w:tc>
        <w:tc>
          <w:tcPr>
            <w:tcW w:w="338" w:type="dxa"/>
            <w:tcBorders>
              <w:top w:val="single" w:sz="12" w:space="0" w:color="000000"/>
              <w:left w:val="single" w:sz="6" w:space="0" w:color="000000"/>
              <w:bottom w:val="single" w:sz="6" w:space="0" w:color="000000"/>
              <w:right w:val="single" w:sz="6" w:space="0" w:color="000000"/>
            </w:tcBorders>
          </w:tcPr>
          <w:p>
            <w:pPr>
              <w:pStyle w:val="TableParagraph"/>
              <w:spacing w:line="227" w:lineRule="exact"/>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tcBorders>
              <w:top w:val="single" w:sz="12" w:space="0" w:color="000000"/>
              <w:left w:val="single" w:sz="6" w:space="0" w:color="000000"/>
              <w:bottom w:val="single" w:sz="6" w:space="0" w:color="000000"/>
              <w:right w:val="single" w:sz="6" w:space="0" w:color="000000"/>
            </w:tcBorders>
          </w:tcPr>
          <w:p>
            <w:pPr/>
          </w:p>
        </w:tc>
        <w:tc>
          <w:tcPr>
            <w:tcW w:w="1068" w:type="dxa"/>
            <w:tcBorders>
              <w:top w:val="single" w:sz="12" w:space="0" w:color="000000"/>
              <w:left w:val="single" w:sz="6" w:space="0" w:color="000000"/>
              <w:bottom w:val="single" w:sz="6" w:space="0" w:color="000000"/>
              <w:right w:val="single" w:sz="6" w:space="0" w:color="000000"/>
            </w:tcBorders>
          </w:tcPr>
          <w:p>
            <w:pPr/>
          </w:p>
        </w:tc>
        <w:tc>
          <w:tcPr>
            <w:tcW w:w="1000" w:type="dxa"/>
            <w:tcBorders>
              <w:top w:val="single" w:sz="12" w:space="0" w:color="000000"/>
              <w:left w:val="single" w:sz="6" w:space="0" w:color="000000"/>
              <w:bottom w:val="single" w:sz="6" w:space="0" w:color="000000"/>
              <w:right w:val="single" w:sz="6" w:space="0" w:color="000000"/>
            </w:tcBorders>
          </w:tcPr>
          <w:p>
            <w:pPr/>
          </w:p>
        </w:tc>
        <w:tc>
          <w:tcPr>
            <w:tcW w:w="1001" w:type="dxa"/>
            <w:tcBorders>
              <w:top w:val="single" w:sz="12" w:space="0" w:color="000000"/>
              <w:left w:val="single" w:sz="6" w:space="0" w:color="000000"/>
              <w:bottom w:val="single" w:sz="6" w:space="0" w:color="000000"/>
              <w:right w:val="single" w:sz="6" w:space="0" w:color="000000"/>
            </w:tcBorders>
          </w:tcPr>
          <w:p>
            <w:pPr/>
          </w:p>
        </w:tc>
        <w:tc>
          <w:tcPr>
            <w:tcW w:w="462" w:type="dxa"/>
            <w:tcBorders>
              <w:top w:val="single" w:sz="12" w:space="0" w:color="000000"/>
              <w:left w:val="single" w:sz="6" w:space="0" w:color="000000"/>
              <w:bottom w:val="single" w:sz="6" w:space="0" w:color="000000"/>
              <w:right w:val="single" w:sz="6" w:space="0" w:color="000000"/>
            </w:tcBorders>
          </w:tcPr>
          <w:p>
            <w:pPr/>
          </w:p>
        </w:tc>
        <w:tc>
          <w:tcPr>
            <w:tcW w:w="340" w:type="dxa"/>
            <w:tcBorders>
              <w:top w:val="single" w:sz="12" w:space="0" w:color="000000"/>
              <w:left w:val="single" w:sz="6" w:space="0" w:color="000000"/>
              <w:bottom w:val="single" w:sz="6" w:space="0" w:color="000000"/>
              <w:right w:val="single" w:sz="6" w:space="0" w:color="000000"/>
            </w:tcBorders>
          </w:tcPr>
          <w:p>
            <w:pPr/>
          </w:p>
        </w:tc>
        <w:tc>
          <w:tcPr>
            <w:tcW w:w="931" w:type="dxa"/>
            <w:tcBorders>
              <w:top w:val="single" w:sz="12" w:space="0" w:color="000000"/>
              <w:left w:val="single" w:sz="6" w:space="0" w:color="000000"/>
              <w:bottom w:val="single" w:sz="6" w:space="0" w:color="000000"/>
              <w:right w:val="single" w:sz="6" w:space="0" w:color="000000"/>
            </w:tcBorders>
          </w:tcPr>
          <w:p>
            <w:pPr>
              <w:pStyle w:val="TableParagraph"/>
              <w:spacing w:line="227" w:lineRule="exact"/>
              <w:ind w:left="465" w:right="0"/>
              <w:jc w:val="left"/>
              <w:rPr>
                <w:rFonts w:ascii="Times New Roman" w:hAnsi="Times New Roman" w:cs="Times New Roman" w:eastAsia="Times New Roman" w:hint="default"/>
                <w:sz w:val="20"/>
                <w:szCs w:val="20"/>
              </w:rPr>
            </w:pPr>
            <w:r>
              <w:rPr>
                <w:rFonts w:ascii="Times New Roman"/>
                <w:sz w:val="20"/>
              </w:rPr>
              <w:t>6.05</w:t>
            </w:r>
          </w:p>
        </w:tc>
        <w:tc>
          <w:tcPr>
            <w:tcW w:w="1045" w:type="dxa"/>
            <w:tcBorders>
              <w:top w:val="single" w:sz="12" w:space="0" w:color="000000"/>
              <w:left w:val="single" w:sz="6" w:space="0" w:color="000000"/>
              <w:bottom w:val="single" w:sz="6" w:space="0" w:color="000000"/>
              <w:right w:val="single" w:sz="6" w:space="0" w:color="000000"/>
            </w:tcBorders>
          </w:tcPr>
          <w:p>
            <w:pPr>
              <w:pStyle w:val="TableParagraph"/>
              <w:spacing w:line="227" w:lineRule="exact"/>
              <w:ind w:right="97"/>
              <w:jc w:val="right"/>
              <w:rPr>
                <w:rFonts w:ascii="Times New Roman" w:hAnsi="Times New Roman" w:cs="Times New Roman" w:eastAsia="Times New Roman" w:hint="default"/>
                <w:sz w:val="20"/>
                <w:szCs w:val="20"/>
              </w:rPr>
            </w:pPr>
            <w:r>
              <w:rPr>
                <w:rFonts w:ascii="Times New Roman"/>
                <w:spacing w:val="-1"/>
                <w:sz w:val="20"/>
              </w:rPr>
              <w:t>6.05</w:t>
            </w:r>
          </w:p>
        </w:tc>
        <w:tc>
          <w:tcPr>
            <w:tcW w:w="338" w:type="dxa"/>
            <w:tcBorders>
              <w:top w:val="single" w:sz="12" w:space="0" w:color="000000"/>
              <w:left w:val="single" w:sz="6" w:space="0" w:color="000000"/>
              <w:bottom w:val="single" w:sz="6" w:space="0" w:color="000000"/>
              <w:right w:val="single" w:sz="6" w:space="0" w:color="000000"/>
            </w:tcBorders>
          </w:tcPr>
          <w:p>
            <w:pPr/>
          </w:p>
        </w:tc>
        <w:tc>
          <w:tcPr>
            <w:tcW w:w="985" w:type="dxa"/>
            <w:tcBorders>
              <w:top w:val="single" w:sz="12" w:space="0" w:color="000000"/>
              <w:left w:val="single" w:sz="6" w:space="0" w:color="000000"/>
              <w:bottom w:val="single" w:sz="6" w:space="0" w:color="000000"/>
              <w:right w:val="single" w:sz="12" w:space="0" w:color="000000"/>
            </w:tcBorders>
          </w:tcPr>
          <w:p>
            <w:pP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般风险准</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备</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4"/>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4"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vMerge w:val="restart"/>
            <w:tcBorders>
              <w:top w:val="single" w:sz="6" w:space="0" w:color="000000"/>
              <w:left w:val="single" w:sz="6" w:space="0" w:color="000000"/>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vMerge w:val="restart"/>
            <w:tcBorders>
              <w:top w:val="single" w:sz="6" w:space="0" w:color="000000"/>
              <w:left w:val="single" w:sz="6" w:space="0" w:color="000000"/>
              <w:right w:val="single" w:sz="6" w:space="0" w:color="000000"/>
            </w:tcBorders>
          </w:tcPr>
          <w:p>
            <w:pPr/>
          </w:p>
        </w:tc>
        <w:tc>
          <w:tcPr>
            <w:tcW w:w="1001" w:type="dxa"/>
            <w:vMerge w:val="restart"/>
            <w:tcBorders>
              <w:top w:val="single" w:sz="6" w:space="0" w:color="000000"/>
              <w:left w:val="single" w:sz="6" w:space="0" w:color="000000"/>
              <w:right w:val="single" w:sz="6" w:space="0" w:color="000000"/>
            </w:tcBorders>
          </w:tcPr>
          <w:p>
            <w:pPr/>
          </w:p>
        </w:tc>
        <w:tc>
          <w:tcPr>
            <w:tcW w:w="462" w:type="dxa"/>
            <w:vMerge w:val="restart"/>
            <w:tcBorders>
              <w:top w:val="single" w:sz="6" w:space="0" w:color="000000"/>
              <w:left w:val="single" w:sz="6" w:space="0" w:color="000000"/>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931" w:type="dxa"/>
            <w:vMerge w:val="restart"/>
            <w:tcBorders>
              <w:top w:val="single" w:sz="6" w:space="0" w:color="000000"/>
              <w:left w:val="single" w:sz="6" w:space="0" w:color="000000"/>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vMerge w:val="restart"/>
            <w:tcBorders>
              <w:top w:val="single" w:sz="6" w:space="0" w:color="000000"/>
              <w:left w:val="single" w:sz="6" w:space="0" w:color="000000"/>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2"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2" w:lineRule="exact"/>
              <w:ind w:left="93" w:right="0"/>
              <w:jc w:val="left"/>
              <w:rPr>
                <w:rFonts w:ascii="宋体" w:hAnsi="宋体" w:cs="宋体" w:eastAsia="宋体" w:hint="default"/>
                <w:sz w:val="18"/>
                <w:szCs w:val="18"/>
              </w:rPr>
            </w:pPr>
            <w:r>
              <w:rPr>
                <w:rFonts w:ascii="宋体" w:hAnsi="宋体" w:cs="宋体" w:eastAsia="宋体" w:hint="default"/>
                <w:sz w:val="18"/>
                <w:szCs w:val="18"/>
              </w:rPr>
              <w:t>者（或股</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东）的分配</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right="98"/>
              <w:jc w:val="right"/>
              <w:rPr>
                <w:rFonts w:ascii="Times New Roman" w:hAnsi="Times New Roman" w:cs="Times New Roman" w:eastAsia="Times New Roman" w:hint="default"/>
                <w:sz w:val="20"/>
                <w:szCs w:val="20"/>
              </w:rPr>
            </w:pPr>
            <w:r>
              <w:rPr>
                <w:rFonts w:ascii="Times New Roman"/>
                <w:w w:val="100"/>
                <w:sz w:val="20"/>
              </w:rPr>
              <w:t>-</w:t>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right="98"/>
              <w:jc w:val="right"/>
              <w:rPr>
                <w:rFonts w:ascii="Times New Roman" w:hAnsi="Times New Roman" w:cs="Times New Roman" w:eastAsia="Times New Roman" w:hint="default"/>
                <w:sz w:val="20"/>
                <w:szCs w:val="20"/>
              </w:rPr>
            </w:pPr>
            <w:r>
              <w:rPr>
                <w:rFonts w:ascii="Times New Roman"/>
                <w:w w:val="100"/>
                <w:sz w:val="20"/>
              </w:rPr>
              <w:t>-</w:t>
            </w:r>
          </w:p>
        </w:tc>
        <w:tc>
          <w:tcPr>
            <w:tcW w:w="463" w:type="dxa"/>
            <w:vMerge/>
            <w:tcBorders>
              <w:left w:val="single" w:sz="6" w:space="0" w:color="000000"/>
              <w:bottom w:val="single" w:sz="6" w:space="0" w:color="000000"/>
              <w:right w:val="single" w:sz="6" w:space="0" w:color="000000"/>
            </w:tcBorders>
          </w:tcPr>
          <w:p>
            <w:pPr/>
          </w:p>
        </w:tc>
        <w:tc>
          <w:tcPr>
            <w:tcW w:w="340" w:type="dxa"/>
            <w:vMerge/>
            <w:tcBorders>
              <w:left w:val="single" w:sz="6" w:space="0" w:color="000000"/>
              <w:bottom w:val="single" w:sz="6" w:space="0" w:color="000000"/>
              <w:right w:val="single" w:sz="6" w:space="0" w:color="000000"/>
            </w:tcBorders>
          </w:tcPr>
          <w:p>
            <w:pP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right="98"/>
              <w:jc w:val="right"/>
              <w:rPr>
                <w:rFonts w:ascii="Times New Roman" w:hAnsi="Times New Roman" w:cs="Times New Roman" w:eastAsia="Times New Roman" w:hint="default"/>
                <w:sz w:val="20"/>
                <w:szCs w:val="20"/>
              </w:rPr>
            </w:pPr>
            <w:r>
              <w:rPr>
                <w:rFonts w:ascii="Times New Roman"/>
                <w:w w:val="100"/>
                <w:sz w:val="20"/>
              </w:rPr>
              <w:t>-</w:t>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right="98"/>
              <w:jc w:val="right"/>
              <w:rPr>
                <w:rFonts w:ascii="Times New Roman" w:hAnsi="Times New Roman" w:cs="Times New Roman" w:eastAsia="Times New Roman" w:hint="default"/>
                <w:sz w:val="20"/>
                <w:szCs w:val="20"/>
              </w:rPr>
            </w:pPr>
            <w:r>
              <w:rPr>
                <w:rFonts w:ascii="Times New Roman"/>
                <w:w w:val="100"/>
                <w:sz w:val="20"/>
              </w:rPr>
              <w:t>-</w:t>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1"/>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vMerge/>
            <w:tcBorders>
              <w:left w:val="single" w:sz="6" w:space="0" w:color="000000"/>
              <w:bottom w:val="single" w:sz="6" w:space="0" w:color="000000"/>
              <w:right w:val="single" w:sz="6" w:space="0" w:color="000000"/>
            </w:tcBorders>
          </w:tcPr>
          <w:p>
            <w:pP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right="98"/>
              <w:jc w:val="right"/>
              <w:rPr>
                <w:rFonts w:ascii="Times New Roman" w:hAnsi="Times New Roman" w:cs="Times New Roman" w:eastAsia="Times New Roman" w:hint="default"/>
                <w:sz w:val="20"/>
                <w:szCs w:val="20"/>
              </w:rPr>
            </w:pPr>
            <w:r>
              <w:rPr>
                <w:rFonts w:ascii="Times New Roman"/>
                <w:w w:val="100"/>
                <w:sz w:val="20"/>
              </w:rPr>
              <w:t>-</w:t>
            </w:r>
          </w:p>
        </w:tc>
        <w:tc>
          <w:tcPr>
            <w:tcW w:w="1000" w:type="dxa"/>
            <w:vMerge/>
            <w:tcBorders>
              <w:left w:val="single" w:sz="6" w:space="0" w:color="000000"/>
              <w:bottom w:val="single" w:sz="6" w:space="0" w:color="000000"/>
              <w:right w:val="single" w:sz="6" w:space="0" w:color="000000"/>
            </w:tcBorders>
          </w:tcPr>
          <w:p>
            <w:pPr/>
          </w:p>
        </w:tc>
        <w:tc>
          <w:tcPr>
            <w:tcW w:w="1001" w:type="dxa"/>
            <w:vMerge/>
            <w:tcBorders>
              <w:left w:val="single" w:sz="6" w:space="0" w:color="000000"/>
              <w:bottom w:val="single" w:sz="6" w:space="0" w:color="000000"/>
              <w:right w:val="single" w:sz="6" w:space="0" w:color="000000"/>
            </w:tcBorders>
          </w:tcPr>
          <w:p>
            <w:pPr/>
          </w:p>
        </w:tc>
        <w:tc>
          <w:tcPr>
            <w:tcW w:w="462" w:type="dxa"/>
            <w:vMerge/>
            <w:tcBorders>
              <w:left w:val="single" w:sz="6" w:space="0" w:color="000000"/>
              <w:bottom w:val="single" w:sz="6" w:space="0" w:color="000000"/>
              <w:right w:val="single" w:sz="6" w:space="0" w:color="000000"/>
            </w:tcBorders>
          </w:tcPr>
          <w:p>
            <w:pPr/>
          </w:p>
        </w:tc>
        <w:tc>
          <w:tcPr>
            <w:tcW w:w="340" w:type="dxa"/>
            <w:vMerge/>
            <w:tcBorders>
              <w:left w:val="single" w:sz="6" w:space="0" w:color="000000"/>
              <w:bottom w:val="single" w:sz="6" w:space="0" w:color="000000"/>
              <w:right w:val="single" w:sz="6" w:space="0" w:color="000000"/>
            </w:tcBorders>
          </w:tcPr>
          <w:p>
            <w:pPr/>
          </w:p>
        </w:tc>
        <w:tc>
          <w:tcPr>
            <w:tcW w:w="931" w:type="dxa"/>
            <w:vMerge/>
            <w:tcBorders>
              <w:left w:val="single" w:sz="6" w:space="0" w:color="000000"/>
              <w:bottom w:val="single" w:sz="6" w:space="0" w:color="000000"/>
              <w:right w:val="single" w:sz="6" w:space="0" w:color="000000"/>
            </w:tcBorders>
          </w:tcPr>
          <w:p>
            <w:pP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26" w:lineRule="exact"/>
              <w:ind w:left="163" w:right="0"/>
              <w:jc w:val="left"/>
              <w:rPr>
                <w:rFonts w:ascii="Times New Roman" w:hAnsi="Times New Roman" w:cs="Times New Roman" w:eastAsia="Times New Roman" w:hint="default"/>
                <w:sz w:val="20"/>
                <w:szCs w:val="20"/>
              </w:rPr>
            </w:pPr>
            <w:r>
              <w:rPr>
                <w:rFonts w:ascii="Times New Roman"/>
                <w:sz w:val="20"/>
              </w:rPr>
              <w:t>-6,000,00</w:t>
            </w:r>
          </w:p>
          <w:p>
            <w:pPr>
              <w:pStyle w:val="TableParagraph"/>
              <w:spacing w:line="240" w:lineRule="auto"/>
              <w:ind w:left="579" w:right="0"/>
              <w:jc w:val="left"/>
              <w:rPr>
                <w:rFonts w:ascii="Times New Roman" w:hAnsi="Times New Roman" w:cs="Times New Roman" w:eastAsia="Times New Roman" w:hint="default"/>
                <w:sz w:val="20"/>
                <w:szCs w:val="20"/>
              </w:rPr>
            </w:pPr>
            <w:r>
              <w:rPr>
                <w:rFonts w:ascii="Times New Roman"/>
                <w:sz w:val="20"/>
              </w:rPr>
              <w:t>0.00</w:t>
            </w:r>
          </w:p>
        </w:tc>
        <w:tc>
          <w:tcPr>
            <w:tcW w:w="338" w:type="dxa"/>
            <w:vMerge/>
            <w:tcBorders>
              <w:left w:val="single" w:sz="6" w:space="0" w:color="000000"/>
              <w:bottom w:val="single" w:sz="6" w:space="0" w:color="000000"/>
              <w:right w:val="single" w:sz="6" w:space="0" w:color="000000"/>
            </w:tcBorders>
          </w:tcPr>
          <w:p>
            <w:pP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29" w:lineRule="exact"/>
              <w:ind w:left="176" w:right="0"/>
              <w:jc w:val="left"/>
              <w:rPr>
                <w:rFonts w:ascii="Arial Narrow" w:hAnsi="Arial Narrow" w:cs="Arial Narrow" w:eastAsia="Arial Narrow" w:hint="default"/>
                <w:sz w:val="20"/>
                <w:szCs w:val="20"/>
              </w:rPr>
            </w:pPr>
            <w:r>
              <w:rPr>
                <w:rFonts w:ascii="Arial Narrow"/>
                <w:sz w:val="20"/>
              </w:rPr>
              <w:t>-6,000,00</w:t>
            </w:r>
          </w:p>
          <w:p>
            <w:pPr>
              <w:pStyle w:val="TableParagraph"/>
              <w:spacing w:line="240" w:lineRule="auto"/>
              <w:ind w:left="550" w:right="0"/>
              <w:jc w:val="left"/>
              <w:rPr>
                <w:rFonts w:ascii="Arial Narrow" w:hAnsi="Arial Narrow" w:cs="Arial Narrow" w:eastAsia="Arial Narrow" w:hint="default"/>
                <w:sz w:val="20"/>
                <w:szCs w:val="20"/>
              </w:rPr>
            </w:pPr>
            <w:r>
              <w:rPr>
                <w:rFonts w:ascii="Arial Narrow"/>
                <w:sz w:val="20"/>
              </w:rPr>
              <w:t>0.00</w:t>
            </w:r>
          </w:p>
        </w:tc>
      </w:tr>
      <w:tr>
        <w:trPr>
          <w:trHeight w:val="428"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1"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（五）所有</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4"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者权益内</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部结转</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2"/>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9"/>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9"/>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积转增资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4"/>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积转增资</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本</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4"/>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6"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w:t>
            </w:r>
          </w:p>
        </w:tc>
        <w:tc>
          <w:tcPr>
            <w:tcW w:w="900"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
        </w:tc>
        <w:tc>
          <w:tcPr>
            <w:tcW w:w="463"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
        </w:tc>
        <w:tc>
          <w:tcPr>
            <w:tcW w:w="1001" w:type="dxa"/>
            <w:tcBorders>
              <w:top w:val="single" w:sz="6" w:space="0" w:color="000000"/>
              <w:left w:val="single" w:sz="6" w:space="0" w:color="000000"/>
              <w:bottom w:val="nil" w:sz="6" w:space="0" w:color="auto"/>
              <w:right w:val="single" w:sz="6" w:space="0" w:color="000000"/>
            </w:tcBorders>
          </w:tcPr>
          <w:p>
            <w:pPr/>
          </w:p>
        </w:tc>
        <w:tc>
          <w:tcPr>
            <w:tcW w:w="462" w:type="dxa"/>
            <w:tcBorders>
              <w:top w:val="single" w:sz="6" w:space="0" w:color="000000"/>
              <w:left w:val="single" w:sz="6" w:space="0" w:color="000000"/>
              <w:bottom w:val="nil" w:sz="6" w:space="0" w:color="auto"/>
              <w:right w:val="single" w:sz="6" w:space="0" w:color="000000"/>
            </w:tcBorders>
          </w:tcPr>
          <w:p>
            <w:pPr/>
          </w:p>
        </w:tc>
        <w:tc>
          <w:tcPr>
            <w:tcW w:w="340" w:type="dxa"/>
            <w:tcBorders>
              <w:top w:val="single" w:sz="6" w:space="0" w:color="000000"/>
              <w:left w:val="single" w:sz="6" w:space="0" w:color="000000"/>
              <w:bottom w:val="nil" w:sz="6" w:space="0" w:color="auto"/>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
        </w:tc>
        <w:tc>
          <w:tcPr>
            <w:tcW w:w="1045" w:type="dxa"/>
            <w:tcBorders>
              <w:top w:val="single" w:sz="6" w:space="0" w:color="000000"/>
              <w:left w:val="single" w:sz="6" w:space="0" w:color="000000"/>
              <w:bottom w:val="nil" w:sz="6" w:space="0" w:color="auto"/>
              <w:right w:val="single" w:sz="6" w:space="0" w:color="000000"/>
            </w:tcBorders>
          </w:tcPr>
          <w:p>
            <w:pP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108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积弥补亏</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损</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4"/>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0"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（六）专项</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储备</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13"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w:t>
            </w:r>
          </w:p>
          <w:p>
            <w:pPr>
              <w:pStyle w:val="TableParagraph"/>
              <w:spacing w:line="228" w:lineRule="exact"/>
              <w:ind w:left="93" w:right="0"/>
              <w:jc w:val="left"/>
              <w:rPr>
                <w:rFonts w:ascii="宋体" w:hAnsi="宋体" w:cs="宋体" w:eastAsia="宋体" w:hint="default"/>
                <w:sz w:val="18"/>
                <w:szCs w:val="18"/>
              </w:rPr>
            </w:pPr>
            <w:r>
              <w:rPr>
                <w:rFonts w:ascii="宋体" w:hAnsi="宋体" w:cs="宋体" w:eastAsia="宋体" w:hint="default"/>
                <w:sz w:val="18"/>
                <w:szCs w:val="18"/>
              </w:rPr>
              <w:t>取</w:t>
            </w:r>
          </w:p>
        </w:tc>
        <w:tc>
          <w:tcPr>
            <w:tcW w:w="900" w:type="dxa"/>
            <w:tcBorders>
              <w:top w:val="single" w:sz="6" w:space="0" w:color="000000"/>
              <w:left w:val="single" w:sz="6" w:space="0" w:color="000000"/>
              <w:bottom w:val="single" w:sz="6" w:space="0" w:color="000000"/>
              <w:right w:val="single" w:sz="6" w:space="0" w:color="000000"/>
            </w:tcBorders>
          </w:tcPr>
          <w:p>
            <w:pPr/>
          </w:p>
        </w:tc>
        <w:tc>
          <w:tcPr>
            <w:tcW w:w="923" w:type="dxa"/>
            <w:tcBorders>
              <w:top w:val="single" w:sz="6" w:space="0" w:color="000000"/>
              <w:left w:val="single" w:sz="6" w:space="0" w:color="000000"/>
              <w:bottom w:val="single" w:sz="6" w:space="0" w:color="000000"/>
              <w:right w:val="single" w:sz="6" w:space="0" w:color="000000"/>
            </w:tcBorders>
          </w:tcPr>
          <w:p>
            <w:pP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w:t>
            </w:r>
          </w:p>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sz w:val="18"/>
                <w:szCs w:val="18"/>
              </w:rPr>
              <w:t>用</w:t>
            </w:r>
          </w:p>
        </w:tc>
        <w:tc>
          <w:tcPr>
            <w:tcW w:w="900" w:type="dxa"/>
            <w:tcBorders>
              <w:top w:val="single" w:sz="6" w:space="0" w:color="000000"/>
              <w:left w:val="single" w:sz="6" w:space="0" w:color="000000"/>
              <w:bottom w:val="single" w:sz="6" w:space="0" w:color="000000"/>
              <w:right w:val="single" w:sz="6" w:space="0" w:color="000000"/>
            </w:tcBorders>
          </w:tcPr>
          <w:p>
            <w:pPr/>
          </w:p>
        </w:tc>
        <w:tc>
          <w:tcPr>
            <w:tcW w:w="923" w:type="dxa"/>
            <w:tcBorders>
              <w:top w:val="single" w:sz="6" w:space="0" w:color="000000"/>
              <w:left w:val="single" w:sz="6" w:space="0" w:color="000000"/>
              <w:bottom w:val="single" w:sz="6" w:space="0" w:color="000000"/>
              <w:right w:val="single" w:sz="6" w:space="0" w:color="000000"/>
            </w:tcBorders>
          </w:tcPr>
          <w:p>
            <w:pP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4" w:hRule="exact"/>
        </w:trPr>
        <w:tc>
          <w:tcPr>
            <w:tcW w:w="10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3"/>
              <w:ind w:left="93" w:right="0"/>
              <w:jc w:val="left"/>
              <w:rPr>
                <w:rFonts w:ascii="宋体" w:hAnsi="宋体" w:cs="宋体" w:eastAsia="宋体" w:hint="default"/>
                <w:sz w:val="18"/>
                <w:szCs w:val="18"/>
              </w:rPr>
            </w:pPr>
            <w:r>
              <w:rPr>
                <w:rFonts w:ascii="宋体" w:hAnsi="宋体" w:cs="宋体" w:eastAsia="宋体" w:hint="default"/>
                <w:spacing w:val="-8"/>
                <w:sz w:val="18"/>
                <w:szCs w:val="18"/>
              </w:rPr>
              <w:t>（七）其他</w:t>
            </w:r>
          </w:p>
        </w:tc>
        <w:tc>
          <w:tcPr>
            <w:tcW w:w="900" w:type="dxa"/>
            <w:tcBorders>
              <w:top w:val="single" w:sz="6" w:space="0" w:color="000000"/>
              <w:left w:val="single" w:sz="6" w:space="0" w:color="000000"/>
              <w:bottom w:val="single" w:sz="6" w:space="0" w:color="000000"/>
              <w:right w:val="single" w:sz="6" w:space="0" w:color="000000"/>
            </w:tcBorders>
          </w:tcPr>
          <w:p>
            <w:pPr/>
          </w:p>
        </w:tc>
        <w:tc>
          <w:tcPr>
            <w:tcW w:w="923" w:type="dxa"/>
            <w:tcBorders>
              <w:top w:val="single" w:sz="6" w:space="0" w:color="000000"/>
              <w:left w:val="single" w:sz="6" w:space="0" w:color="000000"/>
              <w:bottom w:val="single" w:sz="6" w:space="0" w:color="000000"/>
              <w:right w:val="single" w:sz="6" w:space="0" w:color="000000"/>
            </w:tcBorders>
          </w:tcPr>
          <w:p>
            <w:pPr/>
          </w:p>
        </w:tc>
        <w:tc>
          <w:tcPr>
            <w:tcW w:w="463"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0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10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1"/>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0" w:type="dxa"/>
            <w:tcBorders>
              <w:top w:val="single" w:sz="6" w:space="0" w:color="000000"/>
              <w:left w:val="single" w:sz="6" w:space="0" w:color="000000"/>
              <w:bottom w:val="single" w:sz="6" w:space="0" w:color="000000"/>
              <w:right w:val="single" w:sz="6" w:space="0" w:color="000000"/>
            </w:tcBorders>
          </w:tcPr>
          <w:p>
            <w:pPr/>
          </w:p>
        </w:tc>
        <w:tc>
          <w:tcPr>
            <w:tcW w:w="1001" w:type="dxa"/>
            <w:tcBorders>
              <w:top w:val="single" w:sz="6" w:space="0" w:color="000000"/>
              <w:left w:val="single" w:sz="6" w:space="0" w:color="000000"/>
              <w:bottom w:val="single" w:sz="6" w:space="0" w:color="000000"/>
              <w:right w:val="single" w:sz="6" w:space="0" w:color="000000"/>
            </w:tcBorders>
          </w:tcPr>
          <w:p>
            <w:pPr/>
          </w:p>
        </w:tc>
        <w:tc>
          <w:tcPr>
            <w:tcW w:w="462" w:type="dxa"/>
            <w:tcBorders>
              <w:top w:val="single" w:sz="6" w:space="0" w:color="000000"/>
              <w:left w:val="single" w:sz="6" w:space="0" w:color="000000"/>
              <w:bottom w:val="single" w:sz="6" w:space="0" w:color="000000"/>
              <w:right w:val="single" w:sz="6" w:space="0" w:color="000000"/>
            </w:tcBorders>
          </w:tcPr>
          <w:p>
            <w:pPr/>
          </w:p>
        </w:tc>
        <w:tc>
          <w:tcPr>
            <w:tcW w:w="340" w:type="dxa"/>
            <w:tcBorders>
              <w:top w:val="single" w:sz="6" w:space="0" w:color="000000"/>
              <w:left w:val="single" w:sz="6" w:space="0" w:color="000000"/>
              <w:bottom w:val="single" w:sz="6" w:space="0" w:color="000000"/>
              <w:right w:val="single" w:sz="6" w:space="0" w:color="000000"/>
            </w:tcBorders>
          </w:tcPr>
          <w:p>
            <w:pPr/>
          </w:p>
        </w:tc>
        <w:tc>
          <w:tcPr>
            <w:tcW w:w="931" w:type="dxa"/>
            <w:tcBorders>
              <w:top w:val="single" w:sz="6" w:space="0" w:color="000000"/>
              <w:left w:val="single" w:sz="6" w:space="0" w:color="000000"/>
              <w:bottom w:val="single" w:sz="6" w:space="0" w:color="000000"/>
              <w:right w:val="single" w:sz="6" w:space="0" w:color="000000"/>
            </w:tcBorders>
          </w:tcPr>
          <w:p>
            <w:pPr/>
          </w:p>
        </w:tc>
        <w:tc>
          <w:tcPr>
            <w:tcW w:w="1045" w:type="dxa"/>
            <w:tcBorders>
              <w:top w:val="single" w:sz="6" w:space="0" w:color="000000"/>
              <w:left w:val="single" w:sz="6" w:space="0" w:color="000000"/>
              <w:bottom w:val="single" w:sz="6" w:space="0" w:color="000000"/>
              <w:right w:val="single" w:sz="6" w:space="0" w:color="000000"/>
            </w:tcBorders>
          </w:tcPr>
          <w:p>
            <w:pPr/>
          </w:p>
        </w:tc>
        <w:tc>
          <w:tcPr>
            <w:tcW w:w="338"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1"/>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51" w:hRule="exact"/>
        </w:trPr>
        <w:tc>
          <w:tcPr>
            <w:tcW w:w="1081" w:type="dxa"/>
            <w:tcBorders>
              <w:top w:val="single" w:sz="6" w:space="0" w:color="000000"/>
              <w:left w:val="single" w:sz="12" w:space="0" w:color="000000"/>
              <w:bottom w:val="nil" w:sz="6" w:space="0" w:color="auto"/>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pacing w:val="-8"/>
                <w:sz w:val="18"/>
                <w:szCs w:val="18"/>
              </w:rPr>
              <w:t>四、本年年</w:t>
            </w:r>
          </w:p>
        </w:tc>
        <w:tc>
          <w:tcPr>
            <w:tcW w:w="90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84" w:right="0"/>
              <w:jc w:val="left"/>
              <w:rPr>
                <w:rFonts w:ascii="Times New Roman" w:hAnsi="Times New Roman" w:cs="Times New Roman" w:eastAsia="Times New Roman" w:hint="default"/>
                <w:sz w:val="20"/>
                <w:szCs w:val="20"/>
              </w:rPr>
            </w:pPr>
            <w:r>
              <w:rPr>
                <w:rFonts w:ascii="Times New Roman"/>
                <w:sz w:val="20"/>
              </w:rPr>
              <w:t>53,500,</w:t>
            </w:r>
          </w:p>
        </w:tc>
        <w:tc>
          <w:tcPr>
            <w:tcW w:w="92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07" w:right="0"/>
              <w:jc w:val="left"/>
              <w:rPr>
                <w:rFonts w:ascii="Times New Roman" w:hAnsi="Times New Roman" w:cs="Times New Roman" w:eastAsia="Times New Roman" w:hint="default"/>
                <w:sz w:val="20"/>
                <w:szCs w:val="20"/>
              </w:rPr>
            </w:pPr>
            <w:r>
              <w:rPr>
                <w:rFonts w:ascii="Times New Roman"/>
                <w:sz w:val="20"/>
              </w:rPr>
              <w:t>503,182,</w:t>
            </w:r>
          </w:p>
        </w:tc>
        <w:tc>
          <w:tcPr>
            <w:tcW w:w="463" w:type="dxa"/>
            <w:vMerge w:val="restart"/>
            <w:tcBorders>
              <w:top w:val="single" w:sz="6" w:space="0" w:color="000000"/>
              <w:left w:val="single" w:sz="6" w:space="0" w:color="000000"/>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100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right="99"/>
              <w:jc w:val="right"/>
              <w:rPr>
                <w:rFonts w:ascii="Times New Roman" w:hAnsi="Times New Roman" w:cs="Times New Roman" w:eastAsia="Times New Roman" w:hint="default"/>
                <w:sz w:val="20"/>
                <w:szCs w:val="20"/>
              </w:rPr>
            </w:pPr>
            <w:r>
              <w:rPr>
                <w:rFonts w:ascii="Times New Roman"/>
                <w:spacing w:val="-1"/>
                <w:sz w:val="20"/>
              </w:rPr>
              <w:t>12,338,5</w:t>
            </w:r>
            <w:r>
              <w:rPr>
                <w:rFonts w:ascii="Times New Roman"/>
                <w:sz w:val="20"/>
              </w:rPr>
            </w:r>
          </w:p>
        </w:tc>
        <w:tc>
          <w:tcPr>
            <w:tcW w:w="106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52" w:right="0"/>
              <w:jc w:val="left"/>
              <w:rPr>
                <w:rFonts w:ascii="Times New Roman" w:hAnsi="Times New Roman" w:cs="Times New Roman" w:eastAsia="Times New Roman" w:hint="default"/>
                <w:sz w:val="20"/>
                <w:szCs w:val="20"/>
              </w:rPr>
            </w:pPr>
            <w:r>
              <w:rPr>
                <w:rFonts w:ascii="Times New Roman"/>
                <w:sz w:val="20"/>
              </w:rPr>
              <w:t>104,668,1</w:t>
            </w:r>
          </w:p>
        </w:tc>
        <w:tc>
          <w:tcPr>
            <w:tcW w:w="338" w:type="dxa"/>
            <w:tcBorders>
              <w:top w:val="single" w:sz="6" w:space="0" w:color="000000"/>
              <w:left w:val="single" w:sz="6" w:space="0" w:color="000000"/>
              <w:bottom w:val="nil" w:sz="6" w:space="0" w:color="auto"/>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106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52" w:right="0"/>
              <w:jc w:val="left"/>
              <w:rPr>
                <w:rFonts w:ascii="Times New Roman" w:hAnsi="Times New Roman" w:cs="Times New Roman" w:eastAsia="Times New Roman" w:hint="default"/>
                <w:sz w:val="20"/>
                <w:szCs w:val="20"/>
              </w:rPr>
            </w:pPr>
            <w:r>
              <w:rPr>
                <w:rFonts w:ascii="Times New Roman"/>
                <w:sz w:val="20"/>
              </w:rPr>
              <w:t>673,688,7</w:t>
            </w:r>
          </w:p>
        </w:tc>
        <w:tc>
          <w:tcPr>
            <w:tcW w:w="100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84" w:right="0"/>
              <w:jc w:val="left"/>
              <w:rPr>
                <w:rFonts w:ascii="Times New Roman" w:hAnsi="Times New Roman" w:cs="Times New Roman" w:eastAsia="Times New Roman" w:hint="default"/>
                <w:sz w:val="20"/>
                <w:szCs w:val="20"/>
              </w:rPr>
            </w:pPr>
            <w:r>
              <w:rPr>
                <w:rFonts w:ascii="Times New Roman"/>
                <w:sz w:val="20"/>
              </w:rPr>
              <w:t>40,000,0</w:t>
            </w:r>
          </w:p>
        </w:tc>
        <w:tc>
          <w:tcPr>
            <w:tcW w:w="100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84" w:right="0"/>
              <w:jc w:val="left"/>
              <w:rPr>
                <w:rFonts w:ascii="Times New Roman" w:hAnsi="Times New Roman" w:cs="Times New Roman" w:eastAsia="Times New Roman" w:hint="default"/>
                <w:sz w:val="20"/>
                <w:szCs w:val="20"/>
              </w:rPr>
            </w:pPr>
            <w:r>
              <w:rPr>
                <w:rFonts w:ascii="Times New Roman"/>
                <w:sz w:val="20"/>
              </w:rPr>
              <w:t>15,275,9</w:t>
            </w:r>
          </w:p>
        </w:tc>
        <w:tc>
          <w:tcPr>
            <w:tcW w:w="462" w:type="dxa"/>
            <w:vMerge w:val="restart"/>
            <w:tcBorders>
              <w:top w:val="single" w:sz="6" w:space="0" w:color="000000"/>
              <w:left w:val="single" w:sz="6" w:space="0" w:color="000000"/>
              <w:right w:val="single" w:sz="6" w:space="0" w:color="000000"/>
            </w:tcBorders>
          </w:tcPr>
          <w:p>
            <w:pPr/>
          </w:p>
        </w:tc>
        <w:tc>
          <w:tcPr>
            <w:tcW w:w="340" w:type="dxa"/>
            <w:vMerge w:val="restart"/>
            <w:tcBorders>
              <w:top w:val="single" w:sz="6" w:space="0" w:color="000000"/>
              <w:left w:val="single" w:sz="6" w:space="0" w:color="000000"/>
              <w:right w:val="single" w:sz="6" w:space="0" w:color="000000"/>
            </w:tcBorders>
          </w:tcPr>
          <w:p>
            <w:pPr/>
          </w:p>
        </w:tc>
        <w:tc>
          <w:tcPr>
            <w:tcW w:w="93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left="115" w:right="0"/>
              <w:jc w:val="left"/>
              <w:rPr>
                <w:rFonts w:ascii="Times New Roman" w:hAnsi="Times New Roman" w:cs="Times New Roman" w:eastAsia="Times New Roman" w:hint="default"/>
                <w:sz w:val="20"/>
                <w:szCs w:val="20"/>
              </w:rPr>
            </w:pPr>
            <w:r>
              <w:rPr>
                <w:rFonts w:ascii="Times New Roman"/>
                <w:sz w:val="20"/>
              </w:rPr>
              <w:t>6,329,36</w:t>
            </w:r>
          </w:p>
        </w:tc>
        <w:tc>
          <w:tcPr>
            <w:tcW w:w="104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
              <w:ind w:right="99"/>
              <w:jc w:val="right"/>
              <w:rPr>
                <w:rFonts w:ascii="Times New Roman" w:hAnsi="Times New Roman" w:cs="Times New Roman" w:eastAsia="Times New Roman" w:hint="default"/>
                <w:sz w:val="20"/>
                <w:szCs w:val="20"/>
              </w:rPr>
            </w:pPr>
            <w:r>
              <w:rPr>
                <w:rFonts w:ascii="Times New Roman"/>
                <w:spacing w:val="-1"/>
                <w:sz w:val="20"/>
              </w:rPr>
              <w:t>49,172,37</w:t>
            </w:r>
          </w:p>
        </w:tc>
        <w:tc>
          <w:tcPr>
            <w:tcW w:w="338" w:type="dxa"/>
            <w:tcBorders>
              <w:top w:val="single" w:sz="6" w:space="0" w:color="000000"/>
              <w:left w:val="single" w:sz="6" w:space="0" w:color="000000"/>
              <w:bottom w:val="nil" w:sz="6" w:space="0" w:color="auto"/>
              <w:right w:val="single" w:sz="6" w:space="0" w:color="000000"/>
            </w:tcBorders>
          </w:tcPr>
          <w:p>
            <w:pPr/>
          </w:p>
        </w:tc>
        <w:tc>
          <w:tcPr>
            <w:tcW w:w="985"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4"/>
              <w:ind w:left="152" w:right="0"/>
              <w:jc w:val="left"/>
              <w:rPr>
                <w:rFonts w:ascii="Arial Narrow" w:hAnsi="Arial Narrow" w:cs="Arial Narrow" w:eastAsia="Arial Narrow" w:hint="default"/>
                <w:sz w:val="20"/>
                <w:szCs w:val="20"/>
              </w:rPr>
            </w:pPr>
            <w:r>
              <w:rPr>
                <w:rFonts w:ascii="Arial Narrow"/>
                <w:spacing w:val="-3"/>
                <w:sz w:val="20"/>
              </w:rPr>
              <w:t>110,777,7</w:t>
            </w:r>
            <w:r>
              <w:rPr>
                <w:rFonts w:ascii="Arial Narrow"/>
                <w:sz w:val="20"/>
              </w:rPr>
            </w:r>
          </w:p>
        </w:tc>
      </w:tr>
      <w:tr>
        <w:trPr>
          <w:trHeight w:val="238" w:hRule="exact"/>
        </w:trPr>
        <w:tc>
          <w:tcPr>
            <w:tcW w:w="1081" w:type="dxa"/>
            <w:tcBorders>
              <w:top w:val="nil" w:sz="6" w:space="0" w:color="auto"/>
              <w:left w:val="single" w:sz="12" w:space="0" w:color="000000"/>
              <w:bottom w:val="single" w:sz="12" w:space="0" w:color="000000"/>
              <w:right w:val="single" w:sz="6" w:space="0" w:color="000000"/>
            </w:tcBorders>
          </w:tcPr>
          <w:p>
            <w:pPr>
              <w:pStyle w:val="TableParagraph"/>
              <w:spacing w:line="196" w:lineRule="exact"/>
              <w:ind w:left="93" w:right="0"/>
              <w:jc w:val="left"/>
              <w:rPr>
                <w:rFonts w:ascii="宋体" w:hAnsi="宋体" w:cs="宋体" w:eastAsia="宋体" w:hint="default"/>
                <w:sz w:val="18"/>
                <w:szCs w:val="18"/>
              </w:rPr>
            </w:pPr>
            <w:r>
              <w:rPr>
                <w:rFonts w:ascii="宋体" w:hAnsi="宋体" w:cs="宋体" w:eastAsia="宋体" w:hint="default"/>
                <w:sz w:val="18"/>
                <w:szCs w:val="18"/>
              </w:rPr>
              <w:t>末余额</w:t>
            </w:r>
          </w:p>
        </w:tc>
        <w:tc>
          <w:tcPr>
            <w:tcW w:w="900"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left="233" w:right="0"/>
              <w:jc w:val="left"/>
              <w:rPr>
                <w:rFonts w:ascii="Times New Roman" w:hAnsi="Times New Roman" w:cs="Times New Roman" w:eastAsia="Times New Roman" w:hint="default"/>
                <w:sz w:val="20"/>
                <w:szCs w:val="20"/>
              </w:rPr>
            </w:pPr>
            <w:r>
              <w:rPr>
                <w:rFonts w:ascii="Times New Roman"/>
                <w:sz w:val="20"/>
              </w:rPr>
              <w:t>000.00</w:t>
            </w:r>
          </w:p>
        </w:tc>
        <w:tc>
          <w:tcPr>
            <w:tcW w:w="923"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left="256" w:right="0"/>
              <w:jc w:val="left"/>
              <w:rPr>
                <w:rFonts w:ascii="Times New Roman" w:hAnsi="Times New Roman" w:cs="Times New Roman" w:eastAsia="Times New Roman" w:hint="default"/>
                <w:sz w:val="20"/>
                <w:szCs w:val="20"/>
              </w:rPr>
            </w:pPr>
            <w:r>
              <w:rPr>
                <w:rFonts w:ascii="Times New Roman"/>
                <w:sz w:val="20"/>
              </w:rPr>
              <w:t>020.13</w:t>
            </w:r>
          </w:p>
        </w:tc>
        <w:tc>
          <w:tcPr>
            <w:tcW w:w="463" w:type="dxa"/>
            <w:vMerge/>
            <w:tcBorders>
              <w:left w:val="single" w:sz="6" w:space="0" w:color="000000"/>
              <w:bottom w:val="single" w:sz="12" w:space="0" w:color="000000"/>
              <w:right w:val="single" w:sz="6" w:space="0" w:color="000000"/>
            </w:tcBorders>
          </w:tcPr>
          <w:p>
            <w:pPr/>
          </w:p>
        </w:tc>
        <w:tc>
          <w:tcPr>
            <w:tcW w:w="340" w:type="dxa"/>
            <w:vMerge/>
            <w:tcBorders>
              <w:left w:val="single" w:sz="6" w:space="0" w:color="000000"/>
              <w:bottom w:val="single" w:sz="12" w:space="0" w:color="000000"/>
              <w:right w:val="single" w:sz="6" w:space="0" w:color="000000"/>
            </w:tcBorders>
          </w:tcPr>
          <w:p>
            <w:pPr/>
          </w:p>
        </w:tc>
        <w:tc>
          <w:tcPr>
            <w:tcW w:w="1000"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9"/>
              <w:jc w:val="right"/>
              <w:rPr>
                <w:rFonts w:ascii="Times New Roman" w:hAnsi="Times New Roman" w:cs="Times New Roman" w:eastAsia="Times New Roman" w:hint="default"/>
                <w:sz w:val="20"/>
                <w:szCs w:val="20"/>
              </w:rPr>
            </w:pPr>
            <w:r>
              <w:rPr>
                <w:rFonts w:ascii="Times New Roman"/>
                <w:spacing w:val="-1"/>
                <w:sz w:val="20"/>
              </w:rPr>
              <w:t>91.73</w:t>
            </w:r>
            <w:r>
              <w:rPr>
                <w:rFonts w:ascii="Times New Roman"/>
                <w:sz w:val="20"/>
              </w:rPr>
            </w:r>
          </w:p>
        </w:tc>
        <w:tc>
          <w:tcPr>
            <w:tcW w:w="1068"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9"/>
              <w:jc w:val="right"/>
              <w:rPr>
                <w:rFonts w:ascii="Times New Roman" w:hAnsi="Times New Roman" w:cs="Times New Roman" w:eastAsia="Times New Roman" w:hint="default"/>
                <w:sz w:val="20"/>
                <w:szCs w:val="20"/>
              </w:rPr>
            </w:pPr>
            <w:r>
              <w:rPr>
                <w:rFonts w:ascii="Times New Roman"/>
                <w:spacing w:val="-1"/>
                <w:sz w:val="20"/>
              </w:rPr>
              <w:t>22.97</w:t>
            </w:r>
            <w:r>
              <w:rPr>
                <w:rFonts w:ascii="Times New Roman"/>
                <w:sz w:val="20"/>
              </w:rPr>
            </w:r>
          </w:p>
        </w:tc>
        <w:tc>
          <w:tcPr>
            <w:tcW w:w="338"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9"/>
              <w:jc w:val="right"/>
              <w:rPr>
                <w:rFonts w:ascii="Times New Roman" w:hAnsi="Times New Roman" w:cs="Times New Roman" w:eastAsia="Times New Roman" w:hint="default"/>
                <w:sz w:val="20"/>
                <w:szCs w:val="20"/>
              </w:rPr>
            </w:pPr>
            <w:r>
              <w:rPr>
                <w:rFonts w:ascii="Times New Roman"/>
                <w:w w:val="100"/>
                <w:sz w:val="20"/>
              </w:rPr>
              <w:t>-</w:t>
            </w:r>
          </w:p>
        </w:tc>
        <w:tc>
          <w:tcPr>
            <w:tcW w:w="340" w:type="dxa"/>
            <w:vMerge/>
            <w:tcBorders>
              <w:left w:val="single" w:sz="6" w:space="0" w:color="000000"/>
              <w:bottom w:val="single" w:sz="12" w:space="0" w:color="000000"/>
              <w:right w:val="single" w:sz="6" w:space="0" w:color="000000"/>
            </w:tcBorders>
          </w:tcPr>
          <w:p>
            <w:pPr/>
          </w:p>
        </w:tc>
        <w:tc>
          <w:tcPr>
            <w:tcW w:w="1068"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9"/>
              <w:jc w:val="right"/>
              <w:rPr>
                <w:rFonts w:ascii="Times New Roman" w:hAnsi="Times New Roman" w:cs="Times New Roman" w:eastAsia="Times New Roman" w:hint="default"/>
                <w:sz w:val="20"/>
                <w:szCs w:val="20"/>
              </w:rPr>
            </w:pPr>
            <w:r>
              <w:rPr>
                <w:rFonts w:ascii="Times New Roman"/>
                <w:spacing w:val="-1"/>
                <w:sz w:val="20"/>
              </w:rPr>
              <w:t>34.83</w:t>
            </w:r>
            <w:r>
              <w:rPr>
                <w:rFonts w:ascii="Times New Roman"/>
                <w:sz w:val="20"/>
              </w:rPr>
            </w:r>
          </w:p>
        </w:tc>
        <w:tc>
          <w:tcPr>
            <w:tcW w:w="1000"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9"/>
              <w:jc w:val="right"/>
              <w:rPr>
                <w:rFonts w:ascii="Times New Roman" w:hAnsi="Times New Roman" w:cs="Times New Roman" w:eastAsia="Times New Roman" w:hint="default"/>
                <w:sz w:val="20"/>
                <w:szCs w:val="20"/>
              </w:rPr>
            </w:pPr>
            <w:r>
              <w:rPr>
                <w:rFonts w:ascii="Times New Roman"/>
                <w:spacing w:val="-1"/>
                <w:sz w:val="20"/>
              </w:rPr>
              <w:t>00.00</w:t>
            </w:r>
            <w:r>
              <w:rPr>
                <w:rFonts w:ascii="Times New Roman"/>
                <w:sz w:val="20"/>
              </w:rPr>
            </w:r>
          </w:p>
        </w:tc>
        <w:tc>
          <w:tcPr>
            <w:tcW w:w="1001"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100"/>
              <w:jc w:val="right"/>
              <w:rPr>
                <w:rFonts w:ascii="Times New Roman" w:hAnsi="Times New Roman" w:cs="Times New Roman" w:eastAsia="Times New Roman" w:hint="default"/>
                <w:sz w:val="20"/>
                <w:szCs w:val="20"/>
              </w:rPr>
            </w:pPr>
            <w:r>
              <w:rPr>
                <w:rFonts w:ascii="Times New Roman"/>
                <w:spacing w:val="-1"/>
                <w:sz w:val="20"/>
              </w:rPr>
              <w:t>85.13</w:t>
            </w:r>
            <w:r>
              <w:rPr>
                <w:rFonts w:ascii="Times New Roman"/>
                <w:sz w:val="20"/>
              </w:rPr>
            </w:r>
          </w:p>
        </w:tc>
        <w:tc>
          <w:tcPr>
            <w:tcW w:w="462" w:type="dxa"/>
            <w:vMerge/>
            <w:tcBorders>
              <w:left w:val="single" w:sz="6" w:space="0" w:color="000000"/>
              <w:bottom w:val="single" w:sz="12" w:space="0" w:color="000000"/>
              <w:right w:val="single" w:sz="6" w:space="0" w:color="000000"/>
            </w:tcBorders>
          </w:tcPr>
          <w:p>
            <w:pPr/>
          </w:p>
        </w:tc>
        <w:tc>
          <w:tcPr>
            <w:tcW w:w="340" w:type="dxa"/>
            <w:vMerge/>
            <w:tcBorders>
              <w:left w:val="single" w:sz="6" w:space="0" w:color="000000"/>
              <w:bottom w:val="single" w:sz="12" w:space="0" w:color="000000"/>
              <w:right w:val="single" w:sz="6" w:space="0" w:color="000000"/>
            </w:tcBorders>
          </w:tcPr>
          <w:p>
            <w:pPr/>
          </w:p>
        </w:tc>
        <w:tc>
          <w:tcPr>
            <w:tcW w:w="931"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left="464" w:right="0"/>
              <w:jc w:val="left"/>
              <w:rPr>
                <w:rFonts w:ascii="Times New Roman" w:hAnsi="Times New Roman" w:cs="Times New Roman" w:eastAsia="Times New Roman" w:hint="default"/>
                <w:sz w:val="20"/>
                <w:szCs w:val="20"/>
              </w:rPr>
            </w:pPr>
            <w:r>
              <w:rPr>
                <w:rFonts w:ascii="Times New Roman"/>
                <w:sz w:val="20"/>
              </w:rPr>
              <w:t>2.41</w:t>
            </w:r>
          </w:p>
        </w:tc>
        <w:tc>
          <w:tcPr>
            <w:tcW w:w="1045" w:type="dxa"/>
            <w:tcBorders>
              <w:top w:val="nil" w:sz="6" w:space="0" w:color="auto"/>
              <w:left w:val="single" w:sz="6" w:space="0" w:color="000000"/>
              <w:bottom w:val="single" w:sz="12" w:space="0" w:color="000000"/>
              <w:right w:val="single" w:sz="6" w:space="0" w:color="000000"/>
            </w:tcBorders>
          </w:tcPr>
          <w:p>
            <w:pPr>
              <w:pStyle w:val="TableParagraph"/>
              <w:spacing w:line="219" w:lineRule="exact"/>
              <w:ind w:right="98"/>
              <w:jc w:val="right"/>
              <w:rPr>
                <w:rFonts w:ascii="Times New Roman" w:hAnsi="Times New Roman" w:cs="Times New Roman" w:eastAsia="Times New Roman" w:hint="default"/>
                <w:sz w:val="20"/>
                <w:szCs w:val="20"/>
              </w:rPr>
            </w:pPr>
            <w:r>
              <w:rPr>
                <w:rFonts w:ascii="Times New Roman"/>
                <w:spacing w:val="-1"/>
                <w:sz w:val="20"/>
              </w:rPr>
              <w:t>0.51</w:t>
            </w:r>
          </w:p>
        </w:tc>
        <w:tc>
          <w:tcPr>
            <w:tcW w:w="338" w:type="dxa"/>
            <w:tcBorders>
              <w:top w:val="nil" w:sz="6" w:space="0" w:color="auto"/>
              <w:left w:val="single" w:sz="6" w:space="0" w:color="000000"/>
              <w:bottom w:val="single" w:sz="12" w:space="0" w:color="000000"/>
              <w:right w:val="single" w:sz="6" w:space="0" w:color="000000"/>
            </w:tcBorders>
          </w:tcPr>
          <w:p>
            <w:pPr>
              <w:pStyle w:val="TableParagraph"/>
              <w:spacing w:line="220" w:lineRule="exact"/>
              <w:ind w:right="100"/>
              <w:jc w:val="right"/>
              <w:rPr>
                <w:rFonts w:ascii="Arial Narrow" w:hAnsi="Arial Narrow" w:cs="Arial Narrow" w:eastAsia="Arial Narrow" w:hint="default"/>
                <w:sz w:val="20"/>
                <w:szCs w:val="20"/>
              </w:rPr>
            </w:pPr>
            <w:r>
              <w:rPr>
                <w:rFonts w:ascii="Arial Narrow"/>
                <w:w w:val="100"/>
                <w:sz w:val="20"/>
              </w:rPr>
              <w:t>-</w:t>
            </w:r>
          </w:p>
        </w:tc>
        <w:tc>
          <w:tcPr>
            <w:tcW w:w="985" w:type="dxa"/>
            <w:tcBorders>
              <w:top w:val="nil" w:sz="6" w:space="0" w:color="auto"/>
              <w:left w:val="single" w:sz="6" w:space="0" w:color="000000"/>
              <w:bottom w:val="single" w:sz="12" w:space="0" w:color="000000"/>
              <w:right w:val="single" w:sz="12" w:space="0" w:color="000000"/>
            </w:tcBorders>
          </w:tcPr>
          <w:p>
            <w:pPr>
              <w:pStyle w:val="TableParagraph"/>
              <w:spacing w:line="220" w:lineRule="exact"/>
              <w:ind w:right="90"/>
              <w:jc w:val="right"/>
              <w:rPr>
                <w:rFonts w:ascii="Arial Narrow" w:hAnsi="Arial Narrow" w:cs="Arial Narrow" w:eastAsia="Arial Narrow" w:hint="default"/>
                <w:sz w:val="20"/>
                <w:szCs w:val="20"/>
              </w:rPr>
            </w:pPr>
            <w:r>
              <w:rPr>
                <w:rFonts w:ascii="Arial Narrow"/>
                <w:spacing w:val="-1"/>
                <w:sz w:val="20"/>
              </w:rPr>
              <w:t>18.05</w:t>
            </w:r>
            <w:r>
              <w:rPr>
                <w:rFonts w:ascii="Arial Narrow"/>
                <w:sz w:val="20"/>
              </w:rPr>
            </w:r>
          </w:p>
        </w:tc>
      </w:tr>
    </w:tbl>
    <w:p>
      <w:pPr>
        <w:tabs>
          <w:tab w:pos="5500" w:val="left" w:leader="none"/>
          <w:tab w:pos="11352" w:val="left" w:leader="none"/>
        </w:tabs>
        <w:spacing w:line="241" w:lineRule="exact" w:before="0"/>
        <w:ind w:left="486" w:right="0" w:firstLine="0"/>
        <w:jc w:val="left"/>
        <w:rPr>
          <w:rFonts w:ascii="宋体" w:hAnsi="宋体" w:cs="宋体" w:eastAsia="宋体" w:hint="default"/>
          <w:sz w:val="21"/>
          <w:szCs w:val="21"/>
        </w:rPr>
      </w:pPr>
      <w:r>
        <w:rPr>
          <w:rFonts w:ascii="宋体" w:hAnsi="宋体" w:cs="宋体" w:eastAsia="宋体" w:hint="default"/>
          <w:spacing w:val="-3"/>
          <w:sz w:val="21"/>
          <w:szCs w:val="21"/>
        </w:rPr>
        <w:t>法定代表人：刘祥南</w:t>
        <w:tab/>
        <w:t>主管会计工作负责人：张乃军</w:t>
        <w:tab/>
        <w:t>会计机构负责人：陈志友</w:t>
      </w:r>
    </w:p>
    <w:p>
      <w:pPr>
        <w:spacing w:after="0" w:line="241" w:lineRule="exact"/>
        <w:jc w:val="left"/>
        <w:rPr>
          <w:rFonts w:ascii="宋体" w:hAnsi="宋体" w:cs="宋体" w:eastAsia="宋体" w:hint="default"/>
          <w:sz w:val="21"/>
          <w:szCs w:val="21"/>
        </w:rPr>
        <w:sectPr>
          <w:pgSz w:w="15840" w:h="12240" w:orient="landscape"/>
          <w:pgMar w:header="0" w:footer="688" w:top="1140" w:bottom="880" w:left="760" w:right="12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pStyle w:val="Heading1"/>
        <w:spacing w:line="240" w:lineRule="auto" w:before="1"/>
        <w:ind w:left="5436" w:right="5190"/>
        <w:jc w:val="center"/>
        <w:rPr>
          <w:rFonts w:ascii="宋体" w:hAnsi="宋体" w:cs="宋体" w:eastAsia="宋体" w:hint="default"/>
          <w:b w:val="0"/>
          <w:bCs w:val="0"/>
        </w:rPr>
      </w:pPr>
      <w:r>
        <w:rPr>
          <w:rFonts w:ascii="宋体" w:hAnsi="宋体" w:cs="宋体" w:eastAsia="宋体" w:hint="default"/>
        </w:rPr>
        <w:t>母公司股东权益变动表</w:t>
      </w:r>
      <w:r>
        <w:rPr>
          <w:rFonts w:ascii="宋体" w:hAnsi="宋体" w:cs="宋体" w:eastAsia="宋体" w:hint="default"/>
          <w:b w:val="0"/>
          <w:bCs w:val="0"/>
        </w:rPr>
      </w:r>
    </w:p>
    <w:p>
      <w:pPr>
        <w:spacing w:line="240" w:lineRule="auto" w:before="4"/>
        <w:rPr>
          <w:rFonts w:ascii="宋体" w:hAnsi="宋体" w:cs="宋体" w:eastAsia="宋体" w:hint="default"/>
          <w:b/>
          <w:bCs/>
          <w:sz w:val="14"/>
          <w:szCs w:val="14"/>
        </w:rPr>
      </w:pPr>
    </w:p>
    <w:p>
      <w:pPr>
        <w:spacing w:before="35"/>
        <w:ind w:left="5436" w:right="5190" w:firstLine="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p>
      <w:pPr>
        <w:spacing w:before="118"/>
        <w:ind w:left="0" w:right="238" w:firstLine="0"/>
        <w:jc w:val="right"/>
        <w:rPr>
          <w:rFonts w:ascii="宋体" w:hAnsi="宋体" w:cs="宋体" w:eastAsia="宋体" w:hint="default"/>
          <w:sz w:val="21"/>
          <w:szCs w:val="21"/>
        </w:rPr>
      </w:pPr>
      <w:r>
        <w:rPr>
          <w:rFonts w:ascii="宋体" w:hAnsi="宋体" w:cs="宋体" w:eastAsia="宋体" w:hint="default"/>
          <w:sz w:val="21"/>
          <w:szCs w:val="21"/>
        </w:rPr>
        <w:t>会合</w:t>
      </w:r>
      <w:r>
        <w:rPr>
          <w:rFonts w:ascii="宋体" w:hAnsi="宋体" w:cs="宋体" w:eastAsia="宋体" w:hint="default"/>
          <w:spacing w:val="-54"/>
          <w:sz w:val="21"/>
          <w:szCs w:val="21"/>
        </w:rPr>
        <w:t> </w:t>
      </w:r>
      <w:r>
        <w:rPr>
          <w:rFonts w:ascii="Arial" w:hAnsi="Arial" w:cs="Arial" w:eastAsia="Arial" w:hint="default"/>
          <w:sz w:val="21"/>
          <w:szCs w:val="21"/>
        </w:rPr>
        <w:t>04</w:t>
      </w:r>
      <w:r>
        <w:rPr>
          <w:rFonts w:ascii="Arial" w:hAnsi="Arial" w:cs="Arial" w:eastAsia="Arial" w:hint="default"/>
          <w:spacing w:val="-7"/>
          <w:sz w:val="21"/>
          <w:szCs w:val="21"/>
        </w:rPr>
        <w:t> </w:t>
      </w:r>
      <w:r>
        <w:rPr>
          <w:rFonts w:ascii="宋体" w:hAnsi="宋体" w:cs="宋体" w:eastAsia="宋体" w:hint="default"/>
          <w:sz w:val="21"/>
          <w:szCs w:val="21"/>
        </w:rPr>
        <w:t>表</w:t>
      </w:r>
    </w:p>
    <w:p>
      <w:pPr>
        <w:tabs>
          <w:tab w:pos="12204" w:val="left" w:leader="none"/>
        </w:tabs>
        <w:spacing w:before="118"/>
        <w:ind w:left="486" w:right="0" w:firstLine="0"/>
        <w:jc w:val="left"/>
        <w:rPr>
          <w:rFonts w:ascii="宋体" w:hAnsi="宋体" w:cs="宋体" w:eastAsia="宋体" w:hint="default"/>
          <w:sz w:val="21"/>
          <w:szCs w:val="21"/>
        </w:rPr>
      </w:pPr>
      <w:r>
        <w:rPr>
          <w:rFonts w:ascii="宋体" w:hAnsi="宋体" w:cs="宋体" w:eastAsia="宋体" w:hint="default"/>
          <w:spacing w:val="-2"/>
          <w:sz w:val="21"/>
          <w:szCs w:val="21"/>
        </w:rPr>
        <w:t>编制单位：厦门市美亚柏科信息股份有限公司</w:t>
        <w:tab/>
      </w:r>
      <w:r>
        <w:rPr>
          <w:rFonts w:ascii="宋体" w:hAnsi="宋体" w:cs="宋体" w:eastAsia="宋体" w:hint="default"/>
          <w:spacing w:val="-6"/>
          <w:sz w:val="21"/>
          <w:szCs w:val="21"/>
        </w:rPr>
        <w:t>单位：人民币元</w:t>
      </w:r>
    </w:p>
    <w:p>
      <w:pPr>
        <w:spacing w:line="240" w:lineRule="auto" w:before="11"/>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901"/>
        <w:gridCol w:w="900"/>
        <w:gridCol w:w="892"/>
        <w:gridCol w:w="486"/>
        <w:gridCol w:w="352"/>
        <w:gridCol w:w="1002"/>
        <w:gridCol w:w="1070"/>
        <w:gridCol w:w="353"/>
        <w:gridCol w:w="352"/>
        <w:gridCol w:w="1072"/>
        <w:gridCol w:w="1002"/>
        <w:gridCol w:w="1002"/>
        <w:gridCol w:w="486"/>
        <w:gridCol w:w="353"/>
        <w:gridCol w:w="934"/>
        <w:gridCol w:w="1054"/>
        <w:gridCol w:w="352"/>
        <w:gridCol w:w="1061"/>
      </w:tblGrid>
      <w:tr>
        <w:trPr>
          <w:trHeight w:val="401" w:hRule="exact"/>
        </w:trPr>
        <w:tc>
          <w:tcPr>
            <w:tcW w:w="901"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6478" w:type="dxa"/>
            <w:gridSpan w:val="9"/>
            <w:tcBorders>
              <w:top w:val="single" w:sz="12" w:space="0" w:color="000000"/>
              <w:left w:val="single" w:sz="6" w:space="0" w:color="000000"/>
              <w:bottom w:val="single" w:sz="6" w:space="0" w:color="000000"/>
              <w:right w:val="single" w:sz="6"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b/>
                <w:bCs/>
                <w:sz w:val="18"/>
                <w:szCs w:val="18"/>
              </w:rPr>
              <w:t>本年金额</w:t>
            </w:r>
            <w:r>
              <w:rPr>
                <w:rFonts w:ascii="宋体" w:hAnsi="宋体" w:cs="宋体" w:eastAsia="宋体" w:hint="default"/>
                <w:sz w:val="18"/>
                <w:szCs w:val="18"/>
              </w:rPr>
            </w:r>
          </w:p>
        </w:tc>
        <w:tc>
          <w:tcPr>
            <w:tcW w:w="6243" w:type="dxa"/>
            <w:gridSpan w:val="8"/>
            <w:tcBorders>
              <w:top w:val="single" w:sz="12" w:space="0" w:color="000000"/>
              <w:left w:val="single" w:sz="6" w:space="0" w:color="000000"/>
              <w:bottom w:val="single" w:sz="6" w:space="0" w:color="000000"/>
              <w:right w:val="single" w:sz="12" w:space="0" w:color="000000"/>
            </w:tcBorders>
          </w:tcPr>
          <w:p>
            <w:pPr>
              <w:pStyle w:val="TableParagraph"/>
              <w:spacing w:line="240" w:lineRule="auto" w:before="41"/>
              <w:ind w:left="7"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394" w:hRule="exact"/>
        </w:trPr>
        <w:tc>
          <w:tcPr>
            <w:tcW w:w="901" w:type="dxa"/>
            <w:vMerge/>
            <w:tcBorders>
              <w:left w:val="single" w:sz="12" w:space="0" w:color="000000"/>
              <w:right w:val="single" w:sz="6" w:space="0" w:color="000000"/>
            </w:tcBorders>
          </w:tcPr>
          <w:p>
            <w:pPr/>
          </w:p>
        </w:tc>
        <w:tc>
          <w:tcPr>
            <w:tcW w:w="5054"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525"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352" w:type="dxa"/>
            <w:vMerge w:val="restart"/>
            <w:tcBorders>
              <w:top w:val="single" w:sz="6" w:space="0" w:color="000000"/>
              <w:left w:val="single" w:sz="6" w:space="0" w:color="000000"/>
              <w:right w:val="single" w:sz="6" w:space="0" w:color="000000"/>
            </w:tcBorders>
          </w:tcPr>
          <w:p>
            <w:pPr>
              <w:pStyle w:val="TableParagraph"/>
              <w:spacing w:line="237" w:lineRule="auto" w:before="45"/>
              <w:ind w:left="101" w:right="53"/>
              <w:jc w:val="both"/>
              <w:rPr>
                <w:rFonts w:ascii="宋体" w:hAnsi="宋体" w:cs="宋体" w:eastAsia="宋体" w:hint="default"/>
                <w:sz w:val="18"/>
                <w:szCs w:val="18"/>
              </w:rPr>
            </w:pPr>
            <w:r>
              <w:rPr>
                <w:rFonts w:ascii="宋体" w:hAnsi="宋体" w:cs="宋体" w:eastAsia="宋体" w:hint="default"/>
                <w:b/>
                <w:bCs/>
                <w:sz w:val="18"/>
                <w:szCs w:val="18"/>
              </w:rPr>
              <w:t>少</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b/>
                <w:bCs/>
                <w:w w:val="99"/>
                <w:sz w:val="18"/>
                <w:szCs w:val="18"/>
              </w:rPr>
              <w:t> </w:t>
            </w:r>
            <w:r>
              <w:rPr>
                <w:rFonts w:ascii="宋体" w:hAnsi="宋体" w:cs="宋体" w:eastAsia="宋体" w:hint="default"/>
                <w:b/>
                <w:bCs/>
                <w:sz w:val="18"/>
                <w:szCs w:val="18"/>
              </w:rPr>
              <w:t>东</w:t>
            </w:r>
            <w:r>
              <w:rPr>
                <w:rFonts w:ascii="宋体" w:hAnsi="宋体" w:cs="宋体" w:eastAsia="宋体" w:hint="default"/>
                <w:b/>
                <w:bCs/>
                <w:w w:val="99"/>
                <w:sz w:val="18"/>
                <w:szCs w:val="18"/>
              </w:rPr>
              <w:t> </w:t>
            </w:r>
            <w:r>
              <w:rPr>
                <w:rFonts w:ascii="宋体" w:hAnsi="宋体" w:cs="宋体" w:eastAsia="宋体" w:hint="default"/>
                <w:b/>
                <w:bCs/>
                <w:sz w:val="18"/>
                <w:szCs w:val="18"/>
              </w:rPr>
              <w:t>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0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37" w:lineRule="auto" w:before="159"/>
              <w:ind w:left="347" w:right="165" w:hanging="181"/>
              <w:jc w:val="left"/>
              <w:rPr>
                <w:rFonts w:ascii="宋体" w:hAnsi="宋体" w:cs="宋体" w:eastAsia="宋体" w:hint="default"/>
                <w:sz w:val="18"/>
                <w:szCs w:val="18"/>
              </w:rPr>
            </w:pPr>
            <w:r>
              <w:rPr>
                <w:rFonts w:ascii="宋体" w:hAnsi="宋体" w:cs="宋体" w:eastAsia="宋体" w:hint="default"/>
                <w:b/>
                <w:bCs/>
                <w:sz w:val="18"/>
                <w:szCs w:val="18"/>
              </w:rPr>
              <w:t>所有者权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b/>
                <w:bCs/>
                <w:w w:val="99"/>
                <w:sz w:val="18"/>
                <w:szCs w:val="18"/>
              </w:rPr>
              <w:t> </w:t>
            </w:r>
            <w:r>
              <w:rPr>
                <w:rFonts w:ascii="宋体" w:hAnsi="宋体" w:cs="宋体" w:eastAsia="宋体" w:hint="default"/>
                <w:b/>
                <w:bCs/>
                <w:sz w:val="18"/>
                <w:szCs w:val="18"/>
              </w:rPr>
              <w:t>合计</w:t>
            </w:r>
            <w:r>
              <w:rPr>
                <w:rFonts w:ascii="宋体" w:hAnsi="宋体" w:cs="宋体" w:eastAsia="宋体" w:hint="default"/>
                <w:sz w:val="18"/>
                <w:szCs w:val="18"/>
              </w:rPr>
            </w:r>
          </w:p>
        </w:tc>
        <w:tc>
          <w:tcPr>
            <w:tcW w:w="5182" w:type="dxa"/>
            <w:gridSpan w:val="7"/>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588" w:right="0"/>
              <w:jc w:val="left"/>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061"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32" w:lineRule="exact"/>
              <w:ind w:left="252" w:right="151" w:hanging="90"/>
              <w:jc w:val="left"/>
              <w:rPr>
                <w:rFonts w:ascii="宋体" w:hAnsi="宋体" w:cs="宋体" w:eastAsia="宋体" w:hint="default"/>
                <w:sz w:val="18"/>
                <w:szCs w:val="18"/>
              </w:rPr>
            </w:pPr>
            <w:r>
              <w:rPr>
                <w:rFonts w:ascii="宋体" w:hAnsi="宋体" w:cs="宋体" w:eastAsia="宋体" w:hint="default"/>
                <w:b/>
                <w:bCs/>
                <w:sz w:val="18"/>
                <w:szCs w:val="18"/>
              </w:rPr>
              <w:t>所有者权</w:t>
            </w:r>
            <w:r>
              <w:rPr>
                <w:rFonts w:ascii="宋体" w:hAnsi="宋体" w:cs="宋体" w:eastAsia="宋体" w:hint="default"/>
                <w:b/>
                <w:bCs/>
                <w:w w:val="99"/>
                <w:sz w:val="18"/>
                <w:szCs w:val="18"/>
              </w:rPr>
              <w:t> </w:t>
            </w:r>
            <w:r>
              <w:rPr>
                <w:rFonts w:ascii="宋体" w:hAnsi="宋体" w:cs="宋体" w:eastAsia="宋体" w:hint="default"/>
                <w:b/>
                <w:bCs/>
                <w:sz w:val="18"/>
                <w:szCs w:val="18"/>
              </w:rPr>
              <w:t>益合计</w:t>
            </w:r>
            <w:r>
              <w:rPr>
                <w:rFonts w:ascii="宋体" w:hAnsi="宋体" w:cs="宋体" w:eastAsia="宋体" w:hint="default"/>
                <w:sz w:val="18"/>
                <w:szCs w:val="18"/>
              </w:rPr>
            </w:r>
          </w:p>
        </w:tc>
      </w:tr>
      <w:tr>
        <w:trPr>
          <w:trHeight w:val="1182" w:hRule="exact"/>
        </w:trPr>
        <w:tc>
          <w:tcPr>
            <w:tcW w:w="901" w:type="dxa"/>
            <w:vMerge/>
            <w:tcBorders>
              <w:left w:val="single" w:sz="12"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351" w:right="168" w:hanging="180"/>
              <w:jc w:val="left"/>
              <w:rPr>
                <w:rFonts w:ascii="宋体" w:hAnsi="宋体" w:cs="宋体" w:eastAsia="宋体" w:hint="default"/>
                <w:sz w:val="18"/>
                <w:szCs w:val="18"/>
              </w:rPr>
            </w:pPr>
            <w:r>
              <w:rPr>
                <w:rFonts w:ascii="宋体" w:hAnsi="宋体" w:cs="宋体" w:eastAsia="宋体" w:hint="default"/>
                <w:b/>
                <w:bCs/>
                <w:sz w:val="18"/>
                <w:szCs w:val="18"/>
              </w:rPr>
              <w:t>实收资</w:t>
            </w:r>
            <w:r>
              <w:rPr>
                <w:rFonts w:ascii="宋体" w:hAnsi="宋体" w:cs="宋体" w:eastAsia="宋体" w:hint="default"/>
                <w:b/>
                <w:bCs/>
                <w:spacing w:val="1"/>
                <w:w w:val="99"/>
                <w:sz w:val="18"/>
                <w:szCs w:val="18"/>
              </w:rPr>
              <w:t> </w:t>
            </w:r>
            <w:r>
              <w:rPr>
                <w:rFonts w:ascii="宋体" w:hAnsi="宋体" w:cs="宋体" w:eastAsia="宋体" w:hint="default"/>
                <w:b/>
                <w:bCs/>
                <w:sz w:val="18"/>
                <w:szCs w:val="18"/>
              </w:rPr>
              <w:t>本</w:t>
            </w:r>
            <w:r>
              <w:rPr>
                <w:rFonts w:ascii="宋体" w:hAnsi="宋体" w:cs="宋体" w:eastAsia="宋体" w:hint="default"/>
                <w:sz w:val="18"/>
                <w:szCs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348" w:right="164" w:hanging="182"/>
              <w:jc w:val="left"/>
              <w:rPr>
                <w:rFonts w:ascii="宋体" w:hAnsi="宋体" w:cs="宋体" w:eastAsia="宋体" w:hint="default"/>
                <w:sz w:val="18"/>
                <w:szCs w:val="18"/>
              </w:rPr>
            </w:pPr>
            <w:r>
              <w:rPr>
                <w:rFonts w:ascii="宋体" w:hAnsi="宋体" w:cs="宋体" w:eastAsia="宋体" w:hint="default"/>
                <w:b/>
                <w:bCs/>
                <w:sz w:val="18"/>
                <w:szCs w:val="18"/>
              </w:rPr>
              <w:t>资本公</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积</w:t>
            </w:r>
            <w:r>
              <w:rPr>
                <w:rFonts w:ascii="宋体" w:hAnsi="宋体" w:cs="宋体" w:eastAsia="宋体" w:hint="default"/>
                <w:sz w:val="18"/>
                <w:szCs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45" w:right="0"/>
              <w:jc w:val="both"/>
              <w:rPr>
                <w:rFonts w:ascii="宋体" w:hAnsi="宋体" w:cs="宋体" w:eastAsia="宋体" w:hint="default"/>
                <w:sz w:val="18"/>
                <w:szCs w:val="18"/>
              </w:rPr>
            </w:pPr>
            <w:r>
              <w:rPr>
                <w:rFonts w:ascii="宋体" w:hAnsi="宋体" w:cs="宋体" w:eastAsia="宋体" w:hint="default"/>
                <w:b/>
                <w:bCs/>
                <w:w w:val="99"/>
                <w:sz w:val="18"/>
                <w:szCs w:val="18"/>
              </w:rPr>
              <w:t>减</w:t>
            </w:r>
            <w:r>
              <w:rPr>
                <w:rFonts w:ascii="宋体" w:hAnsi="宋体" w:cs="宋体" w:eastAsia="宋体" w:hint="default"/>
                <w:sz w:val="18"/>
                <w:szCs w:val="18"/>
              </w:rPr>
            </w:r>
          </w:p>
          <w:p>
            <w:pPr>
              <w:pStyle w:val="TableParagraph"/>
              <w:spacing w:line="237" w:lineRule="auto"/>
              <w:ind w:left="145" w:right="144"/>
              <w:jc w:val="both"/>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b/>
                <w:bCs/>
                <w:sz w:val="18"/>
                <w:szCs w:val="18"/>
              </w:rPr>
              <w:t>库</w:t>
            </w:r>
            <w:r>
              <w:rPr>
                <w:rFonts w:ascii="宋体" w:hAnsi="宋体" w:cs="宋体" w:eastAsia="宋体" w:hint="default"/>
                <w:b/>
                <w:bCs/>
                <w:w w:val="99"/>
                <w:sz w:val="18"/>
                <w:szCs w:val="18"/>
              </w:rPr>
              <w:t> </w:t>
            </w:r>
            <w:r>
              <w:rPr>
                <w:rFonts w:ascii="宋体" w:hAnsi="宋体" w:cs="宋体" w:eastAsia="宋体" w:hint="default"/>
                <w:b/>
                <w:bCs/>
                <w:sz w:val="18"/>
                <w:szCs w:val="18"/>
              </w:rPr>
              <w:t>存</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1" w:right="54"/>
              <w:jc w:val="both"/>
              <w:rPr>
                <w:rFonts w:ascii="宋体" w:hAnsi="宋体" w:cs="宋体" w:eastAsia="宋体" w:hint="default"/>
                <w:sz w:val="18"/>
                <w:szCs w:val="18"/>
              </w:rPr>
            </w:pPr>
            <w:r>
              <w:rPr>
                <w:rFonts w:ascii="宋体" w:hAnsi="宋体" w:cs="宋体" w:eastAsia="宋体" w:hint="default"/>
                <w:b/>
                <w:bCs/>
                <w:sz w:val="18"/>
                <w:szCs w:val="18"/>
              </w:rPr>
              <w:t>专</w:t>
            </w:r>
            <w:r>
              <w:rPr>
                <w:rFonts w:ascii="宋体" w:hAnsi="宋体" w:cs="宋体" w:eastAsia="宋体" w:hint="default"/>
                <w:b/>
                <w:bCs/>
                <w:w w:val="99"/>
                <w:sz w:val="18"/>
                <w:szCs w:val="18"/>
              </w:rPr>
              <w:t> </w:t>
            </w: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438" w:right="164" w:hanging="272"/>
              <w:jc w:val="left"/>
              <w:rPr>
                <w:rFonts w:ascii="宋体" w:hAnsi="宋体" w:cs="宋体" w:eastAsia="宋体" w:hint="default"/>
                <w:sz w:val="18"/>
                <w:szCs w:val="18"/>
              </w:rPr>
            </w:pPr>
            <w:r>
              <w:rPr>
                <w:rFonts w:ascii="宋体" w:hAnsi="宋体" w:cs="宋体" w:eastAsia="宋体" w:hint="default"/>
                <w:b/>
                <w:bCs/>
                <w:sz w:val="18"/>
                <w:szCs w:val="18"/>
              </w:rPr>
              <w:t>未分配利</w:t>
            </w:r>
            <w:r>
              <w:rPr>
                <w:rFonts w:ascii="宋体" w:hAnsi="宋体" w:cs="宋体" w:eastAsia="宋体" w:hint="default"/>
                <w:b/>
                <w:bCs/>
                <w:w w:val="99"/>
                <w:sz w:val="18"/>
                <w:szCs w:val="18"/>
              </w:rPr>
              <w:t> </w:t>
            </w:r>
            <w:r>
              <w:rPr>
                <w:rFonts w:ascii="宋体" w:hAnsi="宋体" w:cs="宋体" w:eastAsia="宋体" w:hint="default"/>
                <w:b/>
                <w:bCs/>
                <w:sz w:val="18"/>
                <w:szCs w:val="18"/>
              </w:rPr>
              <w:t>润</w:t>
            </w:r>
            <w:r>
              <w:rPr>
                <w:rFonts w:ascii="宋体" w:hAnsi="宋体" w:cs="宋体" w:eastAsia="宋体" w:hint="default"/>
                <w:sz w:val="18"/>
                <w:szCs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01" w:right="56"/>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352" w:type="dxa"/>
            <w:vMerge/>
            <w:tcBorders>
              <w:left w:val="single" w:sz="6" w:space="0" w:color="000000"/>
              <w:bottom w:val="single" w:sz="6" w:space="0" w:color="000000"/>
              <w:right w:val="single" w:sz="6" w:space="0" w:color="000000"/>
            </w:tcBorders>
          </w:tcPr>
          <w:p>
            <w:pPr/>
          </w:p>
        </w:tc>
        <w:tc>
          <w:tcPr>
            <w:tcW w:w="1072" w:type="dxa"/>
            <w:vMerge/>
            <w:tcBorders>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30"/>
              <w:jc w:val="right"/>
              <w:rPr>
                <w:rFonts w:ascii="宋体" w:hAnsi="宋体" w:cs="宋体" w:eastAsia="宋体" w:hint="default"/>
                <w:sz w:val="18"/>
                <w:szCs w:val="18"/>
              </w:rPr>
            </w:pPr>
            <w:r>
              <w:rPr>
                <w:rFonts w:ascii="宋体" w:hAnsi="宋体" w:cs="宋体" w:eastAsia="宋体" w:hint="default"/>
                <w:b/>
                <w:bCs/>
                <w:w w:val="95"/>
                <w:sz w:val="18"/>
                <w:szCs w:val="18"/>
              </w:rPr>
              <w:t>资本公积</w:t>
            </w:r>
            <w:r>
              <w:rPr>
                <w:rFonts w:ascii="宋体" w:hAnsi="宋体" w:cs="宋体" w:eastAsia="宋体" w:hint="default"/>
                <w:sz w:val="18"/>
                <w:szCs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46" w:right="0"/>
              <w:jc w:val="both"/>
              <w:rPr>
                <w:rFonts w:ascii="宋体" w:hAnsi="宋体" w:cs="宋体" w:eastAsia="宋体" w:hint="default"/>
                <w:sz w:val="18"/>
                <w:szCs w:val="18"/>
              </w:rPr>
            </w:pPr>
            <w:r>
              <w:rPr>
                <w:rFonts w:ascii="宋体" w:hAnsi="宋体" w:cs="宋体" w:eastAsia="宋体" w:hint="default"/>
                <w:b/>
                <w:bCs/>
                <w:w w:val="99"/>
                <w:sz w:val="18"/>
                <w:szCs w:val="18"/>
              </w:rPr>
              <w:t>减</w:t>
            </w:r>
            <w:r>
              <w:rPr>
                <w:rFonts w:ascii="宋体" w:hAnsi="宋体" w:cs="宋体" w:eastAsia="宋体" w:hint="default"/>
                <w:sz w:val="18"/>
                <w:szCs w:val="18"/>
              </w:rPr>
            </w:r>
          </w:p>
          <w:p>
            <w:pPr>
              <w:pStyle w:val="TableParagraph"/>
              <w:spacing w:line="237" w:lineRule="auto"/>
              <w:ind w:left="146" w:right="143"/>
              <w:jc w:val="both"/>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b/>
                <w:bCs/>
                <w:sz w:val="18"/>
                <w:szCs w:val="18"/>
              </w:rPr>
              <w:t>库</w:t>
            </w:r>
            <w:r>
              <w:rPr>
                <w:rFonts w:ascii="宋体" w:hAnsi="宋体" w:cs="宋体" w:eastAsia="宋体" w:hint="default"/>
                <w:b/>
                <w:bCs/>
                <w:w w:val="99"/>
                <w:sz w:val="18"/>
                <w:szCs w:val="18"/>
              </w:rPr>
              <w:t> </w:t>
            </w:r>
            <w:r>
              <w:rPr>
                <w:rFonts w:ascii="宋体" w:hAnsi="宋体" w:cs="宋体" w:eastAsia="宋体" w:hint="default"/>
                <w:b/>
                <w:bCs/>
                <w:sz w:val="18"/>
                <w:szCs w:val="18"/>
              </w:rPr>
              <w:t>存</w:t>
            </w:r>
            <w:r>
              <w:rPr>
                <w:rFonts w:ascii="宋体" w:hAnsi="宋体" w:cs="宋体" w:eastAsia="宋体" w:hint="default"/>
                <w:b/>
                <w:bCs/>
                <w:w w:val="9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37" w:lineRule="auto" w:before="89"/>
              <w:ind w:left="101" w:right="54"/>
              <w:jc w:val="both"/>
              <w:rPr>
                <w:rFonts w:ascii="宋体" w:hAnsi="宋体" w:cs="宋体" w:eastAsia="宋体" w:hint="default"/>
                <w:sz w:val="18"/>
                <w:szCs w:val="18"/>
              </w:rPr>
            </w:pPr>
            <w:r>
              <w:rPr>
                <w:rFonts w:ascii="宋体" w:hAnsi="宋体" w:cs="宋体" w:eastAsia="宋体" w:hint="default"/>
                <w:b/>
                <w:bCs/>
                <w:sz w:val="18"/>
                <w:szCs w:val="18"/>
              </w:rPr>
              <w:t>专</w:t>
            </w:r>
            <w:r>
              <w:rPr>
                <w:rFonts w:ascii="宋体" w:hAnsi="宋体" w:cs="宋体" w:eastAsia="宋体" w:hint="default"/>
                <w:b/>
                <w:bCs/>
                <w:w w:val="99"/>
                <w:sz w:val="18"/>
                <w:szCs w:val="18"/>
              </w:rPr>
              <w:t> </w:t>
            </w: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b/>
                <w:bCs/>
                <w:sz w:val="18"/>
                <w:szCs w:val="18"/>
              </w:rPr>
              <w:t>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369" w:right="184" w:hanging="180"/>
              <w:jc w:val="left"/>
              <w:rPr>
                <w:rFonts w:ascii="宋体" w:hAnsi="宋体" w:cs="宋体" w:eastAsia="宋体" w:hint="default"/>
                <w:sz w:val="18"/>
                <w:szCs w:val="18"/>
              </w:rPr>
            </w:pPr>
            <w:r>
              <w:rPr>
                <w:rFonts w:ascii="宋体" w:hAnsi="宋体" w:cs="宋体" w:eastAsia="宋体" w:hint="default"/>
                <w:b/>
                <w:bCs/>
                <w:sz w:val="18"/>
                <w:szCs w:val="18"/>
              </w:rPr>
              <w:t>盈余公</w:t>
            </w:r>
            <w:r>
              <w:rPr>
                <w:rFonts w:ascii="宋体" w:hAnsi="宋体" w:cs="宋体" w:eastAsia="宋体" w:hint="default"/>
                <w:b/>
                <w:bCs/>
                <w:spacing w:val="1"/>
                <w:w w:val="99"/>
                <w:sz w:val="18"/>
                <w:szCs w:val="18"/>
              </w:rPr>
              <w:t> </w:t>
            </w:r>
            <w:r>
              <w:rPr>
                <w:rFonts w:ascii="宋体" w:hAnsi="宋体" w:cs="宋体" w:eastAsia="宋体" w:hint="default"/>
                <w:b/>
                <w:bCs/>
                <w:sz w:val="18"/>
                <w:szCs w:val="18"/>
              </w:rPr>
              <w:t>积</w:t>
            </w:r>
            <w:r>
              <w:rPr>
                <w:rFonts w:ascii="宋体" w:hAnsi="宋体" w:cs="宋体" w:eastAsia="宋体" w:hint="default"/>
                <w:sz w:val="18"/>
                <w:szCs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429" w:right="155" w:hanging="270"/>
              <w:jc w:val="left"/>
              <w:rPr>
                <w:rFonts w:ascii="宋体" w:hAnsi="宋体" w:cs="宋体" w:eastAsia="宋体" w:hint="default"/>
                <w:sz w:val="18"/>
                <w:szCs w:val="18"/>
              </w:rPr>
            </w:pPr>
            <w:r>
              <w:rPr>
                <w:rFonts w:ascii="宋体" w:hAnsi="宋体" w:cs="宋体" w:eastAsia="宋体" w:hint="default"/>
                <w:b/>
                <w:bCs/>
                <w:sz w:val="18"/>
                <w:szCs w:val="18"/>
              </w:rPr>
              <w:t>未分配利</w:t>
            </w:r>
            <w:r>
              <w:rPr>
                <w:rFonts w:ascii="宋体" w:hAnsi="宋体" w:cs="宋体" w:eastAsia="宋体" w:hint="default"/>
                <w:b/>
                <w:bCs/>
                <w:w w:val="99"/>
                <w:sz w:val="18"/>
                <w:szCs w:val="18"/>
              </w:rPr>
              <w:t> </w:t>
            </w:r>
            <w:r>
              <w:rPr>
                <w:rFonts w:ascii="宋体" w:hAnsi="宋体" w:cs="宋体" w:eastAsia="宋体" w:hint="default"/>
                <w:b/>
                <w:bCs/>
                <w:sz w:val="18"/>
                <w:szCs w:val="18"/>
              </w:rPr>
              <w:t>润</w:t>
            </w:r>
            <w:r>
              <w:rPr>
                <w:rFonts w:ascii="宋体" w:hAnsi="宋体" w:cs="宋体" w:eastAsia="宋体" w:hint="default"/>
                <w:sz w:val="18"/>
                <w:szCs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32" w:lineRule="exact"/>
              <w:ind w:left="101" w:right="53"/>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1061" w:type="dxa"/>
            <w:vMerge/>
            <w:tcBorders>
              <w:left w:val="single" w:sz="6" w:space="0" w:color="000000"/>
              <w:bottom w:val="single" w:sz="6" w:space="0" w:color="000000"/>
              <w:right w:val="single" w:sz="12" w:space="0" w:color="000000"/>
            </w:tcBorders>
          </w:tcPr>
          <w:p>
            <w:pP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一、上年</w:t>
            </w:r>
          </w:p>
          <w:p>
            <w:pPr>
              <w:pStyle w:val="TableParagraph"/>
              <w:spacing w:line="232" w:lineRule="exact" w:before="24"/>
              <w:ind w:left="93" w:right="242"/>
              <w:jc w:val="left"/>
              <w:rPr>
                <w:rFonts w:ascii="宋体" w:hAnsi="宋体" w:cs="宋体" w:eastAsia="宋体" w:hint="default"/>
                <w:sz w:val="18"/>
                <w:szCs w:val="18"/>
              </w:rPr>
            </w:pPr>
            <w:r>
              <w:rPr>
                <w:rFonts w:ascii="宋体" w:hAnsi="宋体" w:cs="宋体" w:eastAsia="宋体" w:hint="default"/>
                <w:sz w:val="18"/>
                <w:szCs w:val="18"/>
              </w:rPr>
              <w:t>年末余 额</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46" w:right="0"/>
              <w:jc w:val="left"/>
              <w:rPr>
                <w:rFonts w:ascii="Arial Narrow" w:hAnsi="Arial Narrow" w:cs="Arial Narrow" w:eastAsia="Arial Narrow" w:hint="default"/>
                <w:sz w:val="20"/>
                <w:szCs w:val="20"/>
              </w:rPr>
            </w:pPr>
            <w:r>
              <w:rPr>
                <w:rFonts w:ascii="Arial Narrow"/>
                <w:sz w:val="20"/>
              </w:rPr>
              <w:t>40,000,0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37" w:right="0"/>
              <w:jc w:val="left"/>
              <w:rPr>
                <w:rFonts w:ascii="Arial Narrow" w:hAnsi="Arial Narrow" w:cs="Arial Narrow" w:eastAsia="Arial Narrow" w:hint="default"/>
                <w:sz w:val="20"/>
                <w:szCs w:val="20"/>
              </w:rPr>
            </w:pPr>
            <w:r>
              <w:rPr>
                <w:rFonts w:ascii="Arial Narrow"/>
                <w:sz w:val="20"/>
              </w:rPr>
              <w:t>15,275,9</w:t>
            </w:r>
          </w:p>
          <w:p>
            <w:pPr>
              <w:pStyle w:val="TableParagraph"/>
              <w:spacing w:line="240" w:lineRule="auto"/>
              <w:ind w:left="366" w:right="0"/>
              <w:jc w:val="left"/>
              <w:rPr>
                <w:rFonts w:ascii="Arial Narrow" w:hAnsi="Arial Narrow" w:cs="Arial Narrow" w:eastAsia="Arial Narrow" w:hint="default"/>
                <w:sz w:val="20"/>
                <w:szCs w:val="20"/>
              </w:rPr>
            </w:pPr>
            <w:r>
              <w:rPr>
                <w:rFonts w:ascii="Arial Narrow"/>
                <w:sz w:val="20"/>
              </w:rPr>
              <w:t>85.13</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9"/>
              <w:jc w:val="right"/>
              <w:rPr>
                <w:rFonts w:ascii="Arial Narrow" w:hAnsi="Arial Narrow" w:cs="Arial Narrow" w:eastAsia="Arial Narrow" w:hint="default"/>
                <w:sz w:val="20"/>
                <w:szCs w:val="20"/>
              </w:rPr>
            </w:pPr>
            <w:r>
              <w:rPr>
                <w:rFonts w:ascii="Arial Narrow"/>
                <w:spacing w:val="-1"/>
                <w:sz w:val="20"/>
              </w:rPr>
              <w:t>6,329,362.</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41</w:t>
            </w:r>
            <w:r>
              <w:rPr>
                <w:rFonts w:ascii="Arial Narrow"/>
                <w:sz w:val="20"/>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7"/>
              <w:jc w:val="right"/>
              <w:rPr>
                <w:rFonts w:ascii="Arial Narrow" w:hAnsi="Arial Narrow" w:cs="Arial Narrow" w:eastAsia="Arial Narrow" w:hint="default"/>
                <w:sz w:val="20"/>
                <w:szCs w:val="20"/>
              </w:rPr>
            </w:pPr>
            <w:r>
              <w:rPr>
                <w:rFonts w:ascii="Arial Narrow"/>
                <w:spacing w:val="-3"/>
                <w:sz w:val="20"/>
              </w:rPr>
              <w:t>51,110,306.</w:t>
            </w:r>
            <w:r>
              <w:rPr>
                <w:rFonts w:ascii="Arial Narrow"/>
                <w:sz w:val="20"/>
              </w:rPr>
            </w: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48</w:t>
            </w:r>
            <w:r>
              <w:rPr>
                <w:rFonts w:ascii="Arial Narrow"/>
                <w:sz w:val="20"/>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47" w:right="0"/>
              <w:jc w:val="left"/>
              <w:rPr>
                <w:rFonts w:ascii="Arial Narrow" w:hAnsi="Arial Narrow" w:cs="Arial Narrow" w:eastAsia="Arial Narrow" w:hint="default"/>
                <w:sz w:val="20"/>
                <w:szCs w:val="20"/>
              </w:rPr>
            </w:pPr>
            <w:r>
              <w:rPr>
                <w:rFonts w:ascii="Arial Narrow"/>
                <w:spacing w:val="-3"/>
                <w:sz w:val="20"/>
              </w:rPr>
              <w:t>112,715,65</w:t>
            </w:r>
            <w:r>
              <w:rPr>
                <w:rFonts w:ascii="Arial Narrow"/>
                <w:sz w:val="20"/>
              </w:rPr>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4.02</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40,000,00</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0.00</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15,275,98</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5.13</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80" w:right="0"/>
              <w:jc w:val="left"/>
              <w:rPr>
                <w:rFonts w:ascii="Arial Narrow" w:hAnsi="Arial Narrow" w:cs="Arial Narrow" w:eastAsia="Arial Narrow" w:hint="default"/>
                <w:sz w:val="20"/>
                <w:szCs w:val="20"/>
              </w:rPr>
            </w:pPr>
            <w:r>
              <w:rPr>
                <w:rFonts w:ascii="Arial Narrow"/>
                <w:sz w:val="20"/>
              </w:rPr>
              <w:t>2,188,75</w:t>
            </w:r>
          </w:p>
          <w:p>
            <w:pPr>
              <w:pStyle w:val="TableParagraph"/>
              <w:spacing w:line="240" w:lineRule="auto"/>
              <w:ind w:left="499" w:right="0"/>
              <w:jc w:val="left"/>
              <w:rPr>
                <w:rFonts w:ascii="Arial Narrow" w:hAnsi="Arial Narrow" w:cs="Arial Narrow" w:eastAsia="Arial Narrow" w:hint="default"/>
                <w:sz w:val="20"/>
                <w:szCs w:val="20"/>
              </w:rPr>
            </w:pPr>
            <w:r>
              <w:rPr>
                <w:rFonts w:ascii="Arial Narrow"/>
                <w:sz w:val="20"/>
              </w:rPr>
              <w:t>6.36</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8"/>
              <w:jc w:val="right"/>
              <w:rPr>
                <w:rFonts w:ascii="Arial Narrow" w:hAnsi="Arial Narrow" w:cs="Arial Narrow" w:eastAsia="Arial Narrow" w:hint="default"/>
                <w:sz w:val="20"/>
                <w:szCs w:val="20"/>
              </w:rPr>
            </w:pPr>
            <w:r>
              <w:rPr>
                <w:rFonts w:ascii="Arial Narrow"/>
                <w:spacing w:val="-1"/>
                <w:sz w:val="20"/>
              </w:rPr>
              <w:t>19,844,852</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.03</w:t>
            </w:r>
            <w:r>
              <w:rPr>
                <w:rFonts w:ascii="Arial Narrow"/>
                <w:sz w:val="20"/>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29" w:lineRule="exact" w:before="121"/>
              <w:ind w:right="90"/>
              <w:jc w:val="right"/>
              <w:rPr>
                <w:rFonts w:ascii="Arial Narrow" w:hAnsi="Arial Narrow" w:cs="Arial Narrow" w:eastAsia="Arial Narrow" w:hint="default"/>
                <w:sz w:val="20"/>
                <w:szCs w:val="20"/>
              </w:rPr>
            </w:pPr>
            <w:r>
              <w:rPr>
                <w:rFonts w:ascii="Arial Narrow"/>
                <w:spacing w:val="-1"/>
                <w:sz w:val="20"/>
              </w:rPr>
              <w:t>77,309,593</w:t>
            </w:r>
            <w:r>
              <w:rPr>
                <w:rFonts w:ascii="Arial Narrow"/>
                <w:sz w:val="20"/>
              </w:rPr>
            </w: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.52</w:t>
            </w:r>
            <w:r>
              <w:rPr>
                <w:rFonts w:ascii="Arial Narrow"/>
                <w:sz w:val="20"/>
              </w:rPr>
            </w: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加：会计</w:t>
            </w:r>
          </w:p>
          <w:p>
            <w:pPr>
              <w:pStyle w:val="TableParagraph"/>
              <w:spacing w:line="232" w:lineRule="exact" w:before="24"/>
              <w:ind w:left="93" w:right="242"/>
              <w:jc w:val="left"/>
              <w:rPr>
                <w:rFonts w:ascii="宋体" w:hAnsi="宋体" w:cs="宋体" w:eastAsia="宋体" w:hint="default"/>
                <w:sz w:val="18"/>
                <w:szCs w:val="18"/>
              </w:rPr>
            </w:pPr>
            <w:r>
              <w:rPr>
                <w:rFonts w:ascii="宋体" w:hAnsi="宋体" w:cs="宋体" w:eastAsia="宋体" w:hint="default"/>
                <w:sz w:val="18"/>
                <w:szCs w:val="18"/>
              </w:rPr>
              <w:t>政策变 更</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firstLine="18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32" w:lineRule="exact" w:before="24"/>
              <w:ind w:left="93" w:right="242"/>
              <w:jc w:val="left"/>
              <w:rPr>
                <w:rFonts w:ascii="宋体" w:hAnsi="宋体" w:cs="宋体" w:eastAsia="宋体" w:hint="default"/>
                <w:sz w:val="18"/>
                <w:szCs w:val="18"/>
              </w:rPr>
            </w:pPr>
            <w:r>
              <w:rPr>
                <w:rFonts w:ascii="宋体" w:hAnsi="宋体" w:cs="宋体" w:eastAsia="宋体" w:hint="default"/>
                <w:sz w:val="18"/>
                <w:szCs w:val="18"/>
              </w:rPr>
              <w:t>差错更 正</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3"/>
              <w:ind w:left="27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1070"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9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12" w:space="0" w:color="000000"/>
            </w:tcBorders>
          </w:tcPr>
          <w:p>
            <w:pP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二、本年</w:t>
            </w:r>
          </w:p>
          <w:p>
            <w:pPr>
              <w:pStyle w:val="TableParagraph"/>
              <w:spacing w:line="240" w:lineRule="auto"/>
              <w:ind w:left="93" w:right="242"/>
              <w:jc w:val="left"/>
              <w:rPr>
                <w:rFonts w:ascii="宋体" w:hAnsi="宋体" w:cs="宋体" w:eastAsia="宋体" w:hint="default"/>
                <w:sz w:val="18"/>
                <w:szCs w:val="18"/>
              </w:rPr>
            </w:pPr>
            <w:r>
              <w:rPr>
                <w:rFonts w:ascii="宋体" w:hAnsi="宋体" w:cs="宋体" w:eastAsia="宋体" w:hint="default"/>
                <w:sz w:val="18"/>
                <w:szCs w:val="18"/>
              </w:rPr>
              <w:t>年初余 额</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46" w:right="0"/>
              <w:jc w:val="left"/>
              <w:rPr>
                <w:rFonts w:ascii="Arial Narrow" w:hAnsi="Arial Narrow" w:cs="Arial Narrow" w:eastAsia="Arial Narrow" w:hint="default"/>
                <w:sz w:val="20"/>
                <w:szCs w:val="20"/>
              </w:rPr>
            </w:pPr>
            <w:r>
              <w:rPr>
                <w:rFonts w:ascii="Arial Narrow"/>
                <w:sz w:val="20"/>
              </w:rPr>
              <w:t>40,000,0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37" w:right="0"/>
              <w:jc w:val="left"/>
              <w:rPr>
                <w:rFonts w:ascii="Arial Narrow" w:hAnsi="Arial Narrow" w:cs="Arial Narrow" w:eastAsia="Arial Narrow" w:hint="default"/>
                <w:sz w:val="20"/>
                <w:szCs w:val="20"/>
              </w:rPr>
            </w:pPr>
            <w:r>
              <w:rPr>
                <w:rFonts w:ascii="Arial Narrow"/>
                <w:sz w:val="20"/>
              </w:rPr>
              <w:t>15,275,9</w:t>
            </w:r>
          </w:p>
          <w:p>
            <w:pPr>
              <w:pStyle w:val="TableParagraph"/>
              <w:spacing w:line="240" w:lineRule="auto"/>
              <w:ind w:left="366" w:right="0"/>
              <w:jc w:val="left"/>
              <w:rPr>
                <w:rFonts w:ascii="Arial Narrow" w:hAnsi="Arial Narrow" w:cs="Arial Narrow" w:eastAsia="Arial Narrow" w:hint="default"/>
                <w:sz w:val="20"/>
                <w:szCs w:val="20"/>
              </w:rPr>
            </w:pPr>
            <w:r>
              <w:rPr>
                <w:rFonts w:ascii="Arial Narrow"/>
                <w:sz w:val="20"/>
              </w:rPr>
              <w:t>85.13</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9"/>
              <w:jc w:val="right"/>
              <w:rPr>
                <w:rFonts w:ascii="Arial Narrow" w:hAnsi="Arial Narrow" w:cs="Arial Narrow" w:eastAsia="Arial Narrow" w:hint="default"/>
                <w:sz w:val="20"/>
                <w:szCs w:val="20"/>
              </w:rPr>
            </w:pPr>
            <w:r>
              <w:rPr>
                <w:rFonts w:ascii="Arial Narrow"/>
                <w:spacing w:val="-1"/>
                <w:sz w:val="20"/>
              </w:rPr>
              <w:t>6,329,362.</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41</w:t>
            </w:r>
            <w:r>
              <w:rPr>
                <w:rFonts w:ascii="Arial Narrow"/>
                <w:sz w:val="20"/>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7"/>
              <w:jc w:val="right"/>
              <w:rPr>
                <w:rFonts w:ascii="Arial Narrow" w:hAnsi="Arial Narrow" w:cs="Arial Narrow" w:eastAsia="Arial Narrow" w:hint="default"/>
                <w:sz w:val="20"/>
                <w:szCs w:val="20"/>
              </w:rPr>
            </w:pPr>
            <w:r>
              <w:rPr>
                <w:rFonts w:ascii="Arial Narrow"/>
                <w:spacing w:val="-3"/>
                <w:sz w:val="20"/>
              </w:rPr>
              <w:t>51,110,306.</w:t>
            </w:r>
            <w:r>
              <w:rPr>
                <w:rFonts w:ascii="Arial Narrow"/>
                <w:sz w:val="20"/>
              </w:rPr>
            </w: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48</w:t>
            </w:r>
            <w:r>
              <w:rPr>
                <w:rFonts w:ascii="Arial Narrow"/>
                <w:sz w:val="20"/>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47" w:right="0"/>
              <w:jc w:val="left"/>
              <w:rPr>
                <w:rFonts w:ascii="Arial Narrow" w:hAnsi="Arial Narrow" w:cs="Arial Narrow" w:eastAsia="Arial Narrow" w:hint="default"/>
                <w:sz w:val="20"/>
                <w:szCs w:val="20"/>
              </w:rPr>
            </w:pPr>
            <w:r>
              <w:rPr>
                <w:rFonts w:ascii="Arial Narrow"/>
                <w:spacing w:val="-3"/>
                <w:sz w:val="20"/>
              </w:rPr>
              <w:t>112,715,65</w:t>
            </w:r>
            <w:r>
              <w:rPr>
                <w:rFonts w:ascii="Arial Narrow"/>
                <w:sz w:val="20"/>
              </w:rPr>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4.02</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40,000,00</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0.00</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15,275,98</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5.13</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80" w:right="0"/>
              <w:jc w:val="left"/>
              <w:rPr>
                <w:rFonts w:ascii="Arial Narrow" w:hAnsi="Arial Narrow" w:cs="Arial Narrow" w:eastAsia="Arial Narrow" w:hint="default"/>
                <w:sz w:val="20"/>
                <w:szCs w:val="20"/>
              </w:rPr>
            </w:pPr>
            <w:r>
              <w:rPr>
                <w:rFonts w:ascii="Arial Narrow"/>
                <w:sz w:val="20"/>
              </w:rPr>
              <w:t>2,188,75</w:t>
            </w:r>
          </w:p>
          <w:p>
            <w:pPr>
              <w:pStyle w:val="TableParagraph"/>
              <w:spacing w:line="240" w:lineRule="auto"/>
              <w:ind w:left="499" w:right="0"/>
              <w:jc w:val="left"/>
              <w:rPr>
                <w:rFonts w:ascii="Arial Narrow" w:hAnsi="Arial Narrow" w:cs="Arial Narrow" w:eastAsia="Arial Narrow" w:hint="default"/>
                <w:sz w:val="20"/>
                <w:szCs w:val="20"/>
              </w:rPr>
            </w:pPr>
            <w:r>
              <w:rPr>
                <w:rFonts w:ascii="Arial Narrow"/>
                <w:sz w:val="20"/>
              </w:rPr>
              <w:t>6.36</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8"/>
              <w:jc w:val="right"/>
              <w:rPr>
                <w:rFonts w:ascii="Arial Narrow" w:hAnsi="Arial Narrow" w:cs="Arial Narrow" w:eastAsia="Arial Narrow" w:hint="default"/>
                <w:sz w:val="20"/>
                <w:szCs w:val="20"/>
              </w:rPr>
            </w:pPr>
            <w:r>
              <w:rPr>
                <w:rFonts w:ascii="Arial Narrow"/>
                <w:spacing w:val="-1"/>
                <w:sz w:val="20"/>
              </w:rPr>
              <w:t>19,844,852</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.03</w:t>
            </w:r>
            <w:r>
              <w:rPr>
                <w:rFonts w:ascii="Arial Narrow"/>
                <w:sz w:val="20"/>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29" w:lineRule="exact" w:before="121"/>
              <w:ind w:right="90"/>
              <w:jc w:val="right"/>
              <w:rPr>
                <w:rFonts w:ascii="Arial Narrow" w:hAnsi="Arial Narrow" w:cs="Arial Narrow" w:eastAsia="Arial Narrow" w:hint="default"/>
                <w:sz w:val="20"/>
                <w:szCs w:val="20"/>
              </w:rPr>
            </w:pPr>
            <w:r>
              <w:rPr>
                <w:rFonts w:ascii="Arial Narrow"/>
                <w:spacing w:val="-1"/>
                <w:sz w:val="20"/>
              </w:rPr>
              <w:t>77,309,593</w:t>
            </w:r>
            <w:r>
              <w:rPr>
                <w:rFonts w:ascii="Arial Narrow"/>
                <w:sz w:val="20"/>
              </w:rPr>
            </w: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.52</w:t>
            </w:r>
            <w:r>
              <w:rPr>
                <w:rFonts w:ascii="Arial Narrow"/>
                <w:sz w:val="20"/>
              </w:rPr>
            </w:r>
          </w:p>
        </w:tc>
      </w:tr>
      <w:tr>
        <w:trPr>
          <w:trHeight w:val="1190" w:hRule="exact"/>
        </w:trPr>
        <w:tc>
          <w:tcPr>
            <w:tcW w:w="901"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三、本年</w:t>
            </w:r>
          </w:p>
          <w:p>
            <w:pPr>
              <w:pStyle w:val="TableParagraph"/>
              <w:spacing w:line="240" w:lineRule="auto"/>
              <w:ind w:left="93" w:right="242"/>
              <w:jc w:val="left"/>
              <w:rPr>
                <w:rFonts w:ascii="宋体" w:hAnsi="宋体" w:cs="宋体" w:eastAsia="宋体" w:hint="default"/>
                <w:sz w:val="18"/>
                <w:szCs w:val="18"/>
              </w:rPr>
            </w:pPr>
            <w:r>
              <w:rPr>
                <w:rFonts w:ascii="宋体" w:hAnsi="宋体" w:cs="宋体" w:eastAsia="宋体" w:hint="default"/>
                <w:sz w:val="18"/>
                <w:szCs w:val="18"/>
              </w:rPr>
              <w:t>增减变 动金额</w:t>
            </w:r>
          </w:p>
          <w:p>
            <w:pPr>
              <w:pStyle w:val="TableParagraph"/>
              <w:spacing w:line="234" w:lineRule="exact" w:before="20"/>
              <w:ind w:left="93" w:right="203"/>
              <w:jc w:val="left"/>
              <w:rPr>
                <w:rFonts w:ascii="宋体" w:hAnsi="宋体" w:cs="宋体" w:eastAsia="宋体" w:hint="default"/>
                <w:sz w:val="18"/>
                <w:szCs w:val="18"/>
              </w:rPr>
            </w:pPr>
            <w:r>
              <w:rPr>
                <w:rFonts w:ascii="宋体" w:hAnsi="宋体" w:cs="宋体" w:eastAsia="宋体" w:hint="default"/>
                <w:sz w:val="18"/>
                <w:szCs w:val="18"/>
              </w:rPr>
              <w:t>（减少 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left="146" w:right="0"/>
              <w:jc w:val="left"/>
              <w:rPr>
                <w:rFonts w:ascii="Arial Narrow" w:hAnsi="Arial Narrow" w:cs="Arial Narrow" w:eastAsia="Arial Narrow" w:hint="default"/>
                <w:sz w:val="20"/>
                <w:szCs w:val="20"/>
              </w:rPr>
            </w:pPr>
            <w:r>
              <w:rPr>
                <w:rFonts w:ascii="Arial Narrow"/>
                <w:sz w:val="20"/>
              </w:rPr>
              <w:t>13,500,0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left="37" w:right="0"/>
              <w:jc w:val="center"/>
              <w:rPr>
                <w:rFonts w:ascii="Arial Narrow" w:hAnsi="Arial Narrow" w:cs="Arial Narrow" w:eastAsia="Arial Narrow" w:hint="default"/>
                <w:sz w:val="20"/>
                <w:szCs w:val="20"/>
              </w:rPr>
            </w:pPr>
            <w:r>
              <w:rPr>
                <w:rFonts w:ascii="Arial Narrow"/>
                <w:sz w:val="20"/>
              </w:rPr>
              <w:t>487,906,</w:t>
            </w:r>
          </w:p>
          <w:p>
            <w:pPr>
              <w:pStyle w:val="TableParagraph"/>
              <w:spacing w:line="240" w:lineRule="auto"/>
              <w:ind w:left="174" w:right="0"/>
              <w:jc w:val="center"/>
              <w:rPr>
                <w:rFonts w:ascii="Arial Narrow" w:hAnsi="Arial Narrow" w:cs="Arial Narrow" w:eastAsia="Arial Narrow" w:hint="default"/>
                <w:sz w:val="20"/>
                <w:szCs w:val="20"/>
              </w:rPr>
            </w:pPr>
            <w:r>
              <w:rPr>
                <w:rFonts w:ascii="Arial Narrow"/>
                <w:sz w:val="20"/>
              </w:rPr>
              <w:t>035.00</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right="99"/>
              <w:jc w:val="right"/>
              <w:rPr>
                <w:rFonts w:ascii="Arial Narrow" w:hAnsi="Arial Narrow" w:cs="Arial Narrow" w:eastAsia="Arial Narrow" w:hint="default"/>
                <w:sz w:val="20"/>
                <w:szCs w:val="20"/>
              </w:rPr>
            </w:pPr>
            <w:r>
              <w:rPr>
                <w:rFonts w:ascii="Arial Narrow"/>
                <w:spacing w:val="-1"/>
                <w:sz w:val="20"/>
              </w:rPr>
              <w:t>6,009,229.</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32</w:t>
            </w:r>
            <w:r>
              <w:rPr>
                <w:rFonts w:ascii="Arial Narrow"/>
                <w:sz w:val="20"/>
              </w:rPr>
            </w:r>
          </w:p>
        </w:tc>
        <w:tc>
          <w:tcPr>
            <w:tcW w:w="10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right="97"/>
              <w:jc w:val="right"/>
              <w:rPr>
                <w:rFonts w:ascii="Arial Narrow" w:hAnsi="Arial Narrow" w:cs="Arial Narrow" w:eastAsia="Arial Narrow" w:hint="default"/>
                <w:sz w:val="20"/>
                <w:szCs w:val="20"/>
              </w:rPr>
            </w:pPr>
            <w:r>
              <w:rPr>
                <w:rFonts w:ascii="Arial Narrow"/>
                <w:spacing w:val="-1"/>
                <w:sz w:val="20"/>
              </w:rPr>
              <w:t>54,083,063</w:t>
            </w:r>
            <w:r>
              <w:rPr>
                <w:rFonts w:ascii="Arial Narrow"/>
                <w:sz w:val="20"/>
              </w:rPr>
            </w: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.86</w:t>
            </w:r>
            <w:r>
              <w:rPr>
                <w:rFonts w:ascii="Arial Narrow"/>
                <w:sz w:val="20"/>
              </w:rPr>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
        </w:tc>
        <w:tc>
          <w:tcPr>
            <w:tcW w:w="107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left="135" w:right="0"/>
              <w:jc w:val="left"/>
              <w:rPr>
                <w:rFonts w:ascii="Arial Narrow" w:hAnsi="Arial Narrow" w:cs="Arial Narrow" w:eastAsia="Arial Narrow" w:hint="default"/>
                <w:sz w:val="20"/>
                <w:szCs w:val="20"/>
              </w:rPr>
            </w:pPr>
            <w:r>
              <w:rPr>
                <w:rFonts w:ascii="Arial Narrow"/>
                <w:sz w:val="20"/>
              </w:rPr>
              <w:t>561,498,32</w:t>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8.18</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left="180" w:right="0"/>
              <w:jc w:val="left"/>
              <w:rPr>
                <w:rFonts w:ascii="Arial Narrow" w:hAnsi="Arial Narrow" w:cs="Arial Narrow" w:eastAsia="Arial Narrow" w:hint="default"/>
                <w:sz w:val="20"/>
                <w:szCs w:val="20"/>
              </w:rPr>
            </w:pPr>
            <w:r>
              <w:rPr>
                <w:rFonts w:ascii="Arial Narrow"/>
                <w:sz w:val="20"/>
              </w:rPr>
              <w:t>4,140,60</w:t>
            </w:r>
          </w:p>
          <w:p>
            <w:pPr>
              <w:pStyle w:val="TableParagraph"/>
              <w:spacing w:line="240" w:lineRule="auto"/>
              <w:ind w:left="499" w:right="0"/>
              <w:jc w:val="left"/>
              <w:rPr>
                <w:rFonts w:ascii="Arial Narrow" w:hAnsi="Arial Narrow" w:cs="Arial Narrow" w:eastAsia="Arial Narrow" w:hint="default"/>
                <w:sz w:val="20"/>
                <w:szCs w:val="20"/>
              </w:rPr>
            </w:pPr>
            <w:r>
              <w:rPr>
                <w:rFonts w:ascii="Arial Narrow"/>
                <w:sz w:val="20"/>
              </w:rPr>
              <w:t>6.05</w:t>
            </w:r>
          </w:p>
        </w:tc>
        <w:tc>
          <w:tcPr>
            <w:tcW w:w="10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right="98"/>
              <w:jc w:val="right"/>
              <w:rPr>
                <w:rFonts w:ascii="Arial Narrow" w:hAnsi="Arial Narrow" w:cs="Arial Narrow" w:eastAsia="Arial Narrow" w:hint="default"/>
                <w:sz w:val="20"/>
                <w:szCs w:val="20"/>
              </w:rPr>
            </w:pPr>
            <w:r>
              <w:rPr>
                <w:rFonts w:ascii="Arial Narrow"/>
                <w:spacing w:val="-1"/>
                <w:sz w:val="20"/>
              </w:rPr>
              <w:t>31,265,454</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.45</w:t>
            </w:r>
            <w:r>
              <w:rPr>
                <w:rFonts w:ascii="Arial Narrow"/>
                <w:sz w:val="20"/>
              </w:rPr>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27"/>
                <w:szCs w:val="27"/>
              </w:rPr>
            </w:pPr>
          </w:p>
          <w:p>
            <w:pPr>
              <w:pStyle w:val="TableParagraph"/>
              <w:spacing w:line="229" w:lineRule="exact"/>
              <w:ind w:right="90"/>
              <w:jc w:val="right"/>
              <w:rPr>
                <w:rFonts w:ascii="Arial Narrow" w:hAnsi="Arial Narrow" w:cs="Arial Narrow" w:eastAsia="Arial Narrow" w:hint="default"/>
                <w:sz w:val="20"/>
                <w:szCs w:val="20"/>
              </w:rPr>
            </w:pPr>
            <w:r>
              <w:rPr>
                <w:rFonts w:ascii="Arial Narrow"/>
                <w:spacing w:val="-1"/>
                <w:sz w:val="20"/>
              </w:rPr>
              <w:t>35,406,060</w:t>
            </w:r>
            <w:r>
              <w:rPr>
                <w:rFonts w:ascii="Arial Narrow"/>
                <w:sz w:val="20"/>
              </w:rPr>
            </w: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.50</w:t>
            </w:r>
            <w:r>
              <w:rPr>
                <w:rFonts w:ascii="Arial Narrow"/>
                <w:sz w:val="20"/>
              </w:rPr>
            </w:r>
          </w:p>
        </w:tc>
      </w:tr>
    </w:tbl>
    <w:p>
      <w:pPr>
        <w:spacing w:after="0" w:line="240" w:lineRule="auto"/>
        <w:jc w:val="right"/>
        <w:rPr>
          <w:rFonts w:ascii="Arial Narrow" w:hAnsi="Arial Narrow" w:cs="Arial Narrow" w:eastAsia="Arial Narrow" w:hint="default"/>
          <w:sz w:val="20"/>
          <w:szCs w:val="20"/>
        </w:rPr>
        <w:sectPr>
          <w:pgSz w:w="15840" w:h="12240" w:orient="landscape"/>
          <w:pgMar w:header="0" w:footer="688" w:top="1140" w:bottom="880" w:left="76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901"/>
        <w:gridCol w:w="900"/>
        <w:gridCol w:w="892"/>
        <w:gridCol w:w="486"/>
        <w:gridCol w:w="352"/>
        <w:gridCol w:w="1002"/>
        <w:gridCol w:w="1070"/>
        <w:gridCol w:w="353"/>
        <w:gridCol w:w="352"/>
        <w:gridCol w:w="1072"/>
        <w:gridCol w:w="1002"/>
        <w:gridCol w:w="1002"/>
        <w:gridCol w:w="486"/>
        <w:gridCol w:w="353"/>
        <w:gridCol w:w="934"/>
        <w:gridCol w:w="1054"/>
        <w:gridCol w:w="352"/>
        <w:gridCol w:w="1061"/>
      </w:tblGrid>
      <w:tr>
        <w:trPr>
          <w:trHeight w:val="400" w:hRule="exact"/>
        </w:trPr>
        <w:tc>
          <w:tcPr>
            <w:tcW w:w="901" w:type="dxa"/>
            <w:tcBorders>
              <w:top w:val="single" w:sz="12"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900" w:type="dxa"/>
            <w:tcBorders>
              <w:top w:val="single" w:sz="12" w:space="0" w:color="000000"/>
              <w:left w:val="single" w:sz="6" w:space="0" w:color="000000"/>
              <w:bottom w:val="single" w:sz="6" w:space="0" w:color="000000"/>
              <w:right w:val="single" w:sz="6" w:space="0" w:color="000000"/>
            </w:tcBorders>
          </w:tcPr>
          <w:p>
            <w:pPr/>
          </w:p>
        </w:tc>
        <w:tc>
          <w:tcPr>
            <w:tcW w:w="892" w:type="dxa"/>
            <w:tcBorders>
              <w:top w:val="single" w:sz="12" w:space="0" w:color="000000"/>
              <w:left w:val="single" w:sz="6" w:space="0" w:color="000000"/>
              <w:bottom w:val="single" w:sz="6" w:space="0" w:color="000000"/>
              <w:right w:val="single" w:sz="6" w:space="0" w:color="000000"/>
            </w:tcBorders>
          </w:tcPr>
          <w:p>
            <w:pPr/>
          </w:p>
        </w:tc>
        <w:tc>
          <w:tcPr>
            <w:tcW w:w="486"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1070" w:type="dxa"/>
            <w:tcBorders>
              <w:top w:val="single" w:sz="12" w:space="0" w:color="000000"/>
              <w:left w:val="single" w:sz="6" w:space="0" w:color="000000"/>
              <w:bottom w:val="single" w:sz="6" w:space="0" w:color="000000"/>
              <w:right w:val="single" w:sz="6" w:space="0" w:color="000000"/>
            </w:tcBorders>
          </w:tcPr>
          <w:p>
            <w:pPr/>
          </w:p>
        </w:tc>
        <w:tc>
          <w:tcPr>
            <w:tcW w:w="353"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7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486" w:type="dxa"/>
            <w:tcBorders>
              <w:top w:val="single" w:sz="12" w:space="0" w:color="000000"/>
              <w:left w:val="single" w:sz="6" w:space="0" w:color="000000"/>
              <w:bottom w:val="single" w:sz="6" w:space="0" w:color="000000"/>
              <w:right w:val="single" w:sz="6" w:space="0" w:color="000000"/>
            </w:tcBorders>
          </w:tcPr>
          <w:p>
            <w:pPr/>
          </w:p>
        </w:tc>
        <w:tc>
          <w:tcPr>
            <w:tcW w:w="353" w:type="dxa"/>
            <w:tcBorders>
              <w:top w:val="single" w:sz="12" w:space="0" w:color="000000"/>
              <w:left w:val="single" w:sz="6" w:space="0" w:color="000000"/>
              <w:bottom w:val="single" w:sz="6" w:space="0" w:color="000000"/>
              <w:right w:val="single" w:sz="6" w:space="0" w:color="000000"/>
            </w:tcBorders>
          </w:tcPr>
          <w:p>
            <w:pPr/>
          </w:p>
        </w:tc>
        <w:tc>
          <w:tcPr>
            <w:tcW w:w="934" w:type="dxa"/>
            <w:tcBorders>
              <w:top w:val="single" w:sz="12" w:space="0" w:color="000000"/>
              <w:left w:val="single" w:sz="6" w:space="0" w:color="000000"/>
              <w:bottom w:val="single" w:sz="6" w:space="0" w:color="000000"/>
              <w:right w:val="single" w:sz="6" w:space="0" w:color="000000"/>
            </w:tcBorders>
          </w:tcPr>
          <w:p>
            <w:pPr/>
          </w:p>
        </w:tc>
        <w:tc>
          <w:tcPr>
            <w:tcW w:w="1054"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61" w:type="dxa"/>
            <w:tcBorders>
              <w:top w:val="single" w:sz="12" w:space="0" w:color="000000"/>
              <w:left w:val="single" w:sz="6" w:space="0" w:color="000000"/>
              <w:bottom w:val="single" w:sz="6" w:space="0" w:color="000000"/>
              <w:right w:val="single" w:sz="12" w:space="0" w:color="000000"/>
            </w:tcBorders>
          </w:tcPr>
          <w:p>
            <w:pPr/>
          </w:p>
        </w:tc>
      </w:tr>
      <w:tr>
        <w:trPr>
          <w:trHeight w:val="482"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（一）净</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7"/>
              <w:jc w:val="right"/>
              <w:rPr>
                <w:rFonts w:ascii="Arial Narrow" w:hAnsi="Arial Narrow" w:cs="Arial Narrow" w:eastAsia="Arial Narrow" w:hint="default"/>
                <w:sz w:val="20"/>
                <w:szCs w:val="20"/>
              </w:rPr>
            </w:pPr>
            <w:r>
              <w:rPr>
                <w:rFonts w:ascii="Arial Narrow"/>
                <w:spacing w:val="-1"/>
                <w:sz w:val="20"/>
              </w:rPr>
              <w:t>60,092,293</w:t>
            </w:r>
            <w:r>
              <w:rPr>
                <w:rFonts w:ascii="Arial Narrow"/>
                <w:sz w:val="20"/>
              </w:rPr>
            </w:r>
          </w:p>
          <w:p>
            <w:pPr>
              <w:pStyle w:val="TableParagraph"/>
              <w:spacing w:line="240" w:lineRule="auto" w:before="1"/>
              <w:ind w:right="97"/>
              <w:jc w:val="right"/>
              <w:rPr>
                <w:rFonts w:ascii="Arial Narrow" w:hAnsi="Arial Narrow" w:cs="Arial Narrow" w:eastAsia="Arial Narrow" w:hint="default"/>
                <w:sz w:val="20"/>
                <w:szCs w:val="20"/>
              </w:rPr>
            </w:pPr>
            <w:r>
              <w:rPr>
                <w:rFonts w:ascii="Arial Narrow"/>
                <w:spacing w:val="-1"/>
                <w:sz w:val="20"/>
              </w:rPr>
              <w:t>.18</w:t>
            </w:r>
            <w:r>
              <w:rPr>
                <w:rFonts w:ascii="Arial Narrow"/>
                <w:sz w:val="20"/>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8"/>
              <w:jc w:val="right"/>
              <w:rPr>
                <w:rFonts w:ascii="Arial Narrow" w:hAnsi="Arial Narrow" w:cs="Arial Narrow" w:eastAsia="Arial Narrow" w:hint="default"/>
                <w:sz w:val="20"/>
                <w:szCs w:val="20"/>
              </w:rPr>
            </w:pPr>
            <w:r>
              <w:rPr>
                <w:rFonts w:ascii="Arial Narrow"/>
                <w:spacing w:val="-1"/>
                <w:sz w:val="20"/>
              </w:rPr>
              <w:t>60,092,293</w:t>
            </w:r>
            <w:r>
              <w:rPr>
                <w:rFonts w:ascii="Arial Narrow"/>
                <w:sz w:val="20"/>
              </w:rPr>
            </w:r>
          </w:p>
          <w:p>
            <w:pPr>
              <w:pStyle w:val="TableParagraph"/>
              <w:spacing w:line="240" w:lineRule="auto" w:before="1"/>
              <w:ind w:right="98"/>
              <w:jc w:val="right"/>
              <w:rPr>
                <w:rFonts w:ascii="Arial Narrow" w:hAnsi="Arial Narrow" w:cs="Arial Narrow" w:eastAsia="Arial Narrow" w:hint="default"/>
                <w:sz w:val="20"/>
                <w:szCs w:val="20"/>
              </w:rPr>
            </w:pPr>
            <w:r>
              <w:rPr>
                <w:rFonts w:ascii="Arial Narrow"/>
                <w:spacing w:val="-1"/>
                <w:sz w:val="20"/>
              </w:rPr>
              <w:t>.18</w:t>
            </w:r>
            <w:r>
              <w:rPr>
                <w:rFonts w:ascii="Arial Narrow"/>
                <w:sz w:val="20"/>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left="763" w:right="0"/>
              <w:jc w:val="left"/>
              <w:rPr>
                <w:rFonts w:ascii="Arial Narrow" w:hAnsi="Arial Narrow" w:cs="Arial Narrow" w:eastAsia="Arial Narrow" w:hint="default"/>
                <w:sz w:val="20"/>
                <w:szCs w:val="20"/>
              </w:rPr>
            </w:pPr>
            <w:r>
              <w:rPr>
                <w:rFonts w:ascii="Arial Narrow"/>
                <w:w w:val="100"/>
                <w:sz w:val="20"/>
              </w:rPr>
              <w:t>-</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8"/>
              <w:jc w:val="right"/>
              <w:rPr>
                <w:rFonts w:ascii="Arial Narrow" w:hAnsi="Arial Narrow" w:cs="Arial Narrow" w:eastAsia="Arial Narrow" w:hint="default"/>
                <w:sz w:val="20"/>
                <w:szCs w:val="20"/>
              </w:rPr>
            </w:pPr>
            <w:r>
              <w:rPr>
                <w:rFonts w:ascii="Arial Narrow"/>
                <w:spacing w:val="-1"/>
                <w:sz w:val="20"/>
              </w:rPr>
              <w:t>41,406,060</w:t>
            </w:r>
            <w:r>
              <w:rPr>
                <w:rFonts w:ascii="Arial Narrow"/>
                <w:sz w:val="20"/>
              </w:rPr>
            </w:r>
          </w:p>
          <w:p>
            <w:pPr>
              <w:pStyle w:val="TableParagraph"/>
              <w:spacing w:line="240" w:lineRule="auto" w:before="1"/>
              <w:ind w:right="98"/>
              <w:jc w:val="right"/>
              <w:rPr>
                <w:rFonts w:ascii="Arial Narrow" w:hAnsi="Arial Narrow" w:cs="Arial Narrow" w:eastAsia="Arial Narrow" w:hint="default"/>
                <w:sz w:val="20"/>
                <w:szCs w:val="20"/>
              </w:rPr>
            </w:pPr>
            <w:r>
              <w:rPr>
                <w:rFonts w:ascii="Arial Narrow"/>
                <w:spacing w:val="-1"/>
                <w:sz w:val="20"/>
              </w:rPr>
              <w:t>.50</w:t>
            </w:r>
            <w:r>
              <w:rPr>
                <w:rFonts w:ascii="Arial Narrow"/>
                <w:sz w:val="20"/>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90"/>
              <w:jc w:val="right"/>
              <w:rPr>
                <w:rFonts w:ascii="Arial Narrow" w:hAnsi="Arial Narrow" w:cs="Arial Narrow" w:eastAsia="Arial Narrow" w:hint="default"/>
                <w:sz w:val="20"/>
                <w:szCs w:val="20"/>
              </w:rPr>
            </w:pPr>
            <w:r>
              <w:rPr>
                <w:rFonts w:ascii="Arial Narrow"/>
                <w:spacing w:val="-1"/>
                <w:sz w:val="20"/>
              </w:rPr>
              <w:t>41,406,060</w:t>
            </w:r>
            <w:r>
              <w:rPr>
                <w:rFonts w:ascii="Arial Narrow"/>
                <w:sz w:val="20"/>
              </w:rPr>
            </w:r>
          </w:p>
          <w:p>
            <w:pPr>
              <w:pStyle w:val="TableParagraph"/>
              <w:spacing w:line="240" w:lineRule="auto" w:before="1"/>
              <w:ind w:right="90"/>
              <w:jc w:val="right"/>
              <w:rPr>
                <w:rFonts w:ascii="Arial Narrow" w:hAnsi="Arial Narrow" w:cs="Arial Narrow" w:eastAsia="Arial Narrow" w:hint="default"/>
                <w:sz w:val="20"/>
                <w:szCs w:val="20"/>
              </w:rPr>
            </w:pPr>
            <w:r>
              <w:rPr>
                <w:rFonts w:ascii="Arial Narrow"/>
                <w:spacing w:val="-1"/>
                <w:sz w:val="20"/>
              </w:rPr>
              <w:t>.50</w:t>
            </w:r>
            <w:r>
              <w:rPr>
                <w:rFonts w:ascii="Arial Narrow"/>
                <w:sz w:val="20"/>
              </w:rPr>
            </w: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（二）其</w:t>
            </w:r>
          </w:p>
          <w:p>
            <w:pPr>
              <w:pStyle w:val="TableParagraph"/>
              <w:spacing w:line="240" w:lineRule="auto"/>
              <w:ind w:left="93" w:right="242"/>
              <w:jc w:val="left"/>
              <w:rPr>
                <w:rFonts w:ascii="宋体" w:hAnsi="宋体" w:cs="宋体" w:eastAsia="宋体" w:hint="default"/>
                <w:sz w:val="18"/>
                <w:szCs w:val="18"/>
              </w:rPr>
            </w:pPr>
            <w:r>
              <w:rPr>
                <w:rFonts w:ascii="宋体" w:hAnsi="宋体" w:cs="宋体" w:eastAsia="宋体" w:hint="default"/>
                <w:sz w:val="18"/>
                <w:szCs w:val="18"/>
              </w:rPr>
              <w:t>他综合 收益</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7"/>
              <w:jc w:val="right"/>
              <w:rPr>
                <w:rFonts w:ascii="Times New Roman" w:hAnsi="Times New Roman" w:cs="Times New Roman" w:eastAsia="Times New Roman" w:hint="default"/>
                <w:sz w:val="20"/>
                <w:szCs w:val="20"/>
              </w:rPr>
            </w:pPr>
            <w:r>
              <w:rPr>
                <w:rFonts w:ascii="Times New Roman"/>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8"/>
              <w:ind w:left="66" w:right="0"/>
              <w:jc w:val="center"/>
              <w:rPr>
                <w:rFonts w:ascii="Times New Roman" w:hAnsi="Times New Roman" w:cs="Times New Roman" w:eastAsia="Times New Roman" w:hint="default"/>
                <w:sz w:val="20"/>
                <w:szCs w:val="20"/>
              </w:rPr>
            </w:pPr>
            <w:r>
              <w:rPr>
                <w:rFonts w:ascii="Times New Roman"/>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9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1"/>
              <w:jc w:val="right"/>
              <w:rPr>
                <w:rFonts w:ascii="Arial Narrow" w:hAnsi="Arial Narrow" w:cs="Arial Narrow" w:eastAsia="Arial Narrow" w:hint="default"/>
                <w:sz w:val="20"/>
                <w:szCs w:val="20"/>
              </w:rPr>
            </w:pPr>
            <w:r>
              <w:rPr>
                <w:rFonts w:ascii="Arial Narrow"/>
                <w:w w:val="100"/>
                <w:sz w:val="20"/>
              </w:rPr>
              <w:t>-</w:t>
            </w:r>
          </w:p>
        </w:tc>
      </w:tr>
      <w:tr>
        <w:trPr>
          <w:trHeight w:val="246"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．可供</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2" w:lineRule="exact"/>
              <w:ind w:left="93" w:right="0"/>
              <w:jc w:val="left"/>
              <w:rPr>
                <w:rFonts w:ascii="宋体" w:hAnsi="宋体" w:cs="宋体" w:eastAsia="宋体" w:hint="default"/>
                <w:sz w:val="18"/>
                <w:szCs w:val="18"/>
              </w:rPr>
            </w:pPr>
            <w:r>
              <w:rPr>
                <w:rFonts w:ascii="宋体" w:hAnsi="宋体" w:cs="宋体" w:eastAsia="宋体" w:hint="default"/>
                <w:sz w:val="18"/>
                <w:szCs w:val="18"/>
              </w:rPr>
              <w:t>出售金</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融资产</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公允价</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5"/>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值变动</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4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净额</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法下被</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投资单</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位其他</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所有者</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40" w:lineRule="auto" w:before="127"/>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40" w:lineRule="auto" w:before="127"/>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权益变</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动的影</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41"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响</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246"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．与计</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2" w:lineRule="exact"/>
              <w:ind w:left="93" w:right="0"/>
              <w:jc w:val="left"/>
              <w:rPr>
                <w:rFonts w:ascii="宋体" w:hAnsi="宋体" w:cs="宋体" w:eastAsia="宋体" w:hint="default"/>
                <w:sz w:val="18"/>
                <w:szCs w:val="18"/>
              </w:rPr>
            </w:pPr>
            <w:r>
              <w:rPr>
                <w:rFonts w:ascii="宋体" w:hAnsi="宋体" w:cs="宋体" w:eastAsia="宋体" w:hint="default"/>
                <w:sz w:val="18"/>
                <w:szCs w:val="18"/>
              </w:rPr>
              <w:t>入所有</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者权益</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项目相</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关的所</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3"/>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40" w:lineRule="auto" w:before="8"/>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33"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得税影</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24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响</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428"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1"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07" w:lineRule="exact"/>
              <w:ind w:left="255" w:right="0"/>
              <w:jc w:val="left"/>
              <w:rPr>
                <w:rFonts w:ascii="宋体" w:hAnsi="宋体" w:cs="宋体" w:eastAsia="宋体" w:hint="default"/>
                <w:sz w:val="18"/>
                <w:szCs w:val="18"/>
              </w:rPr>
            </w:pPr>
            <w:r>
              <w:rPr>
                <w:rFonts w:ascii="宋体" w:hAnsi="宋体" w:cs="宋体" w:eastAsia="宋体" w:hint="default"/>
                <w:sz w:val="18"/>
                <w:szCs w:val="18"/>
              </w:rPr>
              <w:t>上述</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vMerge w:val="restart"/>
            <w:tcBorders>
              <w:top w:val="single" w:sz="6" w:space="0" w:color="000000"/>
              <w:left w:val="single" w:sz="6" w:space="0" w:color="000000"/>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76"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（一）和</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（二）小</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29" w:lineRule="exact" w:before="5"/>
              <w:ind w:right="97"/>
              <w:jc w:val="right"/>
              <w:rPr>
                <w:rFonts w:ascii="Arial Narrow" w:hAnsi="Arial Narrow" w:cs="Arial Narrow" w:eastAsia="Arial Narrow" w:hint="default"/>
                <w:sz w:val="20"/>
                <w:szCs w:val="20"/>
              </w:rPr>
            </w:pPr>
            <w:r>
              <w:rPr>
                <w:rFonts w:ascii="Arial Narrow"/>
                <w:spacing w:val="-1"/>
                <w:sz w:val="20"/>
              </w:rPr>
              <w:t>60,092,293</w:t>
            </w:r>
            <w:r>
              <w:rPr>
                <w:rFonts w:ascii="Arial Narrow"/>
                <w:sz w:val="20"/>
              </w:rPr>
            </w: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.18</w:t>
            </w:r>
            <w:r>
              <w:rPr>
                <w:rFonts w:ascii="Arial Narrow"/>
                <w:sz w:val="20"/>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vMerge/>
            <w:tcBorders>
              <w:left w:val="single" w:sz="6" w:space="0" w:color="000000"/>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29" w:lineRule="exact" w:before="5"/>
              <w:ind w:right="98"/>
              <w:jc w:val="right"/>
              <w:rPr>
                <w:rFonts w:ascii="Arial Narrow" w:hAnsi="Arial Narrow" w:cs="Arial Narrow" w:eastAsia="Arial Narrow" w:hint="default"/>
                <w:sz w:val="20"/>
                <w:szCs w:val="20"/>
              </w:rPr>
            </w:pPr>
            <w:r>
              <w:rPr>
                <w:rFonts w:ascii="Arial Narrow"/>
                <w:spacing w:val="-1"/>
                <w:sz w:val="20"/>
              </w:rPr>
              <w:t>60,092,293</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.18</w:t>
            </w:r>
            <w:r>
              <w:rPr>
                <w:rFonts w:ascii="Arial Narrow"/>
                <w:sz w:val="20"/>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119"/>
              <w:ind w:left="763" w:right="0"/>
              <w:jc w:val="left"/>
              <w:rPr>
                <w:rFonts w:ascii="Arial Narrow" w:hAnsi="Arial Narrow" w:cs="Arial Narrow" w:eastAsia="Arial Narrow" w:hint="default"/>
                <w:sz w:val="20"/>
                <w:szCs w:val="20"/>
              </w:rPr>
            </w:pPr>
            <w:r>
              <w:rPr>
                <w:rFonts w:ascii="Arial Narrow"/>
                <w:w w:val="100"/>
                <w:sz w:val="20"/>
              </w:rPr>
              <w:t>-</w:t>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29" w:lineRule="exact" w:before="5"/>
              <w:ind w:right="98"/>
              <w:jc w:val="right"/>
              <w:rPr>
                <w:rFonts w:ascii="Arial Narrow" w:hAnsi="Arial Narrow" w:cs="Arial Narrow" w:eastAsia="Arial Narrow" w:hint="default"/>
                <w:sz w:val="20"/>
                <w:szCs w:val="20"/>
              </w:rPr>
            </w:pPr>
            <w:r>
              <w:rPr>
                <w:rFonts w:ascii="Arial Narrow"/>
                <w:spacing w:val="-1"/>
                <w:sz w:val="20"/>
              </w:rPr>
              <w:t>41,406,060</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.50</w:t>
            </w:r>
            <w:r>
              <w:rPr>
                <w:rFonts w:ascii="Arial Narrow"/>
                <w:sz w:val="20"/>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29" w:lineRule="exact" w:before="5"/>
              <w:ind w:right="90"/>
              <w:jc w:val="right"/>
              <w:rPr>
                <w:rFonts w:ascii="Arial Narrow" w:hAnsi="Arial Narrow" w:cs="Arial Narrow" w:eastAsia="Arial Narrow" w:hint="default"/>
                <w:sz w:val="20"/>
                <w:szCs w:val="20"/>
              </w:rPr>
            </w:pPr>
            <w:r>
              <w:rPr>
                <w:rFonts w:ascii="Arial Narrow"/>
                <w:spacing w:val="-1"/>
                <w:sz w:val="20"/>
              </w:rPr>
              <w:t>41,406,060</w:t>
            </w:r>
            <w:r>
              <w:rPr>
                <w:rFonts w:ascii="Arial Narrow"/>
                <w:sz w:val="20"/>
              </w:rPr>
            </w: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.50</w:t>
            </w:r>
            <w:r>
              <w:rPr>
                <w:rFonts w:ascii="Arial Narrow"/>
                <w:sz w:val="20"/>
              </w:rPr>
            </w:r>
          </w:p>
        </w:tc>
      </w:tr>
      <w:tr>
        <w:trPr>
          <w:trHeight w:val="23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197" w:lineRule="exact"/>
              <w:ind w:right="5"/>
              <w:jc w:val="center"/>
              <w:rPr>
                <w:rFonts w:ascii="宋体" w:hAnsi="宋体" w:cs="宋体" w:eastAsia="宋体" w:hint="default"/>
                <w:sz w:val="18"/>
                <w:szCs w:val="18"/>
              </w:rPr>
            </w:pPr>
            <w:r>
              <w:rPr>
                <w:rFonts w:ascii="宋体" w:hAnsi="宋体" w:cs="宋体" w:eastAsia="宋体" w:hint="default"/>
                <w:sz w:val="18"/>
                <w:szCs w:val="18"/>
              </w:rPr>
              <w:t>计</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vMerge/>
            <w:tcBorders>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489" w:hRule="exact"/>
        </w:trPr>
        <w:tc>
          <w:tcPr>
            <w:tcW w:w="901"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（三）所</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有者投</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4"/>
              <w:ind w:left="146" w:right="0"/>
              <w:jc w:val="left"/>
              <w:rPr>
                <w:rFonts w:ascii="Arial Narrow" w:hAnsi="Arial Narrow" w:cs="Arial Narrow" w:eastAsia="Arial Narrow" w:hint="default"/>
                <w:sz w:val="20"/>
                <w:szCs w:val="20"/>
              </w:rPr>
            </w:pPr>
            <w:r>
              <w:rPr>
                <w:rFonts w:ascii="Arial Narrow"/>
                <w:sz w:val="20"/>
              </w:rPr>
              <w:t>13,500,0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4"/>
              <w:ind w:left="37" w:right="0"/>
              <w:jc w:val="center"/>
              <w:rPr>
                <w:rFonts w:ascii="Arial Narrow" w:hAnsi="Arial Narrow" w:cs="Arial Narrow" w:eastAsia="Arial Narrow" w:hint="default"/>
                <w:sz w:val="20"/>
                <w:szCs w:val="20"/>
              </w:rPr>
            </w:pPr>
            <w:r>
              <w:rPr>
                <w:rFonts w:ascii="Arial Narrow"/>
                <w:sz w:val="20"/>
              </w:rPr>
              <w:t>487,906,</w:t>
            </w:r>
          </w:p>
          <w:p>
            <w:pPr>
              <w:pStyle w:val="TableParagraph"/>
              <w:spacing w:line="240" w:lineRule="auto"/>
              <w:ind w:left="174" w:right="0"/>
              <w:jc w:val="center"/>
              <w:rPr>
                <w:rFonts w:ascii="Arial Narrow" w:hAnsi="Arial Narrow" w:cs="Arial Narrow" w:eastAsia="Arial Narrow" w:hint="default"/>
                <w:sz w:val="20"/>
                <w:szCs w:val="20"/>
              </w:rPr>
            </w:pPr>
            <w:r>
              <w:rPr>
                <w:rFonts w:ascii="Arial Narrow"/>
                <w:sz w:val="20"/>
              </w:rPr>
              <w:t>035.00</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
        </w:tc>
        <w:tc>
          <w:tcPr>
            <w:tcW w:w="107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4"/>
              <w:ind w:left="135" w:right="0"/>
              <w:jc w:val="left"/>
              <w:rPr>
                <w:rFonts w:ascii="Arial Narrow" w:hAnsi="Arial Narrow" w:cs="Arial Narrow" w:eastAsia="Arial Narrow" w:hint="default"/>
                <w:sz w:val="20"/>
                <w:szCs w:val="20"/>
              </w:rPr>
            </w:pPr>
            <w:r>
              <w:rPr>
                <w:rFonts w:ascii="Arial Narrow"/>
                <w:sz w:val="20"/>
              </w:rPr>
              <w:t>501,406,03</w:t>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5.00</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left="763" w:right="0"/>
              <w:jc w:val="left"/>
              <w:rPr>
                <w:rFonts w:ascii="Arial Narrow" w:hAnsi="Arial Narrow" w:cs="Arial Narrow" w:eastAsia="Arial Narrow" w:hint="default"/>
                <w:sz w:val="20"/>
                <w:szCs w:val="20"/>
              </w:rPr>
            </w:pPr>
            <w:r>
              <w:rPr>
                <w:rFonts w:ascii="Arial Narrow"/>
                <w:w w:val="100"/>
                <w:sz w:val="20"/>
              </w:rPr>
              <w:t>-</w:t>
            </w:r>
          </w:p>
        </w:tc>
        <w:tc>
          <w:tcPr>
            <w:tcW w:w="10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9"/>
              <w:ind w:right="90"/>
              <w:jc w:val="right"/>
              <w:rPr>
                <w:rFonts w:ascii="Arial Narrow" w:hAnsi="Arial Narrow" w:cs="Arial Narrow" w:eastAsia="Arial Narrow" w:hint="default"/>
                <w:sz w:val="20"/>
                <w:szCs w:val="20"/>
              </w:rPr>
            </w:pPr>
            <w:r>
              <w:rPr>
                <w:rFonts w:ascii="Arial Narrow"/>
                <w:w w:val="100"/>
                <w:sz w:val="20"/>
              </w:rPr>
              <w:t>-</w:t>
            </w:r>
          </w:p>
        </w:tc>
      </w:tr>
    </w:tbl>
    <w:p>
      <w:pPr>
        <w:spacing w:after="0" w:line="240" w:lineRule="auto"/>
        <w:jc w:val="right"/>
        <w:rPr>
          <w:rFonts w:ascii="Arial Narrow" w:hAnsi="Arial Narrow" w:cs="Arial Narrow" w:eastAsia="Arial Narrow" w:hint="default"/>
          <w:sz w:val="20"/>
          <w:szCs w:val="20"/>
        </w:rPr>
        <w:sectPr>
          <w:footerReference w:type="default" r:id="rId65"/>
          <w:pgSz w:w="15840" w:h="12240" w:orient="landscape"/>
          <w:pgMar w:footer="688" w:header="0" w:top="1140" w:bottom="880" w:left="76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901"/>
        <w:gridCol w:w="900"/>
        <w:gridCol w:w="892"/>
        <w:gridCol w:w="486"/>
        <w:gridCol w:w="352"/>
        <w:gridCol w:w="1002"/>
        <w:gridCol w:w="1070"/>
        <w:gridCol w:w="353"/>
        <w:gridCol w:w="352"/>
        <w:gridCol w:w="1072"/>
        <w:gridCol w:w="1002"/>
        <w:gridCol w:w="1002"/>
        <w:gridCol w:w="486"/>
        <w:gridCol w:w="353"/>
        <w:gridCol w:w="934"/>
        <w:gridCol w:w="1054"/>
        <w:gridCol w:w="352"/>
        <w:gridCol w:w="1061"/>
      </w:tblGrid>
      <w:tr>
        <w:trPr>
          <w:trHeight w:val="489" w:hRule="exact"/>
        </w:trPr>
        <w:tc>
          <w:tcPr>
            <w:tcW w:w="901" w:type="dxa"/>
            <w:tcBorders>
              <w:top w:val="single" w:sz="12" w:space="0" w:color="000000"/>
              <w:left w:val="single" w:sz="12" w:space="0" w:color="000000"/>
              <w:bottom w:val="single" w:sz="6" w:space="0" w:color="000000"/>
              <w:right w:val="single" w:sz="6" w:space="0" w:color="000000"/>
            </w:tcBorders>
          </w:tcPr>
          <w:p>
            <w:pPr>
              <w:pStyle w:val="TableParagraph"/>
              <w:spacing w:line="204" w:lineRule="exact"/>
              <w:ind w:left="93" w:right="0"/>
              <w:jc w:val="left"/>
              <w:rPr>
                <w:rFonts w:ascii="宋体" w:hAnsi="宋体" w:cs="宋体" w:eastAsia="宋体" w:hint="default"/>
                <w:sz w:val="18"/>
                <w:szCs w:val="18"/>
              </w:rPr>
            </w:pPr>
            <w:r>
              <w:rPr>
                <w:rFonts w:ascii="宋体" w:hAnsi="宋体" w:cs="宋体" w:eastAsia="宋体" w:hint="default"/>
                <w:sz w:val="18"/>
                <w:szCs w:val="18"/>
              </w:rPr>
              <w:t>入和减</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少资本</w:t>
            </w:r>
          </w:p>
        </w:tc>
        <w:tc>
          <w:tcPr>
            <w:tcW w:w="900" w:type="dxa"/>
            <w:tcBorders>
              <w:top w:val="single" w:sz="12" w:space="0" w:color="000000"/>
              <w:left w:val="single" w:sz="6" w:space="0" w:color="000000"/>
              <w:bottom w:val="single" w:sz="6" w:space="0" w:color="000000"/>
              <w:right w:val="single" w:sz="6" w:space="0" w:color="000000"/>
            </w:tcBorders>
          </w:tcPr>
          <w:p>
            <w:pPr/>
          </w:p>
        </w:tc>
        <w:tc>
          <w:tcPr>
            <w:tcW w:w="892" w:type="dxa"/>
            <w:tcBorders>
              <w:top w:val="single" w:sz="12" w:space="0" w:color="000000"/>
              <w:left w:val="single" w:sz="6" w:space="0" w:color="000000"/>
              <w:bottom w:val="single" w:sz="6" w:space="0" w:color="000000"/>
              <w:right w:val="single" w:sz="6" w:space="0" w:color="000000"/>
            </w:tcBorders>
          </w:tcPr>
          <w:p>
            <w:pPr/>
          </w:p>
        </w:tc>
        <w:tc>
          <w:tcPr>
            <w:tcW w:w="486"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1070" w:type="dxa"/>
            <w:tcBorders>
              <w:top w:val="single" w:sz="12" w:space="0" w:color="000000"/>
              <w:left w:val="single" w:sz="6" w:space="0" w:color="000000"/>
              <w:bottom w:val="single" w:sz="6" w:space="0" w:color="000000"/>
              <w:right w:val="single" w:sz="6" w:space="0" w:color="000000"/>
            </w:tcBorders>
          </w:tcPr>
          <w:p>
            <w:pPr/>
          </w:p>
        </w:tc>
        <w:tc>
          <w:tcPr>
            <w:tcW w:w="353"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7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1002" w:type="dxa"/>
            <w:tcBorders>
              <w:top w:val="single" w:sz="12" w:space="0" w:color="000000"/>
              <w:left w:val="single" w:sz="6" w:space="0" w:color="000000"/>
              <w:bottom w:val="single" w:sz="6" w:space="0" w:color="000000"/>
              <w:right w:val="single" w:sz="6" w:space="0" w:color="000000"/>
            </w:tcBorders>
          </w:tcPr>
          <w:p>
            <w:pPr/>
          </w:p>
        </w:tc>
        <w:tc>
          <w:tcPr>
            <w:tcW w:w="486" w:type="dxa"/>
            <w:tcBorders>
              <w:top w:val="single" w:sz="12" w:space="0" w:color="000000"/>
              <w:left w:val="single" w:sz="6" w:space="0" w:color="000000"/>
              <w:bottom w:val="single" w:sz="6" w:space="0" w:color="000000"/>
              <w:right w:val="single" w:sz="6" w:space="0" w:color="000000"/>
            </w:tcBorders>
          </w:tcPr>
          <w:p>
            <w:pPr/>
          </w:p>
        </w:tc>
        <w:tc>
          <w:tcPr>
            <w:tcW w:w="353" w:type="dxa"/>
            <w:tcBorders>
              <w:top w:val="single" w:sz="12" w:space="0" w:color="000000"/>
              <w:left w:val="single" w:sz="6" w:space="0" w:color="000000"/>
              <w:bottom w:val="single" w:sz="6" w:space="0" w:color="000000"/>
              <w:right w:val="single" w:sz="6" w:space="0" w:color="000000"/>
            </w:tcBorders>
          </w:tcPr>
          <w:p>
            <w:pPr/>
          </w:p>
        </w:tc>
        <w:tc>
          <w:tcPr>
            <w:tcW w:w="934" w:type="dxa"/>
            <w:tcBorders>
              <w:top w:val="single" w:sz="12" w:space="0" w:color="000000"/>
              <w:left w:val="single" w:sz="6" w:space="0" w:color="000000"/>
              <w:bottom w:val="single" w:sz="6" w:space="0" w:color="000000"/>
              <w:right w:val="single" w:sz="6" w:space="0" w:color="000000"/>
            </w:tcBorders>
          </w:tcPr>
          <w:p>
            <w:pPr/>
          </w:p>
        </w:tc>
        <w:tc>
          <w:tcPr>
            <w:tcW w:w="1054" w:type="dxa"/>
            <w:tcBorders>
              <w:top w:val="single" w:sz="12" w:space="0" w:color="000000"/>
              <w:left w:val="single" w:sz="6" w:space="0" w:color="000000"/>
              <w:bottom w:val="single" w:sz="6" w:space="0" w:color="000000"/>
              <w:right w:val="single" w:sz="6" w:space="0" w:color="000000"/>
            </w:tcBorders>
          </w:tcPr>
          <w:p>
            <w:pPr/>
          </w:p>
        </w:tc>
        <w:tc>
          <w:tcPr>
            <w:tcW w:w="352" w:type="dxa"/>
            <w:tcBorders>
              <w:top w:val="single" w:sz="12" w:space="0" w:color="000000"/>
              <w:left w:val="single" w:sz="6" w:space="0" w:color="000000"/>
              <w:bottom w:val="single" w:sz="6" w:space="0" w:color="000000"/>
              <w:right w:val="single" w:sz="6" w:space="0" w:color="000000"/>
            </w:tcBorders>
          </w:tcPr>
          <w:p>
            <w:pPr/>
          </w:p>
        </w:tc>
        <w:tc>
          <w:tcPr>
            <w:tcW w:w="1061" w:type="dxa"/>
            <w:tcBorders>
              <w:top w:val="single" w:sz="12" w:space="0" w:color="000000"/>
              <w:left w:val="single" w:sz="6" w:space="0" w:color="000000"/>
              <w:bottom w:val="single" w:sz="6" w:space="0" w:color="000000"/>
              <w:right w:val="single" w:sz="12" w:space="0" w:color="000000"/>
            </w:tcBorders>
          </w:tcPr>
          <w:p>
            <w:pP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w:t>
            </w:r>
          </w:p>
          <w:p>
            <w:pPr>
              <w:pStyle w:val="TableParagraph"/>
              <w:spacing w:line="234" w:lineRule="exact" w:before="15"/>
              <w:ind w:left="93" w:right="242"/>
              <w:jc w:val="left"/>
              <w:rPr>
                <w:rFonts w:ascii="宋体" w:hAnsi="宋体" w:cs="宋体" w:eastAsia="宋体" w:hint="default"/>
                <w:sz w:val="18"/>
                <w:szCs w:val="18"/>
              </w:rPr>
            </w:pPr>
            <w:r>
              <w:rPr>
                <w:rFonts w:ascii="宋体" w:hAnsi="宋体" w:cs="宋体" w:eastAsia="宋体" w:hint="default"/>
                <w:sz w:val="18"/>
                <w:szCs w:val="18"/>
              </w:rPr>
              <w:t>者投入 资本</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46" w:right="0"/>
              <w:jc w:val="left"/>
              <w:rPr>
                <w:rFonts w:ascii="Arial Narrow" w:hAnsi="Arial Narrow" w:cs="Arial Narrow" w:eastAsia="Arial Narrow" w:hint="default"/>
                <w:sz w:val="20"/>
                <w:szCs w:val="20"/>
              </w:rPr>
            </w:pPr>
            <w:r>
              <w:rPr>
                <w:rFonts w:ascii="Arial Narrow"/>
                <w:sz w:val="20"/>
              </w:rPr>
              <w:t>13,500,0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37" w:right="0"/>
              <w:jc w:val="center"/>
              <w:rPr>
                <w:rFonts w:ascii="Arial Narrow" w:hAnsi="Arial Narrow" w:cs="Arial Narrow" w:eastAsia="Arial Narrow" w:hint="default"/>
                <w:sz w:val="20"/>
                <w:szCs w:val="20"/>
              </w:rPr>
            </w:pPr>
            <w:r>
              <w:rPr>
                <w:rFonts w:ascii="Arial Narrow"/>
                <w:sz w:val="20"/>
              </w:rPr>
              <w:t>487,906,</w:t>
            </w:r>
          </w:p>
          <w:p>
            <w:pPr>
              <w:pStyle w:val="TableParagraph"/>
              <w:spacing w:line="240" w:lineRule="auto"/>
              <w:ind w:left="174" w:right="0"/>
              <w:jc w:val="center"/>
              <w:rPr>
                <w:rFonts w:ascii="Arial Narrow" w:hAnsi="Arial Narrow" w:cs="Arial Narrow" w:eastAsia="Arial Narrow" w:hint="default"/>
                <w:sz w:val="20"/>
                <w:szCs w:val="20"/>
              </w:rPr>
            </w:pPr>
            <w:r>
              <w:rPr>
                <w:rFonts w:ascii="Arial Narrow"/>
                <w:sz w:val="20"/>
              </w:rPr>
              <w:t>035.00</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35" w:right="0"/>
              <w:jc w:val="left"/>
              <w:rPr>
                <w:rFonts w:ascii="Arial Narrow" w:hAnsi="Arial Narrow" w:cs="Arial Narrow" w:eastAsia="Arial Narrow" w:hint="default"/>
                <w:sz w:val="20"/>
                <w:szCs w:val="20"/>
              </w:rPr>
            </w:pPr>
            <w:r>
              <w:rPr>
                <w:rFonts w:ascii="Arial Narrow"/>
                <w:sz w:val="20"/>
              </w:rPr>
              <w:t>501,406,03</w:t>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5.00</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w w:val="100"/>
                <w:sz w:val="20"/>
              </w:rPr>
              <w:t>-</w:t>
            </w: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228"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支付计</w:t>
            </w:r>
          </w:p>
        </w:tc>
        <w:tc>
          <w:tcPr>
            <w:tcW w:w="90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70"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
        </w:tc>
        <w:tc>
          <w:tcPr>
            <w:tcW w:w="486" w:type="dxa"/>
            <w:tcBorders>
              <w:top w:val="nil" w:sz="6" w:space="0" w:color="auto"/>
              <w:left w:val="single" w:sz="6" w:space="0" w:color="000000"/>
              <w:bottom w:val="nil" w:sz="6" w:space="0" w:color="auto"/>
              <w:right w:val="single" w:sz="6" w:space="0" w:color="000000"/>
            </w:tcBorders>
          </w:tcPr>
          <w:p>
            <w:pPr/>
          </w:p>
        </w:tc>
        <w:tc>
          <w:tcPr>
            <w:tcW w:w="353" w:type="dxa"/>
            <w:tcBorders>
              <w:top w:val="nil" w:sz="6" w:space="0" w:color="auto"/>
              <w:left w:val="single" w:sz="6" w:space="0" w:color="000000"/>
              <w:bottom w:val="nil" w:sz="6" w:space="0" w:color="auto"/>
              <w:right w:val="single" w:sz="6" w:space="0" w:color="000000"/>
            </w:tcBorders>
          </w:tcPr>
          <w:p>
            <w:pPr/>
          </w:p>
        </w:tc>
        <w:tc>
          <w:tcPr>
            <w:tcW w:w="934" w:type="dxa"/>
            <w:tcBorders>
              <w:top w:val="nil" w:sz="6" w:space="0" w:color="auto"/>
              <w:left w:val="single" w:sz="6" w:space="0" w:color="000000"/>
              <w:bottom w:val="nil" w:sz="6" w:space="0" w:color="auto"/>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
        </w:tc>
        <w:tc>
          <w:tcPr>
            <w:tcW w:w="352" w:type="dxa"/>
            <w:tcBorders>
              <w:top w:val="nil" w:sz="6" w:space="0" w:color="auto"/>
              <w:left w:val="single" w:sz="6" w:space="0" w:color="000000"/>
              <w:bottom w:val="nil" w:sz="6" w:space="0" w:color="auto"/>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
        </w:tc>
      </w:tr>
      <w:tr>
        <w:trPr>
          <w:trHeight w:val="467"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入所有</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者权益</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2"/>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的金额</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428"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（四）利</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润分配</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9"/>
              <w:jc w:val="right"/>
              <w:rPr>
                <w:rFonts w:ascii="Arial Narrow" w:hAnsi="Arial Narrow" w:cs="Arial Narrow" w:eastAsia="Arial Narrow" w:hint="default"/>
                <w:sz w:val="20"/>
                <w:szCs w:val="20"/>
              </w:rPr>
            </w:pPr>
            <w:r>
              <w:rPr>
                <w:rFonts w:ascii="Arial Narrow"/>
                <w:spacing w:val="-1"/>
                <w:sz w:val="20"/>
              </w:rPr>
              <w:t>6,009,229.</w:t>
            </w:r>
            <w:r>
              <w:rPr>
                <w:rFonts w:ascii="Arial Narrow"/>
                <w:sz w:val="20"/>
              </w:rPr>
            </w:r>
          </w:p>
          <w:p>
            <w:pPr>
              <w:pStyle w:val="TableParagraph"/>
              <w:spacing w:line="240" w:lineRule="auto" w:before="1"/>
              <w:ind w:right="98"/>
              <w:jc w:val="right"/>
              <w:rPr>
                <w:rFonts w:ascii="Arial Narrow" w:hAnsi="Arial Narrow" w:cs="Arial Narrow" w:eastAsia="Arial Narrow" w:hint="default"/>
                <w:sz w:val="20"/>
                <w:szCs w:val="20"/>
              </w:rPr>
            </w:pPr>
            <w:r>
              <w:rPr>
                <w:rFonts w:ascii="Arial Narrow"/>
                <w:spacing w:val="-1"/>
                <w:sz w:val="20"/>
              </w:rPr>
              <w:t>32</w:t>
            </w:r>
            <w:r>
              <w:rPr>
                <w:rFonts w:ascii="Arial Narrow"/>
                <w:sz w:val="20"/>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97"/>
              <w:jc w:val="right"/>
              <w:rPr>
                <w:rFonts w:ascii="Arial Narrow" w:hAnsi="Arial Narrow" w:cs="Arial Narrow" w:eastAsia="Arial Narrow" w:hint="default"/>
                <w:sz w:val="20"/>
                <w:szCs w:val="20"/>
              </w:rPr>
            </w:pPr>
            <w:r>
              <w:rPr>
                <w:rFonts w:ascii="Arial Narrow"/>
                <w:spacing w:val="-1"/>
                <w:sz w:val="20"/>
              </w:rPr>
              <w:t>-6,009,229.</w:t>
            </w:r>
            <w:r>
              <w:rPr>
                <w:rFonts w:ascii="Arial Narrow"/>
                <w:sz w:val="20"/>
              </w:rPr>
            </w:r>
          </w:p>
          <w:p>
            <w:pPr>
              <w:pStyle w:val="TableParagraph"/>
              <w:spacing w:line="240" w:lineRule="auto" w:before="1"/>
              <w:ind w:right="97"/>
              <w:jc w:val="right"/>
              <w:rPr>
                <w:rFonts w:ascii="Arial Narrow" w:hAnsi="Arial Narrow" w:cs="Arial Narrow" w:eastAsia="Arial Narrow" w:hint="default"/>
                <w:sz w:val="20"/>
                <w:szCs w:val="20"/>
              </w:rPr>
            </w:pPr>
            <w:r>
              <w:rPr>
                <w:rFonts w:ascii="Arial Narrow"/>
                <w:spacing w:val="-1"/>
                <w:sz w:val="20"/>
              </w:rPr>
              <w:t>32</w:t>
            </w:r>
            <w:r>
              <w:rPr>
                <w:rFonts w:ascii="Arial Narrow"/>
                <w:sz w:val="20"/>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80" w:right="0"/>
              <w:jc w:val="left"/>
              <w:rPr>
                <w:rFonts w:ascii="Arial Narrow" w:hAnsi="Arial Narrow" w:cs="Arial Narrow" w:eastAsia="Arial Narrow" w:hint="default"/>
                <w:sz w:val="20"/>
                <w:szCs w:val="20"/>
              </w:rPr>
            </w:pPr>
            <w:r>
              <w:rPr>
                <w:rFonts w:ascii="Arial Narrow"/>
                <w:sz w:val="20"/>
              </w:rPr>
              <w:t>4,140,60</w:t>
            </w:r>
          </w:p>
          <w:p>
            <w:pPr>
              <w:pStyle w:val="TableParagraph"/>
              <w:spacing w:line="240" w:lineRule="auto" w:before="1"/>
              <w:ind w:left="499" w:right="0"/>
              <w:jc w:val="left"/>
              <w:rPr>
                <w:rFonts w:ascii="Arial Narrow" w:hAnsi="Arial Narrow" w:cs="Arial Narrow" w:eastAsia="Arial Narrow" w:hint="default"/>
                <w:sz w:val="20"/>
                <w:szCs w:val="20"/>
              </w:rPr>
            </w:pPr>
            <w:r>
              <w:rPr>
                <w:rFonts w:ascii="Arial Narrow"/>
                <w:sz w:val="20"/>
              </w:rPr>
              <w:t>6.05</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153" w:right="0"/>
              <w:jc w:val="left"/>
              <w:rPr>
                <w:rFonts w:ascii="Arial Narrow" w:hAnsi="Arial Narrow" w:cs="Arial Narrow" w:eastAsia="Arial Narrow" w:hint="default"/>
                <w:sz w:val="20"/>
                <w:szCs w:val="20"/>
              </w:rPr>
            </w:pPr>
            <w:r>
              <w:rPr>
                <w:rFonts w:ascii="Arial Narrow"/>
                <w:sz w:val="20"/>
              </w:rPr>
              <w:t>-10,140,60</w:t>
            </w:r>
          </w:p>
          <w:p>
            <w:pPr>
              <w:pStyle w:val="TableParagraph"/>
              <w:spacing w:line="240" w:lineRule="auto" w:before="1"/>
              <w:ind w:left="619" w:right="0"/>
              <w:jc w:val="left"/>
              <w:rPr>
                <w:rFonts w:ascii="Arial Narrow" w:hAnsi="Arial Narrow" w:cs="Arial Narrow" w:eastAsia="Arial Narrow" w:hint="default"/>
                <w:sz w:val="20"/>
                <w:szCs w:val="20"/>
              </w:rPr>
            </w:pPr>
            <w:r>
              <w:rPr>
                <w:rFonts w:ascii="Arial Narrow"/>
                <w:sz w:val="20"/>
              </w:rPr>
              <w:t>6.05</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90"/>
              <w:jc w:val="right"/>
              <w:rPr>
                <w:rFonts w:ascii="Arial Narrow" w:hAnsi="Arial Narrow" w:cs="Arial Narrow" w:eastAsia="Arial Narrow" w:hint="default"/>
                <w:sz w:val="20"/>
                <w:szCs w:val="20"/>
              </w:rPr>
            </w:pPr>
            <w:r>
              <w:rPr>
                <w:rFonts w:ascii="Arial Narrow"/>
                <w:spacing w:val="-1"/>
                <w:sz w:val="20"/>
              </w:rPr>
              <w:t>-6,000,000.</w:t>
            </w:r>
            <w:r>
              <w:rPr>
                <w:rFonts w:ascii="Arial Narrow"/>
                <w:sz w:val="20"/>
              </w:rPr>
            </w:r>
          </w:p>
          <w:p>
            <w:pPr>
              <w:pStyle w:val="TableParagraph"/>
              <w:spacing w:line="240" w:lineRule="auto" w:before="1"/>
              <w:ind w:right="90"/>
              <w:jc w:val="right"/>
              <w:rPr>
                <w:rFonts w:ascii="Arial Narrow" w:hAnsi="Arial Narrow" w:cs="Arial Narrow" w:eastAsia="Arial Narrow" w:hint="default"/>
                <w:sz w:val="20"/>
                <w:szCs w:val="20"/>
              </w:rPr>
            </w:pPr>
            <w:r>
              <w:rPr>
                <w:rFonts w:ascii="Arial Narrow"/>
                <w:spacing w:val="-1"/>
                <w:sz w:val="20"/>
              </w:rPr>
              <w:t>00</w:t>
            </w:r>
            <w:r>
              <w:rPr>
                <w:rFonts w:ascii="Arial Narrow"/>
                <w:sz w:val="20"/>
              </w:rPr>
            </w:r>
          </w:p>
        </w:tc>
      </w:tr>
      <w:tr>
        <w:trPr>
          <w:trHeight w:val="715"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w:t>
            </w:r>
          </w:p>
          <w:p>
            <w:pPr>
              <w:pStyle w:val="TableParagraph"/>
              <w:spacing w:line="234" w:lineRule="exact" w:before="15"/>
              <w:ind w:left="93" w:right="242"/>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9"/>
              <w:jc w:val="right"/>
              <w:rPr>
                <w:rFonts w:ascii="Arial Narrow" w:hAnsi="Arial Narrow" w:cs="Arial Narrow" w:eastAsia="Arial Narrow" w:hint="default"/>
                <w:sz w:val="20"/>
                <w:szCs w:val="20"/>
              </w:rPr>
            </w:pPr>
            <w:r>
              <w:rPr>
                <w:rFonts w:ascii="Arial Narrow"/>
                <w:spacing w:val="-1"/>
                <w:sz w:val="20"/>
              </w:rPr>
              <w:t>6,009,229.</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32</w:t>
            </w:r>
            <w:r>
              <w:rPr>
                <w:rFonts w:ascii="Arial Narrow"/>
                <w:sz w:val="20"/>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7"/>
              <w:jc w:val="right"/>
              <w:rPr>
                <w:rFonts w:ascii="Arial Narrow" w:hAnsi="Arial Narrow" w:cs="Arial Narrow" w:eastAsia="Arial Narrow" w:hint="default"/>
                <w:sz w:val="20"/>
                <w:szCs w:val="20"/>
              </w:rPr>
            </w:pPr>
            <w:r>
              <w:rPr>
                <w:rFonts w:ascii="Arial Narrow"/>
                <w:spacing w:val="-1"/>
                <w:sz w:val="20"/>
              </w:rPr>
              <w:t>-6,009,229.</w:t>
            </w:r>
            <w:r>
              <w:rPr>
                <w:rFonts w:ascii="Arial Narrow"/>
                <w:sz w:val="20"/>
              </w:rPr>
            </w:r>
          </w:p>
          <w:p>
            <w:pPr>
              <w:pStyle w:val="TableParagraph"/>
              <w:spacing w:line="240" w:lineRule="auto"/>
              <w:ind w:right="97"/>
              <w:jc w:val="right"/>
              <w:rPr>
                <w:rFonts w:ascii="Arial Narrow" w:hAnsi="Arial Narrow" w:cs="Arial Narrow" w:eastAsia="Arial Narrow" w:hint="default"/>
                <w:sz w:val="20"/>
                <w:szCs w:val="20"/>
              </w:rPr>
            </w:pPr>
            <w:r>
              <w:rPr>
                <w:rFonts w:ascii="Arial Narrow"/>
                <w:spacing w:val="-1"/>
                <w:sz w:val="20"/>
              </w:rPr>
              <w:t>32</w:t>
            </w:r>
            <w:r>
              <w:rPr>
                <w:rFonts w:ascii="Arial Narrow"/>
                <w:sz w:val="20"/>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left="180" w:right="0"/>
              <w:jc w:val="left"/>
              <w:rPr>
                <w:rFonts w:ascii="Arial Narrow" w:hAnsi="Arial Narrow" w:cs="Arial Narrow" w:eastAsia="Arial Narrow" w:hint="default"/>
                <w:sz w:val="20"/>
                <w:szCs w:val="20"/>
              </w:rPr>
            </w:pPr>
            <w:r>
              <w:rPr>
                <w:rFonts w:ascii="Arial Narrow"/>
                <w:sz w:val="20"/>
              </w:rPr>
              <w:t>4,140,60</w:t>
            </w:r>
          </w:p>
          <w:p>
            <w:pPr>
              <w:pStyle w:val="TableParagraph"/>
              <w:spacing w:line="240" w:lineRule="auto"/>
              <w:ind w:left="499" w:right="0"/>
              <w:jc w:val="left"/>
              <w:rPr>
                <w:rFonts w:ascii="Arial Narrow" w:hAnsi="Arial Narrow" w:cs="Arial Narrow" w:eastAsia="Arial Narrow" w:hint="default"/>
                <w:sz w:val="20"/>
                <w:szCs w:val="20"/>
              </w:rPr>
            </w:pPr>
            <w:r>
              <w:rPr>
                <w:rFonts w:ascii="Arial Narrow"/>
                <w:sz w:val="20"/>
              </w:rPr>
              <w:t>6.05</w:t>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before="121"/>
              <w:ind w:right="99"/>
              <w:jc w:val="right"/>
              <w:rPr>
                <w:rFonts w:ascii="Arial Narrow" w:hAnsi="Arial Narrow" w:cs="Arial Narrow" w:eastAsia="Arial Narrow" w:hint="default"/>
                <w:sz w:val="20"/>
                <w:szCs w:val="20"/>
              </w:rPr>
            </w:pPr>
            <w:r>
              <w:rPr>
                <w:rFonts w:ascii="Arial Narrow"/>
                <w:spacing w:val="-1"/>
                <w:sz w:val="20"/>
              </w:rPr>
              <w:t>-4,140,606.</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05</w:t>
            </w:r>
            <w:r>
              <w:rPr>
                <w:rFonts w:ascii="Arial Narrow"/>
                <w:sz w:val="20"/>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0"/>
              <w:jc w:val="right"/>
              <w:rPr>
                <w:rFonts w:ascii="Arial Narrow" w:hAnsi="Arial Narrow" w:cs="Arial Narrow" w:eastAsia="Arial Narrow" w:hint="default"/>
                <w:sz w:val="20"/>
                <w:szCs w:val="20"/>
              </w:rPr>
            </w:pPr>
            <w:r>
              <w:rPr>
                <w:rFonts w:ascii="Arial Narrow"/>
                <w:w w:val="100"/>
                <w:sz w:val="20"/>
              </w:rPr>
              <w:t>-</w:t>
            </w: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一般风</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险准备</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5"/>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vMerge w:val="restart"/>
            <w:tcBorders>
              <w:top w:val="single" w:sz="6" w:space="0" w:color="000000"/>
              <w:left w:val="single" w:sz="6" w:space="0" w:color="000000"/>
              <w:right w:val="single" w:sz="6" w:space="0" w:color="000000"/>
            </w:tcBorders>
          </w:tcPr>
          <w:p>
            <w:pPr/>
          </w:p>
        </w:tc>
        <w:tc>
          <w:tcPr>
            <w:tcW w:w="352" w:type="dxa"/>
            <w:vMerge w:val="restart"/>
            <w:tcBorders>
              <w:top w:val="single" w:sz="6" w:space="0" w:color="000000"/>
              <w:left w:val="single" w:sz="6" w:space="0" w:color="000000"/>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vMerge w:val="restart"/>
            <w:tcBorders>
              <w:top w:val="single" w:sz="6" w:space="0" w:color="000000"/>
              <w:left w:val="single" w:sz="6" w:space="0" w:color="000000"/>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vMerge w:val="restart"/>
            <w:tcBorders>
              <w:top w:val="single" w:sz="6" w:space="0" w:color="000000"/>
              <w:left w:val="single" w:sz="6" w:space="0" w:color="000000"/>
              <w:right w:val="single" w:sz="6" w:space="0" w:color="000000"/>
            </w:tcBorders>
          </w:tcPr>
          <w:p>
            <w:pPr/>
          </w:p>
        </w:tc>
        <w:tc>
          <w:tcPr>
            <w:tcW w:w="1002" w:type="dxa"/>
            <w:vMerge w:val="restart"/>
            <w:tcBorders>
              <w:top w:val="single" w:sz="6" w:space="0" w:color="000000"/>
              <w:left w:val="single" w:sz="6" w:space="0" w:color="000000"/>
              <w:right w:val="single" w:sz="6" w:space="0" w:color="000000"/>
            </w:tcBorders>
          </w:tcPr>
          <w:p>
            <w:pPr/>
          </w:p>
        </w:tc>
        <w:tc>
          <w:tcPr>
            <w:tcW w:w="486" w:type="dxa"/>
            <w:vMerge w:val="restart"/>
            <w:tcBorders>
              <w:top w:val="single" w:sz="6" w:space="0" w:color="000000"/>
              <w:left w:val="single" w:sz="6" w:space="0" w:color="000000"/>
              <w:right w:val="single" w:sz="6" w:space="0" w:color="000000"/>
            </w:tcBorders>
          </w:tcPr>
          <w:p>
            <w:pPr/>
          </w:p>
        </w:tc>
        <w:tc>
          <w:tcPr>
            <w:tcW w:w="353" w:type="dxa"/>
            <w:vMerge w:val="restart"/>
            <w:tcBorders>
              <w:top w:val="single" w:sz="6" w:space="0" w:color="000000"/>
              <w:left w:val="single" w:sz="6" w:space="0" w:color="000000"/>
              <w:right w:val="single" w:sz="6" w:space="0" w:color="000000"/>
            </w:tcBorders>
          </w:tcPr>
          <w:p>
            <w:pPr/>
          </w:p>
        </w:tc>
        <w:tc>
          <w:tcPr>
            <w:tcW w:w="934" w:type="dxa"/>
            <w:vMerge w:val="restart"/>
            <w:tcBorders>
              <w:top w:val="single" w:sz="6" w:space="0" w:color="000000"/>
              <w:left w:val="single" w:sz="6" w:space="0" w:color="000000"/>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vMerge w:val="restart"/>
            <w:tcBorders>
              <w:top w:val="single" w:sz="6" w:space="0" w:color="000000"/>
              <w:left w:val="single" w:sz="6" w:space="0" w:color="000000"/>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72"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有者（或</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股东）的</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11"/>
              <w:ind w:right="98"/>
              <w:jc w:val="right"/>
              <w:rPr>
                <w:rFonts w:ascii="Times New Roman" w:hAnsi="Times New Roman" w:cs="Times New Roman" w:eastAsia="Times New Roman" w:hint="default"/>
                <w:sz w:val="20"/>
                <w:szCs w:val="20"/>
              </w:rPr>
            </w:pPr>
            <w:r>
              <w:rPr>
                <w:rFonts w:ascii="Times New Roman"/>
                <w:w w:val="100"/>
                <w:sz w:val="20"/>
              </w:rPr>
              <w:t>-</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11"/>
              <w:ind w:right="98"/>
              <w:jc w:val="right"/>
              <w:rPr>
                <w:rFonts w:ascii="Times New Roman" w:hAnsi="Times New Roman" w:cs="Times New Roman" w:eastAsia="Times New Roman" w:hint="default"/>
                <w:sz w:val="20"/>
                <w:szCs w:val="20"/>
              </w:rPr>
            </w:pPr>
            <w:r>
              <w:rPr>
                <w:rFonts w:ascii="Times New Roman"/>
                <w:w w:val="100"/>
                <w:sz w:val="20"/>
              </w:rPr>
              <w:t>-</w:t>
            </w:r>
          </w:p>
        </w:tc>
        <w:tc>
          <w:tcPr>
            <w:tcW w:w="486" w:type="dxa"/>
            <w:vMerge/>
            <w:tcBorders>
              <w:left w:val="single" w:sz="6" w:space="0" w:color="000000"/>
              <w:right w:val="single" w:sz="6" w:space="0" w:color="000000"/>
            </w:tcBorders>
          </w:tcPr>
          <w:p>
            <w:pPr/>
          </w:p>
        </w:tc>
        <w:tc>
          <w:tcPr>
            <w:tcW w:w="352" w:type="dxa"/>
            <w:vMerge/>
            <w:tcBorders>
              <w:left w:val="single" w:sz="6" w:space="0" w:color="000000"/>
              <w:right w:val="single" w:sz="6" w:space="0" w:color="000000"/>
            </w:tcBorders>
          </w:tcPr>
          <w:p>
            <w:pP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11"/>
              <w:ind w:right="98"/>
              <w:jc w:val="right"/>
              <w:rPr>
                <w:rFonts w:ascii="Times New Roman" w:hAnsi="Times New Roman" w:cs="Times New Roman" w:eastAsia="Times New Roman" w:hint="default"/>
                <w:sz w:val="20"/>
                <w:szCs w:val="20"/>
              </w:rPr>
            </w:pPr>
            <w:r>
              <w:rPr>
                <w:rFonts w:ascii="Times New Roman"/>
                <w:w w:val="100"/>
                <w:sz w:val="20"/>
              </w:rPr>
              <w:t>-</w:t>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111"/>
              <w:ind w:right="97"/>
              <w:jc w:val="right"/>
              <w:rPr>
                <w:rFonts w:ascii="Times New Roman" w:hAnsi="Times New Roman" w:cs="Times New Roman" w:eastAsia="Times New Roman" w:hint="default"/>
                <w:sz w:val="20"/>
                <w:szCs w:val="20"/>
              </w:rPr>
            </w:pPr>
            <w:r>
              <w:rPr>
                <w:rFonts w:ascii="Times New Roman"/>
                <w:w w:val="100"/>
                <w:sz w:val="20"/>
              </w:rPr>
              <w:t>-</w:t>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66" w:right="0"/>
              <w:jc w:val="center"/>
              <w:rPr>
                <w:rFonts w:ascii="Times New Roman" w:hAnsi="Times New Roman" w:cs="Times New Roman" w:eastAsia="Times New Roman" w:hint="default"/>
                <w:sz w:val="20"/>
                <w:szCs w:val="20"/>
              </w:rPr>
            </w:pPr>
            <w:r>
              <w:rPr>
                <w:rFonts w:ascii="Times New Roman"/>
                <w:w w:val="100"/>
                <w:sz w:val="20"/>
              </w:rPr>
              <w:t>-</w:t>
            </w:r>
          </w:p>
        </w:tc>
        <w:tc>
          <w:tcPr>
            <w:tcW w:w="352" w:type="dxa"/>
            <w:vMerge/>
            <w:tcBorders>
              <w:left w:val="single" w:sz="6" w:space="0" w:color="000000"/>
              <w:right w:val="single" w:sz="6" w:space="0" w:color="000000"/>
            </w:tcBorders>
          </w:tcPr>
          <w:p>
            <w:pP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111"/>
              <w:ind w:right="98"/>
              <w:jc w:val="right"/>
              <w:rPr>
                <w:rFonts w:ascii="Times New Roman" w:hAnsi="Times New Roman" w:cs="Times New Roman" w:eastAsia="Times New Roman" w:hint="default"/>
                <w:sz w:val="20"/>
                <w:szCs w:val="20"/>
              </w:rPr>
            </w:pPr>
            <w:r>
              <w:rPr>
                <w:rFonts w:ascii="Times New Roman"/>
                <w:w w:val="100"/>
                <w:sz w:val="20"/>
              </w:rPr>
              <w:t>-</w:t>
            </w:r>
          </w:p>
        </w:tc>
        <w:tc>
          <w:tcPr>
            <w:tcW w:w="1002" w:type="dxa"/>
            <w:vMerge/>
            <w:tcBorders>
              <w:left w:val="single" w:sz="6" w:space="0" w:color="000000"/>
              <w:right w:val="single" w:sz="6" w:space="0" w:color="000000"/>
            </w:tcBorders>
          </w:tcPr>
          <w:p>
            <w:pPr/>
          </w:p>
        </w:tc>
        <w:tc>
          <w:tcPr>
            <w:tcW w:w="1002" w:type="dxa"/>
            <w:vMerge/>
            <w:tcBorders>
              <w:left w:val="single" w:sz="6" w:space="0" w:color="000000"/>
              <w:right w:val="single" w:sz="6" w:space="0" w:color="000000"/>
            </w:tcBorders>
          </w:tcPr>
          <w:p>
            <w:pPr/>
          </w:p>
        </w:tc>
        <w:tc>
          <w:tcPr>
            <w:tcW w:w="486" w:type="dxa"/>
            <w:vMerge/>
            <w:tcBorders>
              <w:left w:val="single" w:sz="6" w:space="0" w:color="000000"/>
              <w:right w:val="single" w:sz="6" w:space="0" w:color="000000"/>
            </w:tcBorders>
          </w:tcPr>
          <w:p>
            <w:pPr/>
          </w:p>
        </w:tc>
        <w:tc>
          <w:tcPr>
            <w:tcW w:w="353" w:type="dxa"/>
            <w:vMerge/>
            <w:tcBorders>
              <w:left w:val="single" w:sz="6" w:space="0" w:color="000000"/>
              <w:right w:val="single" w:sz="6" w:space="0" w:color="000000"/>
            </w:tcBorders>
          </w:tcPr>
          <w:p>
            <w:pPr/>
          </w:p>
        </w:tc>
        <w:tc>
          <w:tcPr>
            <w:tcW w:w="934" w:type="dxa"/>
            <w:vMerge/>
            <w:tcBorders>
              <w:left w:val="single" w:sz="6" w:space="0" w:color="000000"/>
              <w:right w:val="single" w:sz="6" w:space="0" w:color="000000"/>
            </w:tcBorders>
          </w:tcPr>
          <w:p>
            <w:pP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26" w:lineRule="exact"/>
              <w:ind w:left="171" w:right="0"/>
              <w:jc w:val="left"/>
              <w:rPr>
                <w:rFonts w:ascii="Times New Roman" w:hAnsi="Times New Roman" w:cs="Times New Roman" w:eastAsia="Times New Roman" w:hint="default"/>
                <w:sz w:val="20"/>
                <w:szCs w:val="20"/>
              </w:rPr>
            </w:pPr>
            <w:r>
              <w:rPr>
                <w:rFonts w:ascii="Times New Roman"/>
                <w:sz w:val="20"/>
              </w:rPr>
              <w:t>-6,000,00</w:t>
            </w:r>
          </w:p>
          <w:p>
            <w:pPr>
              <w:pStyle w:val="TableParagraph"/>
              <w:spacing w:line="240" w:lineRule="auto"/>
              <w:ind w:left="587" w:right="0"/>
              <w:jc w:val="left"/>
              <w:rPr>
                <w:rFonts w:ascii="Times New Roman" w:hAnsi="Times New Roman" w:cs="Times New Roman" w:eastAsia="Times New Roman" w:hint="default"/>
                <w:sz w:val="20"/>
                <w:szCs w:val="20"/>
              </w:rPr>
            </w:pPr>
            <w:r>
              <w:rPr>
                <w:rFonts w:ascii="Times New Roman"/>
                <w:sz w:val="20"/>
              </w:rPr>
              <w:t>0.00</w:t>
            </w:r>
          </w:p>
        </w:tc>
        <w:tc>
          <w:tcPr>
            <w:tcW w:w="352" w:type="dxa"/>
            <w:vMerge/>
            <w:tcBorders>
              <w:left w:val="single" w:sz="6" w:space="0" w:color="000000"/>
              <w:right w:val="single" w:sz="6" w:space="0" w:color="000000"/>
            </w:tcBorders>
          </w:tcPr>
          <w:p>
            <w:pP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29" w:lineRule="exact"/>
              <w:ind w:right="90"/>
              <w:jc w:val="right"/>
              <w:rPr>
                <w:rFonts w:ascii="Arial Narrow" w:hAnsi="Arial Narrow" w:cs="Arial Narrow" w:eastAsia="Arial Narrow" w:hint="default"/>
                <w:sz w:val="20"/>
                <w:szCs w:val="20"/>
              </w:rPr>
            </w:pPr>
            <w:r>
              <w:rPr>
                <w:rFonts w:ascii="Arial Narrow"/>
                <w:spacing w:val="-1"/>
                <w:sz w:val="20"/>
              </w:rPr>
              <w:t>-6,000,000.</w:t>
            </w:r>
            <w:r>
              <w:rPr>
                <w:rFonts w:ascii="Arial Narrow"/>
                <w:sz w:val="20"/>
              </w:rPr>
            </w:r>
          </w:p>
          <w:p>
            <w:pPr>
              <w:pStyle w:val="TableParagraph"/>
              <w:spacing w:line="240" w:lineRule="auto"/>
              <w:ind w:right="90"/>
              <w:jc w:val="right"/>
              <w:rPr>
                <w:rFonts w:ascii="Arial Narrow" w:hAnsi="Arial Narrow" w:cs="Arial Narrow" w:eastAsia="Arial Narrow" w:hint="default"/>
                <w:sz w:val="20"/>
                <w:szCs w:val="20"/>
              </w:rPr>
            </w:pPr>
            <w:r>
              <w:rPr>
                <w:rFonts w:ascii="Arial Narrow"/>
                <w:spacing w:val="-1"/>
                <w:sz w:val="20"/>
              </w:rPr>
              <w:t>00</w:t>
            </w:r>
            <w:r>
              <w:rPr>
                <w:rFonts w:ascii="Arial Narrow"/>
                <w:sz w:val="20"/>
              </w:rPr>
            </w:r>
          </w:p>
        </w:tc>
      </w:tr>
      <w:tr>
        <w:trPr>
          <w:trHeight w:val="23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197" w:lineRule="exact"/>
              <w:ind w:left="93" w:right="0"/>
              <w:jc w:val="left"/>
              <w:rPr>
                <w:rFonts w:ascii="宋体" w:hAnsi="宋体" w:cs="宋体" w:eastAsia="宋体" w:hint="default"/>
                <w:sz w:val="18"/>
                <w:szCs w:val="18"/>
              </w:rPr>
            </w:pPr>
            <w:r>
              <w:rPr>
                <w:rFonts w:ascii="宋体" w:hAnsi="宋体" w:cs="宋体" w:eastAsia="宋体" w:hint="default"/>
                <w:sz w:val="18"/>
                <w:szCs w:val="18"/>
              </w:rPr>
              <w:t>分配</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vMerge/>
            <w:tcBorders>
              <w:left w:val="single" w:sz="6" w:space="0" w:color="000000"/>
              <w:bottom w:val="single" w:sz="6" w:space="0" w:color="000000"/>
              <w:right w:val="single" w:sz="6" w:space="0" w:color="000000"/>
            </w:tcBorders>
          </w:tcPr>
          <w:p>
            <w:pPr/>
          </w:p>
        </w:tc>
        <w:tc>
          <w:tcPr>
            <w:tcW w:w="352" w:type="dxa"/>
            <w:vMerge/>
            <w:tcBorders>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vMerge/>
            <w:tcBorders>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vMerge/>
            <w:tcBorders>
              <w:left w:val="single" w:sz="6" w:space="0" w:color="000000"/>
              <w:bottom w:val="single" w:sz="6" w:space="0" w:color="000000"/>
              <w:right w:val="single" w:sz="6" w:space="0" w:color="000000"/>
            </w:tcBorders>
          </w:tcPr>
          <w:p>
            <w:pPr/>
          </w:p>
        </w:tc>
        <w:tc>
          <w:tcPr>
            <w:tcW w:w="1002" w:type="dxa"/>
            <w:vMerge/>
            <w:tcBorders>
              <w:left w:val="single" w:sz="6" w:space="0" w:color="000000"/>
              <w:bottom w:val="single" w:sz="6" w:space="0" w:color="000000"/>
              <w:right w:val="single" w:sz="6" w:space="0" w:color="000000"/>
            </w:tcBorders>
          </w:tcPr>
          <w:p>
            <w:pPr/>
          </w:p>
        </w:tc>
        <w:tc>
          <w:tcPr>
            <w:tcW w:w="486" w:type="dxa"/>
            <w:vMerge/>
            <w:tcBorders>
              <w:left w:val="single" w:sz="6" w:space="0" w:color="000000"/>
              <w:bottom w:val="single" w:sz="6" w:space="0" w:color="000000"/>
              <w:right w:val="single" w:sz="6" w:space="0" w:color="000000"/>
            </w:tcBorders>
          </w:tcPr>
          <w:p>
            <w:pPr/>
          </w:p>
        </w:tc>
        <w:tc>
          <w:tcPr>
            <w:tcW w:w="353" w:type="dxa"/>
            <w:vMerge/>
            <w:tcBorders>
              <w:left w:val="single" w:sz="6" w:space="0" w:color="000000"/>
              <w:bottom w:val="single" w:sz="6" w:space="0" w:color="000000"/>
              <w:right w:val="single" w:sz="6" w:space="0" w:color="000000"/>
            </w:tcBorders>
          </w:tcPr>
          <w:p>
            <w:pPr/>
          </w:p>
        </w:tc>
        <w:tc>
          <w:tcPr>
            <w:tcW w:w="934" w:type="dxa"/>
            <w:vMerge/>
            <w:tcBorders>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vMerge/>
            <w:tcBorders>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428"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1"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（五）所</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67" w:hRule="exact"/>
        </w:trPr>
        <w:tc>
          <w:tcPr>
            <w:tcW w:w="901" w:type="dxa"/>
            <w:tcBorders>
              <w:top w:val="nil" w:sz="6" w:space="0" w:color="auto"/>
              <w:left w:val="single" w:sz="12" w:space="0" w:color="000000"/>
              <w:bottom w:val="nil" w:sz="6" w:space="0" w:color="auto"/>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z w:val="18"/>
                <w:szCs w:val="18"/>
              </w:rPr>
              <w:t>有者权</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益内部</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nil" w:sz="6" w:space="0" w:color="auto"/>
              <w:right w:val="single" w:sz="6" w:space="0" w:color="000000"/>
            </w:tcBorders>
          </w:tcPr>
          <w:p>
            <w:pPr>
              <w:pStyle w:val="TableParagraph"/>
              <w:spacing w:line="240" w:lineRule="auto" w:before="126"/>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nil" w:sz="6" w:space="0" w:color="auto"/>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2"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7" w:lineRule="exact"/>
              <w:ind w:left="93" w:right="0"/>
              <w:jc w:val="left"/>
              <w:rPr>
                <w:rFonts w:ascii="宋体" w:hAnsi="宋体" w:cs="宋体" w:eastAsia="宋体" w:hint="default"/>
                <w:sz w:val="18"/>
                <w:szCs w:val="18"/>
              </w:rPr>
            </w:pPr>
            <w:r>
              <w:rPr>
                <w:rFonts w:ascii="宋体" w:hAnsi="宋体" w:cs="宋体" w:eastAsia="宋体" w:hint="default"/>
                <w:sz w:val="18"/>
                <w:szCs w:val="18"/>
              </w:rPr>
              <w:t>结转</w:t>
            </w:r>
          </w:p>
        </w:tc>
        <w:tc>
          <w:tcPr>
            <w:tcW w:w="90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70"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7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1002" w:type="dxa"/>
            <w:tcBorders>
              <w:top w:val="nil" w:sz="6" w:space="0" w:color="auto"/>
              <w:left w:val="single" w:sz="6" w:space="0" w:color="000000"/>
              <w:bottom w:val="single" w:sz="6" w:space="0" w:color="000000"/>
              <w:right w:val="single" w:sz="6" w:space="0" w:color="000000"/>
            </w:tcBorders>
          </w:tcPr>
          <w:p>
            <w:pPr/>
          </w:p>
        </w:tc>
        <w:tc>
          <w:tcPr>
            <w:tcW w:w="486" w:type="dxa"/>
            <w:tcBorders>
              <w:top w:val="nil" w:sz="6" w:space="0" w:color="auto"/>
              <w:left w:val="single" w:sz="6" w:space="0" w:color="000000"/>
              <w:bottom w:val="single" w:sz="6" w:space="0" w:color="000000"/>
              <w:right w:val="single" w:sz="6" w:space="0" w:color="000000"/>
            </w:tcBorders>
          </w:tcPr>
          <w:p>
            <w:pPr/>
          </w:p>
        </w:tc>
        <w:tc>
          <w:tcPr>
            <w:tcW w:w="353" w:type="dxa"/>
            <w:tcBorders>
              <w:top w:val="nil" w:sz="6" w:space="0" w:color="auto"/>
              <w:left w:val="single" w:sz="6" w:space="0" w:color="000000"/>
              <w:bottom w:val="single" w:sz="6" w:space="0" w:color="000000"/>
              <w:right w:val="single" w:sz="6" w:space="0" w:color="000000"/>
            </w:tcBorders>
          </w:tcPr>
          <w:p>
            <w:pPr/>
          </w:p>
        </w:tc>
        <w:tc>
          <w:tcPr>
            <w:tcW w:w="934" w:type="dxa"/>
            <w:tcBorders>
              <w:top w:val="nil" w:sz="6" w:space="0" w:color="auto"/>
              <w:left w:val="single" w:sz="6" w:space="0" w:color="000000"/>
              <w:bottom w:val="single" w:sz="6" w:space="0" w:color="000000"/>
              <w:right w:val="single" w:sz="6" w:space="0" w:color="000000"/>
            </w:tcBorders>
          </w:tcPr>
          <w:p>
            <w:pPr/>
          </w:p>
        </w:tc>
        <w:tc>
          <w:tcPr>
            <w:tcW w:w="1054" w:type="dxa"/>
            <w:tcBorders>
              <w:top w:val="nil" w:sz="6" w:space="0" w:color="auto"/>
              <w:left w:val="single" w:sz="6" w:space="0" w:color="000000"/>
              <w:bottom w:val="single" w:sz="6" w:space="0" w:color="000000"/>
              <w:right w:val="single" w:sz="6" w:space="0" w:color="000000"/>
            </w:tcBorders>
          </w:tcPr>
          <w:p>
            <w:pPr/>
          </w:p>
        </w:tc>
        <w:tc>
          <w:tcPr>
            <w:tcW w:w="352" w:type="dxa"/>
            <w:tcBorders>
              <w:top w:val="nil" w:sz="6" w:space="0" w:color="auto"/>
              <w:left w:val="single" w:sz="6" w:space="0" w:color="000000"/>
              <w:bottom w:val="single" w:sz="6" w:space="0" w:color="000000"/>
              <w:right w:val="single" w:sz="6" w:space="0" w:color="000000"/>
            </w:tcBorders>
          </w:tcPr>
          <w:p>
            <w:pPr/>
          </w:p>
        </w:tc>
        <w:tc>
          <w:tcPr>
            <w:tcW w:w="1061" w:type="dxa"/>
            <w:tcBorders>
              <w:top w:val="nil" w:sz="6" w:space="0" w:color="auto"/>
              <w:left w:val="single" w:sz="6" w:space="0" w:color="000000"/>
              <w:bottom w:val="single" w:sz="6" w:space="0" w:color="000000"/>
              <w:right w:val="single" w:sz="12" w:space="0" w:color="000000"/>
            </w:tcBorders>
          </w:tcPr>
          <w:p>
            <w:pP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70" w:hRule="exact"/>
        </w:trPr>
        <w:tc>
          <w:tcPr>
            <w:tcW w:w="901" w:type="dxa"/>
            <w:tcBorders>
              <w:top w:val="nil" w:sz="6" w:space="0" w:color="auto"/>
              <w:left w:val="single" w:sz="12" w:space="0" w:color="000000"/>
              <w:bottom w:val="single" w:sz="6"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公积转</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增资本</w:t>
            </w:r>
          </w:p>
        </w:tc>
        <w:tc>
          <w:tcPr>
            <w:tcW w:w="9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5"/>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45" w:hRule="exact"/>
        </w:trPr>
        <w:tc>
          <w:tcPr>
            <w:tcW w:w="901" w:type="dxa"/>
            <w:tcBorders>
              <w:top w:val="single" w:sz="6" w:space="0" w:color="000000"/>
              <w:left w:val="single" w:sz="12" w:space="0" w:color="000000"/>
              <w:bottom w:val="nil" w:sz="6" w:space="0" w:color="auto"/>
              <w:right w:val="single" w:sz="6" w:space="0" w:color="000000"/>
            </w:tcBorders>
          </w:tcPr>
          <w:p>
            <w:pPr>
              <w:pStyle w:val="TableParagraph"/>
              <w:spacing w:line="220"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w:t>
            </w:r>
          </w:p>
        </w:tc>
        <w:tc>
          <w:tcPr>
            <w:tcW w:w="90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70"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7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1002" w:type="dxa"/>
            <w:tcBorders>
              <w:top w:val="single" w:sz="6" w:space="0" w:color="000000"/>
              <w:left w:val="single" w:sz="6" w:space="0" w:color="000000"/>
              <w:bottom w:val="nil" w:sz="6" w:space="0" w:color="auto"/>
              <w:right w:val="single" w:sz="6" w:space="0" w:color="000000"/>
            </w:tcBorders>
          </w:tcPr>
          <w:p>
            <w:pPr/>
          </w:p>
        </w:tc>
        <w:tc>
          <w:tcPr>
            <w:tcW w:w="486" w:type="dxa"/>
            <w:tcBorders>
              <w:top w:val="single" w:sz="6" w:space="0" w:color="000000"/>
              <w:left w:val="single" w:sz="6" w:space="0" w:color="000000"/>
              <w:bottom w:val="nil" w:sz="6" w:space="0" w:color="auto"/>
              <w:right w:val="single" w:sz="6" w:space="0" w:color="000000"/>
            </w:tcBorders>
          </w:tcPr>
          <w:p>
            <w:pPr/>
          </w:p>
        </w:tc>
        <w:tc>
          <w:tcPr>
            <w:tcW w:w="353" w:type="dxa"/>
            <w:tcBorders>
              <w:top w:val="single" w:sz="6" w:space="0" w:color="000000"/>
              <w:left w:val="single" w:sz="6" w:space="0" w:color="000000"/>
              <w:bottom w:val="nil" w:sz="6" w:space="0" w:color="auto"/>
              <w:right w:val="single" w:sz="6" w:space="0" w:color="000000"/>
            </w:tcBorders>
          </w:tcPr>
          <w:p>
            <w:pPr/>
          </w:p>
        </w:tc>
        <w:tc>
          <w:tcPr>
            <w:tcW w:w="934" w:type="dxa"/>
            <w:tcBorders>
              <w:top w:val="single" w:sz="6" w:space="0" w:color="000000"/>
              <w:left w:val="single" w:sz="6" w:space="0" w:color="000000"/>
              <w:bottom w:val="nil" w:sz="6" w:space="0" w:color="auto"/>
              <w:right w:val="single" w:sz="6" w:space="0" w:color="000000"/>
            </w:tcBorders>
          </w:tcPr>
          <w:p>
            <w:pPr/>
          </w:p>
        </w:tc>
        <w:tc>
          <w:tcPr>
            <w:tcW w:w="1054" w:type="dxa"/>
            <w:tcBorders>
              <w:top w:val="single" w:sz="6" w:space="0" w:color="000000"/>
              <w:left w:val="single" w:sz="6" w:space="0" w:color="000000"/>
              <w:bottom w:val="nil" w:sz="6" w:space="0" w:color="auto"/>
              <w:right w:val="single" w:sz="6" w:space="0" w:color="000000"/>
            </w:tcBorders>
          </w:tcPr>
          <w:p>
            <w:pPr/>
          </w:p>
        </w:tc>
        <w:tc>
          <w:tcPr>
            <w:tcW w:w="352" w:type="dxa"/>
            <w:tcBorders>
              <w:top w:val="single" w:sz="6" w:space="0" w:color="000000"/>
              <w:left w:val="single" w:sz="6" w:space="0" w:color="000000"/>
              <w:bottom w:val="nil" w:sz="6" w:space="0" w:color="auto"/>
              <w:right w:val="single" w:sz="6" w:space="0" w:color="000000"/>
            </w:tcBorders>
          </w:tcPr>
          <w:p>
            <w:pPr/>
          </w:p>
        </w:tc>
        <w:tc>
          <w:tcPr>
            <w:tcW w:w="1061" w:type="dxa"/>
            <w:tcBorders>
              <w:top w:val="single" w:sz="6" w:space="0" w:color="000000"/>
              <w:left w:val="single" w:sz="6" w:space="0" w:color="000000"/>
              <w:bottom w:val="nil" w:sz="6" w:space="0" w:color="auto"/>
              <w:right w:val="single" w:sz="12" w:space="0" w:color="000000"/>
            </w:tcBorders>
          </w:tcPr>
          <w:p>
            <w:pPr/>
          </w:p>
        </w:tc>
      </w:tr>
      <w:tr>
        <w:trPr>
          <w:trHeight w:val="478" w:hRule="exact"/>
        </w:trPr>
        <w:tc>
          <w:tcPr>
            <w:tcW w:w="901" w:type="dxa"/>
            <w:tcBorders>
              <w:top w:val="nil" w:sz="6" w:space="0" w:color="auto"/>
              <w:left w:val="single" w:sz="12" w:space="0" w:color="000000"/>
              <w:bottom w:val="single" w:sz="12" w:space="0" w:color="000000"/>
              <w:right w:val="single" w:sz="6" w:space="0" w:color="000000"/>
            </w:tcBorders>
          </w:tcPr>
          <w:p>
            <w:pPr>
              <w:pStyle w:val="TableParagraph"/>
              <w:spacing w:line="201" w:lineRule="exact"/>
              <w:ind w:left="93" w:right="0"/>
              <w:jc w:val="left"/>
              <w:rPr>
                <w:rFonts w:ascii="宋体" w:hAnsi="宋体" w:cs="宋体" w:eastAsia="宋体" w:hint="default"/>
                <w:sz w:val="18"/>
                <w:szCs w:val="18"/>
              </w:rPr>
            </w:pPr>
            <w:r>
              <w:rPr>
                <w:rFonts w:ascii="宋体" w:hAnsi="宋体" w:cs="宋体" w:eastAsia="宋体" w:hint="default"/>
                <w:sz w:val="18"/>
                <w:szCs w:val="18"/>
              </w:rPr>
              <w:t>公积转</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增资本</w:t>
            </w:r>
          </w:p>
        </w:tc>
        <w:tc>
          <w:tcPr>
            <w:tcW w:w="900"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8"/>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5"/>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5"/>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8"/>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4"/>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5"/>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nil" w:sz="6" w:space="0" w:color="auto"/>
              <w:left w:val="single" w:sz="6" w:space="0" w:color="000000"/>
              <w:bottom w:val="single" w:sz="12" w:space="0" w:color="000000"/>
              <w:right w:val="single" w:sz="6" w:space="0" w:color="000000"/>
            </w:tcBorders>
          </w:tcPr>
          <w:p>
            <w:pPr>
              <w:pStyle w:val="TableParagraph"/>
              <w:spacing w:line="240" w:lineRule="auto" w:before="108"/>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nil" w:sz="6" w:space="0" w:color="auto"/>
              <w:left w:val="single" w:sz="6" w:space="0" w:color="000000"/>
              <w:bottom w:val="single" w:sz="12" w:space="0" w:color="000000"/>
              <w:right w:val="single" w:sz="12" w:space="0" w:color="000000"/>
            </w:tcBorders>
          </w:tcPr>
          <w:p>
            <w:pPr>
              <w:pStyle w:val="TableParagraph"/>
              <w:spacing w:line="240" w:lineRule="auto" w:before="5"/>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footerReference w:type="default" r:id="rId66"/>
          <w:pgSz w:w="15840" w:h="12240" w:orient="landscape"/>
          <w:pgMar w:footer="688" w:header="0" w:top="1140" w:bottom="880" w:left="760" w:right="120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901"/>
        <w:gridCol w:w="900"/>
        <w:gridCol w:w="892"/>
        <w:gridCol w:w="486"/>
        <w:gridCol w:w="352"/>
        <w:gridCol w:w="1002"/>
        <w:gridCol w:w="1070"/>
        <w:gridCol w:w="353"/>
        <w:gridCol w:w="352"/>
        <w:gridCol w:w="1072"/>
        <w:gridCol w:w="1002"/>
        <w:gridCol w:w="1002"/>
        <w:gridCol w:w="486"/>
        <w:gridCol w:w="353"/>
        <w:gridCol w:w="934"/>
        <w:gridCol w:w="1054"/>
        <w:gridCol w:w="352"/>
        <w:gridCol w:w="1061"/>
      </w:tblGrid>
      <w:tr>
        <w:trPr>
          <w:trHeight w:val="722" w:hRule="exact"/>
        </w:trPr>
        <w:tc>
          <w:tcPr>
            <w:tcW w:w="901" w:type="dxa"/>
            <w:tcBorders>
              <w:top w:val="single" w:sz="12" w:space="0" w:color="000000"/>
              <w:left w:val="single" w:sz="12" w:space="0" w:color="000000"/>
              <w:bottom w:val="single" w:sz="6" w:space="0" w:color="000000"/>
              <w:right w:val="single" w:sz="6" w:space="0" w:color="000000"/>
            </w:tcBorders>
          </w:tcPr>
          <w:p>
            <w:pPr>
              <w:pStyle w:val="TableParagraph"/>
              <w:spacing w:line="21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w:t>
            </w:r>
          </w:p>
          <w:p>
            <w:pPr>
              <w:pStyle w:val="TableParagraph"/>
              <w:spacing w:line="234" w:lineRule="exact" w:before="15"/>
              <w:ind w:left="93" w:right="242"/>
              <w:jc w:val="left"/>
              <w:rPr>
                <w:rFonts w:ascii="宋体" w:hAnsi="宋体" w:cs="宋体" w:eastAsia="宋体" w:hint="default"/>
                <w:sz w:val="18"/>
                <w:szCs w:val="18"/>
              </w:rPr>
            </w:pPr>
            <w:r>
              <w:rPr>
                <w:rFonts w:ascii="宋体" w:hAnsi="宋体" w:cs="宋体" w:eastAsia="宋体" w:hint="default"/>
                <w:sz w:val="18"/>
                <w:szCs w:val="18"/>
              </w:rPr>
              <w:t>公积弥 补亏损</w:t>
            </w:r>
          </w:p>
        </w:tc>
        <w:tc>
          <w:tcPr>
            <w:tcW w:w="90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left="75"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1"/>
                <w:szCs w:val="21"/>
              </w:rPr>
            </w:pPr>
          </w:p>
          <w:p>
            <w:pPr>
              <w:pStyle w:val="TableParagraph"/>
              <w:spacing w:line="240" w:lineRule="auto"/>
              <w:ind w:right="33"/>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1"/>
                <w:szCs w:val="21"/>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7"/>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1"/>
                <w:szCs w:val="21"/>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Times New Roman" w:hAnsi="Times New Roman" w:cs="Times New Roman" w:eastAsia="Times New Roman" w:hint="default"/>
                <w:sz w:val="21"/>
                <w:szCs w:val="21"/>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30"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59"/>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9"/>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（六）专</w:t>
            </w:r>
          </w:p>
          <w:p>
            <w:pPr>
              <w:pStyle w:val="TableParagraph"/>
              <w:spacing w:line="234" w:lineRule="exact"/>
              <w:ind w:left="93" w:right="0"/>
              <w:jc w:val="left"/>
              <w:rPr>
                <w:rFonts w:ascii="宋体" w:hAnsi="宋体" w:cs="宋体" w:eastAsia="宋体" w:hint="default"/>
                <w:sz w:val="18"/>
                <w:szCs w:val="18"/>
              </w:rPr>
            </w:pPr>
            <w:r>
              <w:rPr>
                <w:rFonts w:ascii="宋体" w:hAnsi="宋体" w:cs="宋体" w:eastAsia="宋体" w:hint="default"/>
                <w:sz w:val="18"/>
                <w:szCs w:val="18"/>
              </w:rPr>
              <w:t>项储备</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4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3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9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6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13"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w:t>
            </w:r>
          </w:p>
          <w:p>
            <w:pPr>
              <w:pStyle w:val="TableParagraph"/>
              <w:spacing w:line="228" w:lineRule="exact"/>
              <w:ind w:left="93" w:right="0"/>
              <w:jc w:val="left"/>
              <w:rPr>
                <w:rFonts w:ascii="宋体" w:hAnsi="宋体" w:cs="宋体" w:eastAsia="宋体" w:hint="default"/>
                <w:sz w:val="18"/>
                <w:szCs w:val="18"/>
              </w:rPr>
            </w:pPr>
            <w:r>
              <w:rPr>
                <w:rFonts w:ascii="宋体" w:hAnsi="宋体" w:cs="宋体" w:eastAsia="宋体" w:hint="default"/>
                <w:sz w:val="18"/>
                <w:szCs w:val="18"/>
              </w:rPr>
              <w:t>提取</w:t>
            </w:r>
          </w:p>
        </w:tc>
        <w:tc>
          <w:tcPr>
            <w:tcW w:w="900"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1070"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9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1"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12"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w:t>
            </w:r>
          </w:p>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sz w:val="18"/>
                <w:szCs w:val="18"/>
              </w:rPr>
              <w:t>使用</w:t>
            </w:r>
          </w:p>
        </w:tc>
        <w:tc>
          <w:tcPr>
            <w:tcW w:w="900"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1070"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9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82" w:hRule="exact"/>
        </w:trPr>
        <w:tc>
          <w:tcPr>
            <w:tcW w:w="901" w:type="dxa"/>
            <w:tcBorders>
              <w:top w:val="single" w:sz="6" w:space="0" w:color="000000"/>
              <w:left w:val="single" w:sz="12" w:space="0" w:color="000000"/>
              <w:bottom w:val="single" w:sz="6" w:space="0" w:color="000000"/>
              <w:right w:val="single" w:sz="6"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（七）其</w:t>
            </w:r>
          </w:p>
          <w:p>
            <w:pPr>
              <w:pStyle w:val="TableParagraph"/>
              <w:spacing w:line="235" w:lineRule="exact"/>
              <w:ind w:left="93" w:right="0"/>
              <w:jc w:val="left"/>
              <w:rPr>
                <w:rFonts w:ascii="宋体" w:hAnsi="宋体" w:cs="宋体" w:eastAsia="宋体" w:hint="default"/>
                <w:sz w:val="18"/>
                <w:szCs w:val="18"/>
              </w:rPr>
            </w:pPr>
            <w:r>
              <w:rPr>
                <w:rFonts w:ascii="宋体" w:hAnsi="宋体" w:cs="宋体" w:eastAsia="宋体" w:hint="default"/>
                <w:sz w:val="18"/>
                <w:szCs w:val="18"/>
              </w:rPr>
              <w:t>他</w:t>
            </w:r>
          </w:p>
        </w:tc>
        <w:tc>
          <w:tcPr>
            <w:tcW w:w="900"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1070"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6"/>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02" w:type="dxa"/>
            <w:tcBorders>
              <w:top w:val="single" w:sz="6" w:space="0" w:color="000000"/>
              <w:left w:val="single" w:sz="6" w:space="0" w:color="000000"/>
              <w:bottom w:val="single" w:sz="6" w:space="0" w:color="000000"/>
              <w:right w:val="single" w:sz="6" w:space="0" w:color="000000"/>
            </w:tcBorders>
          </w:tcPr>
          <w:p>
            <w:pPr/>
          </w:p>
        </w:tc>
        <w:tc>
          <w:tcPr>
            <w:tcW w:w="1002" w:type="dxa"/>
            <w:tcBorders>
              <w:top w:val="single" w:sz="6" w:space="0" w:color="000000"/>
              <w:left w:val="single" w:sz="6" w:space="0" w:color="000000"/>
              <w:bottom w:val="single" w:sz="6" w:space="0" w:color="000000"/>
              <w:right w:val="single" w:sz="6" w:space="0" w:color="000000"/>
            </w:tcBorders>
          </w:tcPr>
          <w:p>
            <w:pPr/>
          </w:p>
        </w:tc>
        <w:tc>
          <w:tcPr>
            <w:tcW w:w="486" w:type="dxa"/>
            <w:tcBorders>
              <w:top w:val="single" w:sz="6" w:space="0" w:color="000000"/>
              <w:left w:val="single" w:sz="6" w:space="0" w:color="000000"/>
              <w:bottom w:val="single" w:sz="6" w:space="0" w:color="000000"/>
              <w:right w:val="single" w:sz="6" w:space="0" w:color="000000"/>
            </w:tcBorders>
          </w:tcPr>
          <w:p>
            <w:pPr/>
          </w:p>
        </w:tc>
        <w:tc>
          <w:tcPr>
            <w:tcW w:w="353" w:type="dxa"/>
            <w:tcBorders>
              <w:top w:val="single" w:sz="6" w:space="0" w:color="000000"/>
              <w:left w:val="single" w:sz="6" w:space="0" w:color="000000"/>
              <w:bottom w:val="single" w:sz="6" w:space="0" w:color="000000"/>
              <w:right w:val="single" w:sz="6" w:space="0" w:color="000000"/>
            </w:tcBorders>
          </w:tcPr>
          <w:p>
            <w:pPr/>
          </w:p>
        </w:tc>
        <w:tc>
          <w:tcPr>
            <w:tcW w:w="934" w:type="dxa"/>
            <w:tcBorders>
              <w:top w:val="single" w:sz="6" w:space="0" w:color="000000"/>
              <w:left w:val="single" w:sz="6" w:space="0" w:color="000000"/>
              <w:bottom w:val="single" w:sz="6" w:space="0" w:color="000000"/>
              <w:right w:val="single" w:sz="6" w:space="0" w:color="000000"/>
            </w:tcBorders>
          </w:tcPr>
          <w:p>
            <w:pPr/>
          </w:p>
        </w:tc>
        <w:tc>
          <w:tcPr>
            <w:tcW w:w="1054" w:type="dxa"/>
            <w:tcBorders>
              <w:top w:val="single" w:sz="6" w:space="0" w:color="000000"/>
              <w:left w:val="single" w:sz="6" w:space="0" w:color="000000"/>
              <w:bottom w:val="single" w:sz="6" w:space="0" w:color="000000"/>
              <w:right w:val="single" w:sz="6" w:space="0" w:color="000000"/>
            </w:tcBorders>
          </w:tcPr>
          <w:p>
            <w:pPr/>
          </w:p>
        </w:tc>
        <w:tc>
          <w:tcPr>
            <w:tcW w:w="352" w:type="dxa"/>
            <w:tcBorders>
              <w:top w:val="single" w:sz="6" w:space="0" w:color="000000"/>
              <w:left w:val="single" w:sz="6" w:space="0" w:color="000000"/>
              <w:bottom w:val="single" w:sz="6" w:space="0" w:color="000000"/>
              <w:right w:val="single" w:sz="6" w:space="0" w:color="000000"/>
            </w:tcBorders>
          </w:tcPr>
          <w:p>
            <w:pPr/>
          </w:p>
        </w:tc>
        <w:tc>
          <w:tcPr>
            <w:tcW w:w="106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26"/>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23" w:hRule="exact"/>
        </w:trPr>
        <w:tc>
          <w:tcPr>
            <w:tcW w:w="901" w:type="dxa"/>
            <w:tcBorders>
              <w:top w:val="single" w:sz="6" w:space="0" w:color="000000"/>
              <w:left w:val="single" w:sz="12" w:space="0" w:color="000000"/>
              <w:bottom w:val="single" w:sz="12" w:space="0" w:color="000000"/>
              <w:right w:val="single" w:sz="6"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pacing w:val="-9"/>
                <w:sz w:val="18"/>
                <w:szCs w:val="18"/>
              </w:rPr>
              <w:t>四、本年</w:t>
            </w:r>
          </w:p>
          <w:p>
            <w:pPr>
              <w:pStyle w:val="TableParagraph"/>
              <w:spacing w:line="240" w:lineRule="auto"/>
              <w:ind w:left="93" w:right="242"/>
              <w:jc w:val="left"/>
              <w:rPr>
                <w:rFonts w:ascii="宋体" w:hAnsi="宋体" w:cs="宋体" w:eastAsia="宋体" w:hint="default"/>
                <w:sz w:val="18"/>
                <w:szCs w:val="18"/>
              </w:rPr>
            </w:pPr>
            <w:r>
              <w:rPr>
                <w:rFonts w:ascii="宋体" w:hAnsi="宋体" w:cs="宋体" w:eastAsia="宋体" w:hint="default"/>
                <w:sz w:val="18"/>
                <w:szCs w:val="18"/>
              </w:rPr>
              <w:t>年末余 额</w:t>
            </w:r>
          </w:p>
        </w:tc>
        <w:tc>
          <w:tcPr>
            <w:tcW w:w="900"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46" w:right="0"/>
              <w:jc w:val="left"/>
              <w:rPr>
                <w:rFonts w:ascii="Arial Narrow" w:hAnsi="Arial Narrow" w:cs="Arial Narrow" w:eastAsia="Arial Narrow" w:hint="default"/>
                <w:sz w:val="20"/>
                <w:szCs w:val="20"/>
              </w:rPr>
            </w:pPr>
            <w:r>
              <w:rPr>
                <w:rFonts w:ascii="Arial Narrow"/>
                <w:sz w:val="20"/>
              </w:rPr>
              <w:t>53,500,0</w:t>
            </w:r>
          </w:p>
          <w:p>
            <w:pPr>
              <w:pStyle w:val="TableParagraph"/>
              <w:spacing w:line="240" w:lineRule="auto"/>
              <w:ind w:left="374" w:right="0"/>
              <w:jc w:val="left"/>
              <w:rPr>
                <w:rFonts w:ascii="Arial Narrow" w:hAnsi="Arial Narrow" w:cs="Arial Narrow" w:eastAsia="Arial Narrow" w:hint="default"/>
                <w:sz w:val="20"/>
                <w:szCs w:val="20"/>
              </w:rPr>
            </w:pPr>
            <w:r>
              <w:rPr>
                <w:rFonts w:ascii="Arial Narrow"/>
                <w:sz w:val="20"/>
              </w:rPr>
              <w:t>00.00</w:t>
            </w:r>
          </w:p>
        </w:tc>
        <w:tc>
          <w:tcPr>
            <w:tcW w:w="89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37" w:right="0"/>
              <w:jc w:val="center"/>
              <w:rPr>
                <w:rFonts w:ascii="Arial Narrow" w:hAnsi="Arial Narrow" w:cs="Arial Narrow" w:eastAsia="Arial Narrow" w:hint="default"/>
                <w:sz w:val="20"/>
                <w:szCs w:val="20"/>
              </w:rPr>
            </w:pPr>
            <w:r>
              <w:rPr>
                <w:rFonts w:ascii="Arial Narrow"/>
                <w:sz w:val="20"/>
              </w:rPr>
              <w:t>503,182,</w:t>
            </w:r>
          </w:p>
          <w:p>
            <w:pPr>
              <w:pStyle w:val="TableParagraph"/>
              <w:spacing w:line="240" w:lineRule="auto"/>
              <w:ind w:left="174" w:right="0"/>
              <w:jc w:val="center"/>
              <w:rPr>
                <w:rFonts w:ascii="Arial Narrow" w:hAnsi="Arial Narrow" w:cs="Arial Narrow" w:eastAsia="Arial Narrow" w:hint="default"/>
                <w:sz w:val="20"/>
                <w:szCs w:val="20"/>
              </w:rPr>
            </w:pPr>
            <w:r>
              <w:rPr>
                <w:rFonts w:ascii="Arial Narrow"/>
                <w:sz w:val="20"/>
              </w:rPr>
              <w:t>020.13</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9"/>
              <w:jc w:val="right"/>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12,338,59</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1.73</w:t>
            </w:r>
          </w:p>
        </w:tc>
        <w:tc>
          <w:tcPr>
            <w:tcW w:w="1070"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35" w:right="0"/>
              <w:jc w:val="left"/>
              <w:rPr>
                <w:rFonts w:ascii="Arial Narrow" w:hAnsi="Arial Narrow" w:cs="Arial Narrow" w:eastAsia="Arial Narrow" w:hint="default"/>
                <w:sz w:val="20"/>
                <w:szCs w:val="20"/>
              </w:rPr>
            </w:pPr>
            <w:r>
              <w:rPr>
                <w:rFonts w:ascii="Arial Narrow"/>
                <w:sz w:val="20"/>
              </w:rPr>
              <w:t>105,193,37</w:t>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0.34</w:t>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left="78" w:right="0"/>
              <w:jc w:val="center"/>
              <w:rPr>
                <w:rFonts w:ascii="Arial Narrow" w:hAnsi="Arial Narrow" w:cs="Arial Narrow" w:eastAsia="Arial Narrow" w:hint="default"/>
                <w:sz w:val="20"/>
                <w:szCs w:val="20"/>
              </w:rPr>
            </w:pPr>
            <w:r>
              <w:rPr>
                <w:rFonts w:ascii="Arial Narrow"/>
                <w:w w:val="100"/>
                <w:sz w:val="20"/>
              </w:rPr>
              <w:t>-</w:t>
            </w:r>
          </w:p>
        </w:tc>
        <w:tc>
          <w:tcPr>
            <w:tcW w:w="352" w:type="dxa"/>
            <w:tcBorders>
              <w:top w:val="single" w:sz="6" w:space="0" w:color="000000"/>
              <w:left w:val="single" w:sz="6" w:space="0" w:color="000000"/>
              <w:bottom w:val="single" w:sz="12" w:space="0" w:color="000000"/>
              <w:right w:val="single" w:sz="6" w:space="0" w:color="000000"/>
            </w:tcBorders>
          </w:tcPr>
          <w:p>
            <w:pPr/>
          </w:p>
        </w:tc>
        <w:tc>
          <w:tcPr>
            <w:tcW w:w="107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35" w:right="0"/>
              <w:jc w:val="left"/>
              <w:rPr>
                <w:rFonts w:ascii="Arial Narrow" w:hAnsi="Arial Narrow" w:cs="Arial Narrow" w:eastAsia="Arial Narrow" w:hint="default"/>
                <w:sz w:val="20"/>
                <w:szCs w:val="20"/>
              </w:rPr>
            </w:pPr>
            <w:r>
              <w:rPr>
                <w:rFonts w:ascii="Arial Narrow"/>
                <w:sz w:val="20"/>
              </w:rPr>
              <w:t>674,213,98</w:t>
            </w:r>
          </w:p>
          <w:p>
            <w:pPr>
              <w:pStyle w:val="TableParagraph"/>
              <w:spacing w:line="240" w:lineRule="auto"/>
              <w:ind w:left="637" w:right="0"/>
              <w:jc w:val="left"/>
              <w:rPr>
                <w:rFonts w:ascii="Arial Narrow" w:hAnsi="Arial Narrow" w:cs="Arial Narrow" w:eastAsia="Arial Narrow" w:hint="default"/>
                <w:sz w:val="20"/>
                <w:szCs w:val="20"/>
              </w:rPr>
            </w:pPr>
            <w:r>
              <w:rPr>
                <w:rFonts w:ascii="Arial Narrow"/>
                <w:sz w:val="20"/>
              </w:rPr>
              <w:t>2.20</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40,000,00</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0.00</w:t>
            </w:r>
          </w:p>
        </w:tc>
        <w:tc>
          <w:tcPr>
            <w:tcW w:w="1002"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57" w:right="0"/>
              <w:jc w:val="left"/>
              <w:rPr>
                <w:rFonts w:ascii="Arial Narrow" w:hAnsi="Arial Narrow" w:cs="Arial Narrow" w:eastAsia="Arial Narrow" w:hint="default"/>
                <w:sz w:val="20"/>
                <w:szCs w:val="20"/>
              </w:rPr>
            </w:pPr>
            <w:r>
              <w:rPr>
                <w:rFonts w:ascii="Arial Narrow"/>
                <w:sz w:val="20"/>
              </w:rPr>
              <w:t>15,275,98</w:t>
            </w:r>
          </w:p>
          <w:p>
            <w:pPr>
              <w:pStyle w:val="TableParagraph"/>
              <w:spacing w:line="240" w:lineRule="auto"/>
              <w:ind w:left="567" w:right="0"/>
              <w:jc w:val="left"/>
              <w:rPr>
                <w:rFonts w:ascii="Arial Narrow" w:hAnsi="Arial Narrow" w:cs="Arial Narrow" w:eastAsia="Arial Narrow" w:hint="default"/>
                <w:sz w:val="20"/>
                <w:szCs w:val="20"/>
              </w:rPr>
            </w:pPr>
            <w:r>
              <w:rPr>
                <w:rFonts w:ascii="Arial Narrow"/>
                <w:sz w:val="20"/>
              </w:rPr>
              <w:t>5.13</w:t>
            </w:r>
          </w:p>
        </w:tc>
        <w:tc>
          <w:tcPr>
            <w:tcW w:w="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98"/>
              <w:jc w:val="right"/>
              <w:rPr>
                <w:rFonts w:ascii="Arial Narrow" w:hAnsi="Arial Narrow" w:cs="Arial Narrow" w:eastAsia="Arial Narrow" w:hint="default"/>
                <w:sz w:val="20"/>
                <w:szCs w:val="20"/>
              </w:rPr>
            </w:pPr>
            <w:r>
              <w:rPr>
                <w:rFonts w:ascii="Arial Narrow"/>
                <w:w w:val="100"/>
                <w:sz w:val="20"/>
              </w:rPr>
              <w:t>-</w:t>
            </w:r>
          </w:p>
        </w:tc>
        <w:tc>
          <w:tcPr>
            <w:tcW w:w="35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100"/>
              <w:jc w:val="right"/>
              <w:rPr>
                <w:rFonts w:ascii="Arial Narrow" w:hAnsi="Arial Narrow" w:cs="Arial Narrow" w:eastAsia="Arial Narrow" w:hint="default"/>
                <w:sz w:val="20"/>
                <w:szCs w:val="20"/>
              </w:rPr>
            </w:pPr>
            <w:r>
              <w:rPr>
                <w:rFonts w:ascii="Arial Narrow"/>
                <w:w w:val="100"/>
                <w:sz w:val="20"/>
              </w:rPr>
              <w:t>-</w:t>
            </w:r>
          </w:p>
        </w:tc>
        <w:tc>
          <w:tcPr>
            <w:tcW w:w="934"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left="180" w:right="0"/>
              <w:jc w:val="left"/>
              <w:rPr>
                <w:rFonts w:ascii="Arial Narrow" w:hAnsi="Arial Narrow" w:cs="Arial Narrow" w:eastAsia="Arial Narrow" w:hint="default"/>
                <w:sz w:val="20"/>
                <w:szCs w:val="20"/>
              </w:rPr>
            </w:pPr>
            <w:r>
              <w:rPr>
                <w:rFonts w:ascii="Arial Narrow"/>
                <w:sz w:val="20"/>
              </w:rPr>
              <w:t>6,329,36</w:t>
            </w:r>
          </w:p>
          <w:p>
            <w:pPr>
              <w:pStyle w:val="TableParagraph"/>
              <w:spacing w:line="240" w:lineRule="auto"/>
              <w:ind w:left="499" w:right="0"/>
              <w:jc w:val="left"/>
              <w:rPr>
                <w:rFonts w:ascii="Arial Narrow" w:hAnsi="Arial Narrow" w:cs="Arial Narrow" w:eastAsia="Arial Narrow" w:hint="default"/>
                <w:sz w:val="20"/>
                <w:szCs w:val="20"/>
              </w:rPr>
            </w:pPr>
            <w:r>
              <w:rPr>
                <w:rFonts w:ascii="Arial Narrow"/>
                <w:sz w:val="20"/>
              </w:rPr>
              <w:t>2.41</w:t>
            </w:r>
          </w:p>
        </w:tc>
        <w:tc>
          <w:tcPr>
            <w:tcW w:w="1054" w:type="dxa"/>
            <w:tcBorders>
              <w:top w:val="single" w:sz="6" w:space="0" w:color="000000"/>
              <w:left w:val="single" w:sz="6" w:space="0" w:color="000000"/>
              <w:bottom w:val="single" w:sz="12" w:space="0" w:color="000000"/>
              <w:right w:val="single" w:sz="6" w:space="0" w:color="000000"/>
            </w:tcBorders>
          </w:tcPr>
          <w:p>
            <w:pPr>
              <w:pStyle w:val="TableParagraph"/>
              <w:spacing w:line="229" w:lineRule="exact" w:before="121"/>
              <w:ind w:right="100"/>
              <w:jc w:val="right"/>
              <w:rPr>
                <w:rFonts w:ascii="Arial Narrow" w:hAnsi="Arial Narrow" w:cs="Arial Narrow" w:eastAsia="Arial Narrow" w:hint="default"/>
                <w:sz w:val="20"/>
                <w:szCs w:val="20"/>
              </w:rPr>
            </w:pPr>
            <w:r>
              <w:rPr>
                <w:rFonts w:ascii="Arial Narrow"/>
                <w:spacing w:val="-3"/>
                <w:sz w:val="20"/>
              </w:rPr>
              <w:t>51,110,306</w:t>
            </w:r>
            <w:r>
              <w:rPr>
                <w:rFonts w:ascii="Arial Narrow"/>
                <w:sz w:val="20"/>
              </w:rPr>
            </w:r>
          </w:p>
          <w:p>
            <w:pPr>
              <w:pStyle w:val="TableParagraph"/>
              <w:spacing w:line="240" w:lineRule="auto"/>
              <w:ind w:right="98"/>
              <w:jc w:val="right"/>
              <w:rPr>
                <w:rFonts w:ascii="Arial Narrow" w:hAnsi="Arial Narrow" w:cs="Arial Narrow" w:eastAsia="Arial Narrow" w:hint="default"/>
                <w:sz w:val="20"/>
                <w:szCs w:val="20"/>
              </w:rPr>
            </w:pPr>
            <w:r>
              <w:rPr>
                <w:rFonts w:ascii="Arial Narrow"/>
                <w:spacing w:val="-1"/>
                <w:sz w:val="20"/>
              </w:rPr>
              <w:t>.48</w:t>
            </w:r>
            <w:r>
              <w:rPr>
                <w:rFonts w:ascii="Arial Narrow"/>
                <w:sz w:val="20"/>
              </w:rPr>
            </w:r>
          </w:p>
        </w:tc>
        <w:tc>
          <w:tcPr>
            <w:tcW w:w="3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0"/>
              <w:ind w:right="99"/>
              <w:jc w:val="right"/>
              <w:rPr>
                <w:rFonts w:ascii="Arial Narrow" w:hAnsi="Arial Narrow" w:cs="Arial Narrow" w:eastAsia="Arial Narrow" w:hint="default"/>
                <w:sz w:val="20"/>
                <w:szCs w:val="20"/>
              </w:rPr>
            </w:pPr>
            <w:r>
              <w:rPr>
                <w:rFonts w:ascii="Arial Narrow"/>
                <w:w w:val="100"/>
                <w:sz w:val="20"/>
              </w:rPr>
              <w:t>-</w:t>
            </w:r>
          </w:p>
        </w:tc>
        <w:tc>
          <w:tcPr>
            <w:tcW w:w="1061" w:type="dxa"/>
            <w:tcBorders>
              <w:top w:val="single" w:sz="6" w:space="0" w:color="000000"/>
              <w:left w:val="single" w:sz="6" w:space="0" w:color="000000"/>
              <w:bottom w:val="single" w:sz="12" w:space="0" w:color="000000"/>
              <w:right w:val="single" w:sz="12" w:space="0" w:color="000000"/>
            </w:tcBorders>
          </w:tcPr>
          <w:p>
            <w:pPr>
              <w:pStyle w:val="TableParagraph"/>
              <w:spacing w:line="229" w:lineRule="exact" w:before="121"/>
              <w:ind w:left="137" w:right="0"/>
              <w:jc w:val="left"/>
              <w:rPr>
                <w:rFonts w:ascii="Arial Narrow" w:hAnsi="Arial Narrow" w:cs="Arial Narrow" w:eastAsia="Arial Narrow" w:hint="default"/>
                <w:sz w:val="20"/>
                <w:szCs w:val="20"/>
              </w:rPr>
            </w:pPr>
            <w:r>
              <w:rPr>
                <w:rFonts w:ascii="Arial Narrow"/>
                <w:spacing w:val="-3"/>
                <w:sz w:val="20"/>
              </w:rPr>
              <w:t>112,715,65</w:t>
            </w:r>
            <w:r>
              <w:rPr>
                <w:rFonts w:ascii="Arial Narrow"/>
                <w:sz w:val="20"/>
              </w:rPr>
            </w:r>
          </w:p>
          <w:p>
            <w:pPr>
              <w:pStyle w:val="TableParagraph"/>
              <w:spacing w:line="240" w:lineRule="auto"/>
              <w:ind w:left="627" w:right="0"/>
              <w:jc w:val="left"/>
              <w:rPr>
                <w:rFonts w:ascii="Arial Narrow" w:hAnsi="Arial Narrow" w:cs="Arial Narrow" w:eastAsia="Arial Narrow" w:hint="default"/>
                <w:sz w:val="20"/>
                <w:szCs w:val="20"/>
              </w:rPr>
            </w:pPr>
            <w:r>
              <w:rPr>
                <w:rFonts w:ascii="Arial Narrow"/>
                <w:sz w:val="20"/>
              </w:rPr>
              <w:t>4.02</w:t>
            </w:r>
          </w:p>
        </w:tc>
      </w:tr>
    </w:tbl>
    <w:p>
      <w:pPr>
        <w:tabs>
          <w:tab w:pos="5500" w:val="left" w:leader="none"/>
          <w:tab w:pos="11352" w:val="left" w:leader="none"/>
        </w:tabs>
        <w:spacing w:line="240" w:lineRule="exact" w:before="0"/>
        <w:ind w:left="486" w:right="0" w:firstLine="0"/>
        <w:jc w:val="left"/>
        <w:rPr>
          <w:rFonts w:ascii="宋体" w:hAnsi="宋体" w:cs="宋体" w:eastAsia="宋体" w:hint="default"/>
          <w:sz w:val="21"/>
          <w:szCs w:val="21"/>
        </w:rPr>
      </w:pPr>
      <w:r>
        <w:rPr>
          <w:rFonts w:ascii="宋体" w:hAnsi="宋体" w:cs="宋体" w:eastAsia="宋体" w:hint="default"/>
          <w:spacing w:val="-3"/>
          <w:sz w:val="21"/>
          <w:szCs w:val="21"/>
        </w:rPr>
        <w:t>法定代表人：刘祥南</w:t>
        <w:tab/>
        <w:t>主管会计工作负责人：张乃军</w:t>
        <w:tab/>
        <w:t>会计机构负责人：陈志友</w:t>
      </w:r>
    </w:p>
    <w:p>
      <w:pPr>
        <w:spacing w:after="0" w:line="240" w:lineRule="exact"/>
        <w:jc w:val="left"/>
        <w:rPr>
          <w:rFonts w:ascii="宋体" w:hAnsi="宋体" w:cs="宋体" w:eastAsia="宋体" w:hint="default"/>
          <w:sz w:val="21"/>
          <w:szCs w:val="21"/>
        </w:rPr>
        <w:sectPr>
          <w:pgSz w:w="15840" w:h="12240" w:orient="landscape"/>
          <w:pgMar w:header="0" w:footer="688" w:top="1140" w:bottom="880" w:left="760" w:right="1200"/>
        </w:sectPr>
      </w:pPr>
    </w:p>
    <w:p>
      <w:pPr>
        <w:spacing w:line="240" w:lineRule="auto" w:before="12"/>
        <w:rPr>
          <w:rFonts w:ascii="宋体" w:hAnsi="宋体" w:cs="宋体" w:eastAsia="宋体" w:hint="default"/>
          <w:sz w:val="27"/>
          <w:szCs w:val="27"/>
        </w:rPr>
      </w:pPr>
    </w:p>
    <w:p>
      <w:pPr>
        <w:pStyle w:val="Heading1"/>
        <w:spacing w:line="240" w:lineRule="auto" w:before="1"/>
        <w:ind w:right="59"/>
        <w:jc w:val="center"/>
        <w:rPr>
          <w:b w:val="0"/>
          <w:bCs w:val="0"/>
        </w:rPr>
      </w:pPr>
      <w:bookmarkStart w:name="财务报表附注" w:id="12"/>
      <w:bookmarkEnd w:id="12"/>
      <w:r>
        <w:rPr>
          <w:b w:val="0"/>
          <w:bCs w:val="0"/>
        </w:rPr>
      </w:r>
      <w:r>
        <w:rPr/>
        <w:t>财务报表附注</w:t>
      </w:r>
      <w:r>
        <w:rPr>
          <w:b w:val="0"/>
          <w:bCs w:val="0"/>
        </w:rPr>
      </w:r>
    </w:p>
    <w:p>
      <w:pPr>
        <w:spacing w:line="240" w:lineRule="auto" w:before="2"/>
        <w:rPr>
          <w:rFonts w:ascii="黑体" w:hAnsi="黑体" w:cs="黑体" w:eastAsia="黑体" w:hint="default"/>
          <w:b/>
          <w:bCs/>
          <w:sz w:val="41"/>
          <w:szCs w:val="41"/>
        </w:rPr>
      </w:pPr>
    </w:p>
    <w:p>
      <w:pPr>
        <w:spacing w:before="0"/>
        <w:ind w:left="0" w:right="136" w:firstLine="0"/>
        <w:jc w:val="center"/>
        <w:rPr>
          <w:rFonts w:ascii="宋体" w:hAnsi="宋体" w:cs="宋体" w:eastAsia="宋体" w:hint="default"/>
          <w:sz w:val="30"/>
          <w:szCs w:val="30"/>
        </w:rPr>
      </w:pPr>
      <w:r>
        <w:rPr>
          <w:rFonts w:ascii="宋体" w:hAnsi="宋体" w:cs="宋体" w:eastAsia="宋体" w:hint="default"/>
          <w:b/>
          <w:bCs/>
          <w:spacing w:val="29"/>
          <w:sz w:val="30"/>
          <w:szCs w:val="30"/>
        </w:rPr>
        <w:t>2011</w:t>
      </w:r>
      <w:r>
        <w:rPr>
          <w:rFonts w:ascii="宋体" w:hAnsi="宋体" w:cs="宋体" w:eastAsia="宋体" w:hint="default"/>
          <w:b/>
          <w:bCs/>
          <w:spacing w:val="-23"/>
          <w:sz w:val="30"/>
          <w:szCs w:val="30"/>
        </w:rPr>
        <w:t> </w:t>
      </w:r>
      <w:r>
        <w:rPr>
          <w:rFonts w:ascii="宋体" w:hAnsi="宋体" w:cs="宋体" w:eastAsia="宋体" w:hint="default"/>
          <w:b/>
          <w:bCs/>
          <w:sz w:val="30"/>
          <w:szCs w:val="30"/>
        </w:rPr>
        <w:t>年</w:t>
      </w:r>
      <w:r>
        <w:rPr>
          <w:rFonts w:ascii="宋体" w:hAnsi="宋体" w:cs="宋体" w:eastAsia="宋体" w:hint="default"/>
          <w:b/>
          <w:bCs/>
          <w:spacing w:val="-78"/>
          <w:sz w:val="30"/>
          <w:szCs w:val="30"/>
        </w:rPr>
        <w:t> </w:t>
      </w:r>
      <w:r>
        <w:rPr>
          <w:rFonts w:ascii="宋体" w:hAnsi="宋体" w:cs="宋体" w:eastAsia="宋体" w:hint="default"/>
          <w:b/>
          <w:bCs/>
          <w:sz w:val="30"/>
          <w:szCs w:val="30"/>
        </w:rPr>
        <w:t>度</w:t>
      </w:r>
      <w:r>
        <w:rPr>
          <w:rFonts w:ascii="宋体" w:hAnsi="宋体" w:cs="宋体" w:eastAsia="宋体" w:hint="default"/>
          <w:sz w:val="30"/>
          <w:szCs w:val="30"/>
        </w:rPr>
      </w:r>
    </w:p>
    <w:p>
      <w:pPr>
        <w:tabs>
          <w:tab w:pos="6711" w:val="left" w:leader="none"/>
        </w:tabs>
        <w:spacing w:before="265"/>
        <w:ind w:left="0" w:right="53" w:firstLine="0"/>
        <w:jc w:val="center"/>
        <w:rPr>
          <w:rFonts w:ascii="宋体" w:hAnsi="宋体" w:cs="宋体" w:eastAsia="宋体" w:hint="default"/>
          <w:sz w:val="21"/>
          <w:szCs w:val="21"/>
        </w:rPr>
      </w:pPr>
      <w:r>
        <w:rPr>
          <w:rFonts w:ascii="宋体" w:hAnsi="宋体" w:cs="宋体" w:eastAsia="宋体" w:hint="default"/>
          <w:spacing w:val="3"/>
          <w:sz w:val="21"/>
          <w:szCs w:val="21"/>
        </w:rPr>
        <w:t>编制单位：厦门市美亚柏科信息股份有限公司</w:t>
        <w:tab/>
      </w:r>
      <w:r>
        <w:rPr>
          <w:rFonts w:ascii="宋体" w:hAnsi="宋体" w:cs="宋体" w:eastAsia="宋体" w:hint="default"/>
          <w:spacing w:val="4"/>
          <w:sz w:val="21"/>
          <w:szCs w:val="21"/>
        </w:rPr>
        <w:t>金额单位：人民币元</w:t>
      </w:r>
      <w:r>
        <w:rPr>
          <w:rFonts w:ascii="宋体" w:hAnsi="宋体" w:cs="宋体" w:eastAsia="宋体" w:hint="default"/>
          <w:sz w:val="21"/>
          <w:szCs w:val="21"/>
        </w:rPr>
      </w:r>
    </w:p>
    <w:p>
      <w:pPr>
        <w:spacing w:line="240" w:lineRule="auto" w:before="3"/>
        <w:rPr>
          <w:rFonts w:ascii="宋体" w:hAnsi="宋体" w:cs="宋体" w:eastAsia="宋体" w:hint="default"/>
          <w:sz w:val="9"/>
          <w:szCs w:val="9"/>
        </w:rPr>
      </w:pPr>
    </w:p>
    <w:p>
      <w:pPr>
        <w:spacing w:line="44" w:lineRule="exact"/>
        <w:ind w:left="10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37.25pt;height:2.25pt;mso-position-horizontal-relative:char;mso-position-vertical-relative:line" coordorigin="0,0" coordsize="8745,45">
            <v:group style="position:absolute;left:22;top:22;width:8700;height:2" coordorigin="22,22" coordsize="8700,2">
              <v:shape style="position:absolute;left:22;top:22;width:8700;height:2" coordorigin="22,22" coordsize="8700,0" path="m22,22l8722,22e" filled="false" stroked="true" strokeweight="2.220pt" strokecolor="#000000">
                <v:path arrowok="t"/>
              </v:shape>
            </v:group>
          </v:group>
        </w:pict>
      </w:r>
      <w:r>
        <w:rPr>
          <w:rFonts w:ascii="宋体" w:hAnsi="宋体" w:cs="宋体" w:eastAsia="宋体" w:hint="default"/>
          <w:position w:val="0"/>
          <w:sz w:val="4"/>
          <w:szCs w:val="4"/>
        </w:rPr>
      </w:r>
    </w:p>
    <w:p>
      <w:pPr>
        <w:spacing w:line="240" w:lineRule="auto" w:before="5"/>
        <w:rPr>
          <w:rFonts w:ascii="宋体" w:hAnsi="宋体" w:cs="宋体" w:eastAsia="宋体" w:hint="default"/>
          <w:sz w:val="13"/>
          <w:szCs w:val="13"/>
        </w:rPr>
      </w:pPr>
    </w:p>
    <w:p>
      <w:pPr>
        <w:pStyle w:val="BodyText"/>
        <w:spacing w:line="240" w:lineRule="auto" w:before="26"/>
        <w:ind w:left="580" w:right="214"/>
        <w:jc w:val="left"/>
        <w:rPr>
          <w:rFonts w:ascii="黑体" w:hAnsi="黑体" w:cs="黑体" w:eastAsia="黑体" w:hint="default"/>
        </w:rPr>
      </w:pPr>
      <w:r>
        <w:rPr>
          <w:rFonts w:ascii="黑体" w:hAnsi="黑体" w:cs="黑体" w:eastAsia="黑体" w:hint="default"/>
        </w:rPr>
        <w:t>一、公司的基本情况</w:t>
      </w:r>
    </w:p>
    <w:p>
      <w:pPr>
        <w:spacing w:line="240" w:lineRule="auto" w:before="3"/>
        <w:rPr>
          <w:rFonts w:ascii="黑体" w:hAnsi="黑体" w:cs="黑体" w:eastAsia="黑体" w:hint="default"/>
          <w:sz w:val="21"/>
          <w:szCs w:val="21"/>
        </w:rPr>
      </w:pPr>
    </w:p>
    <w:p>
      <w:pPr>
        <w:spacing w:line="355" w:lineRule="auto" w:before="0"/>
        <w:ind w:left="580" w:right="214" w:firstLine="0"/>
        <w:jc w:val="left"/>
        <w:rPr>
          <w:rFonts w:ascii="Arial Narrow" w:hAnsi="Arial Narrow" w:cs="Arial Narrow" w:eastAsia="Arial Narrow" w:hint="default"/>
          <w:sz w:val="21"/>
          <w:szCs w:val="21"/>
        </w:rPr>
      </w:pPr>
      <w:r>
        <w:rPr>
          <w:rFonts w:ascii="宋体" w:hAnsi="宋体" w:cs="宋体" w:eastAsia="宋体" w:hint="default"/>
          <w:sz w:val="21"/>
          <w:szCs w:val="21"/>
        </w:rPr>
        <w:t>（一）历史沿革 厦门市美亚柏科信息股份有限公司（原名</w:t>
      </w:r>
      <w:r>
        <w:rPr>
          <w:rFonts w:ascii="Arial Narrow" w:hAnsi="Arial Narrow" w:cs="Arial Narrow" w:eastAsia="Arial Narrow" w:hint="default"/>
          <w:sz w:val="21"/>
          <w:szCs w:val="21"/>
        </w:rPr>
        <w:t>“</w:t>
      </w:r>
      <w:r>
        <w:rPr>
          <w:rFonts w:ascii="宋体" w:hAnsi="宋体" w:cs="宋体" w:eastAsia="宋体" w:hint="default"/>
          <w:sz w:val="21"/>
          <w:szCs w:val="21"/>
        </w:rPr>
        <w:t>厦门市美亚柏科资讯科技有限公司</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2009   </w:t>
      </w:r>
      <w:r>
        <w:rPr>
          <w:rFonts w:ascii="宋体" w:hAnsi="宋体" w:cs="宋体" w:eastAsia="宋体" w:hint="default"/>
          <w:sz w:val="21"/>
          <w:szCs w:val="21"/>
        </w:rPr>
        <w:t>年</w:t>
      </w:r>
      <w:r>
        <w:rPr>
          <w:rFonts w:ascii="宋体" w:hAnsi="宋体" w:cs="宋体" w:eastAsia="宋体" w:hint="default"/>
          <w:spacing w:val="13"/>
          <w:sz w:val="21"/>
          <w:szCs w:val="21"/>
        </w:rPr>
        <w:t> </w:t>
      </w:r>
      <w:r>
        <w:rPr>
          <w:rFonts w:ascii="Arial Narrow" w:hAnsi="Arial Narrow" w:cs="Arial Narrow" w:eastAsia="Arial Narrow" w:hint="default"/>
          <w:sz w:val="21"/>
          <w:szCs w:val="21"/>
        </w:rPr>
        <w:t>9</w:t>
      </w:r>
    </w:p>
    <w:p>
      <w:pPr>
        <w:spacing w:before="5"/>
        <w:ind w:left="160" w:right="106"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Arial Narrow" w:hAnsi="Arial Narrow" w:cs="Arial Narrow" w:eastAsia="Arial Narrow" w:hint="default"/>
          <w:w w:val="99"/>
          <w:sz w:val="21"/>
          <w:szCs w:val="21"/>
        </w:rPr>
        <w:t>22</w:t>
      </w:r>
      <w:r>
        <w:rPr>
          <w:rFonts w:ascii="Arial Narrow" w:hAnsi="Arial Narrow" w:cs="Arial Narrow" w:eastAsia="Arial Narrow" w:hint="default"/>
          <w:spacing w:val="19"/>
          <w:sz w:val="21"/>
          <w:szCs w:val="21"/>
        </w:rPr>
        <w:t> </w:t>
      </w:r>
      <w:r>
        <w:rPr>
          <w:rFonts w:ascii="宋体" w:hAnsi="宋体" w:cs="宋体" w:eastAsia="宋体" w:hint="default"/>
          <w:sz w:val="21"/>
          <w:szCs w:val="21"/>
        </w:rPr>
        <w:t>日整</w:t>
      </w:r>
      <w:r>
        <w:rPr>
          <w:rFonts w:ascii="宋体" w:hAnsi="宋体" w:cs="宋体" w:eastAsia="宋体" w:hint="default"/>
          <w:spacing w:val="-2"/>
          <w:sz w:val="21"/>
          <w:szCs w:val="21"/>
        </w:rPr>
        <w:t>体</w:t>
      </w:r>
      <w:r>
        <w:rPr>
          <w:rFonts w:ascii="宋体" w:hAnsi="宋体" w:cs="宋体" w:eastAsia="宋体" w:hint="default"/>
          <w:sz w:val="21"/>
          <w:szCs w:val="21"/>
        </w:rPr>
        <w:t>变更为股份有限公司，以下简称</w:t>
      </w:r>
      <w:r>
        <w:rPr>
          <w:rFonts w:ascii="Arial Narrow" w:hAnsi="Arial Narrow" w:cs="Arial Narrow" w:eastAsia="Arial Narrow" w:hint="default"/>
          <w:spacing w:val="1"/>
          <w:sz w:val="21"/>
          <w:szCs w:val="21"/>
        </w:rPr>
        <w:t>“</w:t>
      </w:r>
      <w:r>
        <w:rPr>
          <w:rFonts w:ascii="宋体" w:hAnsi="宋体" w:cs="宋体" w:eastAsia="宋体" w:hint="default"/>
          <w:spacing w:val="-2"/>
          <w:sz w:val="21"/>
          <w:szCs w:val="21"/>
        </w:rPr>
        <w:t>本</w:t>
      </w:r>
      <w:r>
        <w:rPr>
          <w:rFonts w:ascii="宋体" w:hAnsi="宋体" w:cs="宋体" w:eastAsia="宋体" w:hint="default"/>
          <w:sz w:val="21"/>
          <w:szCs w:val="21"/>
        </w:rPr>
        <w:t>公</w:t>
      </w:r>
      <w:r>
        <w:rPr>
          <w:rFonts w:ascii="宋体" w:hAnsi="宋体" w:cs="宋体" w:eastAsia="宋体" w:hint="default"/>
          <w:spacing w:val="-1"/>
          <w:sz w:val="21"/>
          <w:szCs w:val="21"/>
        </w:rPr>
        <w:t>司</w:t>
      </w:r>
      <w:r>
        <w:rPr>
          <w:rFonts w:ascii="Arial Narrow" w:hAnsi="Arial Narrow" w:cs="Arial Narrow" w:eastAsia="Arial Narrow" w:hint="default"/>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，成</w:t>
      </w:r>
      <w:r>
        <w:rPr>
          <w:rFonts w:ascii="宋体" w:hAnsi="宋体" w:cs="宋体" w:eastAsia="宋体" w:hint="default"/>
          <w:spacing w:val="-2"/>
          <w:sz w:val="21"/>
          <w:szCs w:val="21"/>
        </w:rPr>
        <w:t>立</w:t>
      </w:r>
      <w:r>
        <w:rPr>
          <w:rFonts w:ascii="宋体" w:hAnsi="宋体" w:cs="宋体" w:eastAsia="宋体" w:hint="default"/>
          <w:sz w:val="21"/>
          <w:szCs w:val="21"/>
        </w:rPr>
        <w:t>于</w:t>
      </w:r>
      <w:r>
        <w:rPr>
          <w:rFonts w:ascii="宋体" w:hAnsi="宋体" w:cs="宋体" w:eastAsia="宋体" w:hint="default"/>
          <w:spacing w:val="-38"/>
          <w:sz w:val="21"/>
          <w:szCs w:val="21"/>
        </w:rPr>
        <w:t> </w:t>
      </w:r>
      <w:r>
        <w:rPr>
          <w:rFonts w:ascii="Arial Narrow" w:hAnsi="Arial Narrow" w:cs="Arial Narrow" w:eastAsia="Arial Narrow" w:hint="default"/>
          <w:w w:val="99"/>
          <w:sz w:val="21"/>
          <w:szCs w:val="21"/>
        </w:rPr>
        <w:t>19</w:t>
      </w:r>
      <w:r>
        <w:rPr>
          <w:rFonts w:ascii="Arial Narrow" w:hAnsi="Arial Narrow" w:cs="Arial Narrow" w:eastAsia="Arial Narrow" w:hint="default"/>
          <w:spacing w:val="-2"/>
          <w:w w:val="99"/>
          <w:sz w:val="21"/>
          <w:szCs w:val="21"/>
        </w:rPr>
        <w:t>9</w:t>
      </w:r>
      <w:r>
        <w:rPr>
          <w:rFonts w:ascii="Arial Narrow" w:hAnsi="Arial Narrow" w:cs="Arial Narrow" w:eastAsia="Arial Narrow" w:hint="default"/>
          <w:w w:val="99"/>
          <w:sz w:val="21"/>
          <w:szCs w:val="21"/>
        </w:rPr>
        <w:t>9</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Arial Narrow" w:hAnsi="Arial Narrow" w:cs="Arial Narrow" w:eastAsia="Arial Narrow" w:hint="default"/>
          <w:w w:val="99"/>
          <w:sz w:val="21"/>
          <w:szCs w:val="21"/>
        </w:rPr>
        <w:t>9</w:t>
      </w:r>
      <w:r>
        <w:rPr>
          <w:rFonts w:ascii="Arial Narrow" w:hAnsi="Arial Narrow" w:cs="Arial Narrow" w:eastAsia="Arial Narrow" w:hint="default"/>
          <w:spacing w:val="18"/>
          <w:sz w:val="21"/>
          <w:szCs w:val="21"/>
        </w:rPr>
        <w:t> </w:t>
      </w:r>
      <w:r>
        <w:rPr>
          <w:rFonts w:ascii="宋体" w:hAnsi="宋体" w:cs="宋体" w:eastAsia="宋体" w:hint="default"/>
          <w:sz w:val="21"/>
          <w:szCs w:val="21"/>
        </w:rPr>
        <w:t>月，原系由滕达和刘</w:t>
      </w:r>
    </w:p>
    <w:p>
      <w:pPr>
        <w:spacing w:before="118"/>
        <w:ind w:left="159" w:right="106" w:firstLine="0"/>
        <w:jc w:val="left"/>
        <w:rPr>
          <w:rFonts w:ascii="Arial Narrow" w:hAnsi="Arial Narrow" w:cs="Arial Narrow" w:eastAsia="Arial Narrow" w:hint="default"/>
          <w:sz w:val="21"/>
          <w:szCs w:val="21"/>
        </w:rPr>
      </w:pPr>
      <w:r>
        <w:rPr>
          <w:rFonts w:ascii="宋体" w:hAnsi="宋体" w:cs="宋体" w:eastAsia="宋体" w:hint="default"/>
          <w:spacing w:val="-4"/>
          <w:sz w:val="21"/>
          <w:szCs w:val="21"/>
        </w:rPr>
        <w:t>祥南出资组建的有限公司，于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1999</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4"/>
          <w:sz w:val="21"/>
          <w:szCs w:val="21"/>
        </w:rPr>
        <w:t> </w:t>
      </w:r>
      <w:r>
        <w:rPr>
          <w:rFonts w:ascii="宋体" w:hAnsi="宋体" w:cs="宋体" w:eastAsia="宋体" w:hint="default"/>
          <w:sz w:val="21"/>
          <w:szCs w:val="21"/>
        </w:rPr>
        <w:t>月领取了厦门市工商行政管理局核发的</w:t>
      </w:r>
      <w:r>
        <w:rPr>
          <w:rFonts w:ascii="宋体" w:hAnsi="宋体" w:cs="宋体" w:eastAsia="宋体" w:hint="default"/>
          <w:spacing w:val="-54"/>
          <w:sz w:val="21"/>
          <w:szCs w:val="21"/>
        </w:rPr>
        <w:t> </w:t>
      </w:r>
      <w:r>
        <w:rPr>
          <w:rFonts w:ascii="Arial Narrow" w:hAnsi="Arial Narrow" w:cs="Arial Narrow" w:eastAsia="Arial Narrow" w:hint="default"/>
          <w:sz w:val="21"/>
          <w:szCs w:val="21"/>
        </w:rPr>
        <w:t>350298200005610</w:t>
      </w:r>
    </w:p>
    <w:p>
      <w:pPr>
        <w:spacing w:line="338" w:lineRule="auto" w:before="120"/>
        <w:ind w:left="159" w:right="106" w:hanging="1"/>
        <w:jc w:val="left"/>
        <w:rPr>
          <w:rFonts w:ascii="宋体" w:hAnsi="宋体" w:cs="宋体" w:eastAsia="宋体" w:hint="default"/>
          <w:sz w:val="21"/>
          <w:szCs w:val="21"/>
        </w:rPr>
      </w:pPr>
      <w:r>
        <w:rPr>
          <w:rFonts w:ascii="宋体" w:hAnsi="宋体" w:cs="宋体" w:eastAsia="宋体" w:hint="default"/>
          <w:sz w:val="21"/>
          <w:szCs w:val="21"/>
        </w:rPr>
        <w:t>号企业法人营业执照，初始注册资本人民币</w:t>
      </w:r>
      <w:r>
        <w:rPr>
          <w:rFonts w:ascii="宋体" w:hAnsi="宋体" w:cs="宋体" w:eastAsia="宋体" w:hint="default"/>
          <w:spacing w:val="-57"/>
          <w:sz w:val="21"/>
          <w:szCs w:val="21"/>
        </w:rPr>
        <w:t> </w:t>
      </w:r>
      <w:r>
        <w:rPr>
          <w:rFonts w:ascii="Arial Narrow" w:hAnsi="Arial Narrow" w:cs="Arial Narrow" w:eastAsia="Arial Narrow" w:hint="default"/>
          <w:sz w:val="21"/>
          <w:szCs w:val="21"/>
        </w:rPr>
        <w:t>50</w:t>
      </w:r>
      <w:r>
        <w:rPr>
          <w:rFonts w:ascii="Arial Narrow" w:hAnsi="Arial Narrow" w:cs="Arial Narrow" w:eastAsia="Arial Narrow" w:hint="default"/>
          <w:spacing w:val="-1"/>
          <w:sz w:val="21"/>
          <w:szCs w:val="21"/>
        </w:rPr>
        <w:t> </w:t>
      </w:r>
      <w:r>
        <w:rPr>
          <w:rFonts w:ascii="宋体" w:hAnsi="宋体" w:cs="宋体" w:eastAsia="宋体" w:hint="default"/>
          <w:sz w:val="21"/>
          <w:szCs w:val="21"/>
        </w:rPr>
        <w:t>万元，其中滕达出资</w:t>
      </w:r>
      <w:r>
        <w:rPr>
          <w:rFonts w:ascii="宋体" w:hAnsi="宋体" w:cs="宋体" w:eastAsia="宋体" w:hint="default"/>
          <w:spacing w:val="-57"/>
          <w:sz w:val="21"/>
          <w:szCs w:val="21"/>
        </w:rPr>
        <w:t> </w:t>
      </w:r>
      <w:r>
        <w:rPr>
          <w:rFonts w:ascii="Arial Narrow" w:hAnsi="Arial Narrow" w:cs="Arial Narrow" w:eastAsia="Arial Narrow" w:hint="default"/>
          <w:sz w:val="21"/>
          <w:szCs w:val="21"/>
        </w:rPr>
        <w:t>45</w:t>
      </w:r>
      <w:r>
        <w:rPr>
          <w:rFonts w:ascii="Arial Narrow" w:hAnsi="Arial Narrow" w:cs="Arial Narrow" w:eastAsia="Arial Narrow" w:hint="default"/>
          <w:spacing w:val="-1"/>
          <w:sz w:val="21"/>
          <w:szCs w:val="21"/>
        </w:rPr>
        <w:t> </w:t>
      </w:r>
      <w:r>
        <w:rPr>
          <w:rFonts w:ascii="宋体" w:hAnsi="宋体" w:cs="宋体" w:eastAsia="宋体" w:hint="default"/>
          <w:sz w:val="21"/>
          <w:szCs w:val="21"/>
        </w:rPr>
        <w:t>万元，股权比例为</w:t>
      </w:r>
      <w:r>
        <w:rPr>
          <w:rFonts w:ascii="宋体" w:hAnsi="宋体" w:cs="宋体" w:eastAsia="宋体" w:hint="default"/>
          <w:spacing w:val="-57"/>
          <w:sz w:val="21"/>
          <w:szCs w:val="21"/>
        </w:rPr>
        <w:t> </w:t>
      </w:r>
      <w:r>
        <w:rPr>
          <w:rFonts w:ascii="Arial Narrow" w:hAnsi="Arial Narrow" w:cs="Arial Narrow" w:eastAsia="Arial Narrow" w:hint="default"/>
          <w:sz w:val="21"/>
          <w:szCs w:val="21"/>
        </w:rPr>
        <w:t>90%</w:t>
      </w:r>
      <w:r>
        <w:rPr>
          <w:rFonts w:ascii="宋体" w:hAnsi="宋体" w:cs="宋体" w:eastAsia="宋体" w:hint="default"/>
          <w:sz w:val="21"/>
          <w:szCs w:val="21"/>
        </w:rPr>
        <w:t>； 刘祥南出资</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4"/>
          <w:sz w:val="21"/>
          <w:szCs w:val="21"/>
        </w:rPr>
        <w:t> </w:t>
      </w:r>
      <w:r>
        <w:rPr>
          <w:rFonts w:ascii="宋体" w:hAnsi="宋体" w:cs="宋体" w:eastAsia="宋体" w:hint="default"/>
          <w:sz w:val="21"/>
          <w:szCs w:val="21"/>
        </w:rPr>
        <w:t>万元，股权比例为</w:t>
      </w:r>
      <w:r>
        <w:rPr>
          <w:rFonts w:ascii="宋体" w:hAnsi="宋体" w:cs="宋体" w:eastAsia="宋体" w:hint="default"/>
          <w:spacing w:val="-54"/>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w:t>
      </w:r>
    </w:p>
    <w:p>
      <w:pPr>
        <w:spacing w:before="22"/>
        <w:ind w:left="579" w:right="106" w:firstLine="0"/>
        <w:jc w:val="left"/>
        <w:rPr>
          <w:rFonts w:ascii="宋体" w:hAnsi="宋体" w:cs="宋体" w:eastAsia="宋体" w:hint="default"/>
          <w:sz w:val="21"/>
          <w:szCs w:val="21"/>
        </w:rPr>
      </w:pPr>
      <w:r>
        <w:rPr>
          <w:rFonts w:ascii="Arial Narrow" w:hAnsi="Arial Narrow" w:cs="Arial Narrow" w:eastAsia="Arial Narrow" w:hint="default"/>
          <w:sz w:val="21"/>
          <w:szCs w:val="21"/>
        </w:rPr>
        <w:t>2000</w:t>
      </w:r>
      <w:r>
        <w:rPr>
          <w:rFonts w:ascii="Arial Narrow" w:hAnsi="Arial Narrow" w:cs="Arial Narrow" w:eastAsia="Arial Narrow"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Arial Narrow" w:hAnsi="Arial Narrow" w:cs="Arial Narrow" w:eastAsia="Arial Narrow" w:hint="default"/>
          <w:sz w:val="21"/>
          <w:szCs w:val="21"/>
        </w:rPr>
        <w:t>15</w:t>
      </w:r>
      <w:r>
        <w:rPr>
          <w:rFonts w:ascii="Arial Narrow" w:hAnsi="Arial Narrow" w:cs="Arial Narrow" w:eastAsia="Arial Narrow" w:hint="default"/>
          <w:spacing w:val="13"/>
          <w:sz w:val="21"/>
          <w:szCs w:val="21"/>
        </w:rPr>
        <w:t> </w:t>
      </w:r>
      <w:r>
        <w:rPr>
          <w:rFonts w:ascii="宋体" w:hAnsi="宋体" w:cs="宋体" w:eastAsia="宋体" w:hint="default"/>
          <w:sz w:val="21"/>
          <w:szCs w:val="21"/>
        </w:rPr>
        <w:t>日，本公司注册资本由人民币</w:t>
      </w:r>
      <w:r>
        <w:rPr>
          <w:rFonts w:ascii="宋体" w:hAnsi="宋体" w:cs="宋体" w:eastAsia="宋体" w:hint="default"/>
          <w:spacing w:val="-44"/>
          <w:sz w:val="21"/>
          <w:szCs w:val="21"/>
        </w:rPr>
        <w:t> </w:t>
      </w:r>
      <w:r>
        <w:rPr>
          <w:rFonts w:ascii="Arial Narrow" w:hAnsi="Arial Narrow" w:cs="Arial Narrow" w:eastAsia="Arial Narrow" w:hint="default"/>
          <w:sz w:val="21"/>
          <w:szCs w:val="21"/>
        </w:rPr>
        <w:t>50</w:t>
      </w:r>
      <w:r>
        <w:rPr>
          <w:rFonts w:ascii="Arial Narrow" w:hAnsi="Arial Narrow" w:cs="Arial Narrow" w:eastAsia="Arial Narrow" w:hint="default"/>
          <w:spacing w:val="12"/>
          <w:sz w:val="21"/>
          <w:szCs w:val="21"/>
        </w:rPr>
        <w:t> </w:t>
      </w:r>
      <w:r>
        <w:rPr>
          <w:rFonts w:ascii="宋体" w:hAnsi="宋体" w:cs="宋体" w:eastAsia="宋体" w:hint="default"/>
          <w:sz w:val="21"/>
          <w:szCs w:val="21"/>
        </w:rPr>
        <w:t>万元增至人民币</w:t>
      </w:r>
      <w:r>
        <w:rPr>
          <w:rFonts w:ascii="宋体" w:hAnsi="宋体" w:cs="宋体" w:eastAsia="宋体" w:hint="default"/>
          <w:spacing w:val="-44"/>
          <w:sz w:val="21"/>
          <w:szCs w:val="21"/>
        </w:rPr>
        <w:t> </w:t>
      </w:r>
      <w:r>
        <w:rPr>
          <w:rFonts w:ascii="Arial Narrow" w:hAnsi="Arial Narrow" w:cs="Arial Narrow" w:eastAsia="Arial Narrow" w:hint="default"/>
          <w:sz w:val="21"/>
          <w:szCs w:val="21"/>
        </w:rPr>
        <w:t>160</w:t>
      </w:r>
      <w:r>
        <w:rPr>
          <w:rFonts w:ascii="Arial Narrow" w:hAnsi="Arial Narrow" w:cs="Arial Narrow" w:eastAsia="Arial Narrow" w:hint="default"/>
          <w:spacing w:val="13"/>
          <w:sz w:val="21"/>
          <w:szCs w:val="21"/>
        </w:rPr>
        <w:t> </w:t>
      </w:r>
      <w:r>
        <w:rPr>
          <w:rFonts w:ascii="宋体" w:hAnsi="宋体" w:cs="宋体" w:eastAsia="宋体" w:hint="default"/>
          <w:sz w:val="21"/>
          <w:szCs w:val="21"/>
        </w:rPr>
        <w:t>万元，新增注册资本</w:t>
      </w:r>
    </w:p>
    <w:p>
      <w:pPr>
        <w:spacing w:before="118"/>
        <w:ind w:left="159" w:right="106" w:firstLine="0"/>
        <w:jc w:val="left"/>
        <w:rPr>
          <w:rFonts w:ascii="Arial Narrow" w:hAnsi="Arial Narrow" w:cs="Arial Narrow" w:eastAsia="Arial Narrow" w:hint="default"/>
          <w:sz w:val="21"/>
          <w:szCs w:val="21"/>
        </w:rPr>
      </w:pPr>
      <w:r>
        <w:rPr>
          <w:rFonts w:ascii="宋体" w:hAnsi="宋体" w:cs="宋体" w:eastAsia="宋体" w:hint="default"/>
          <w:sz w:val="21"/>
          <w:szCs w:val="21"/>
        </w:rPr>
        <w:t>由滕达和刘祥南认缴。本次增资后滕达共出资</w:t>
      </w:r>
      <w:r>
        <w:rPr>
          <w:rFonts w:ascii="宋体" w:hAnsi="宋体" w:cs="宋体" w:eastAsia="宋体" w:hint="default"/>
          <w:spacing w:val="-56"/>
          <w:sz w:val="21"/>
          <w:szCs w:val="21"/>
        </w:rPr>
        <w:t> </w:t>
      </w:r>
      <w:r>
        <w:rPr>
          <w:rFonts w:ascii="Arial Narrow" w:hAnsi="Arial Narrow" w:cs="Arial Narrow" w:eastAsia="Arial Narrow" w:hint="default"/>
          <w:sz w:val="21"/>
          <w:szCs w:val="21"/>
        </w:rPr>
        <w:t>145</w:t>
      </w:r>
      <w:r>
        <w:rPr>
          <w:rFonts w:ascii="Arial Narrow" w:hAnsi="Arial Narrow" w:cs="Arial Narrow" w:eastAsia="Arial Narrow" w:hint="default"/>
          <w:spacing w:val="1"/>
          <w:sz w:val="21"/>
          <w:szCs w:val="21"/>
        </w:rPr>
        <w:t> </w:t>
      </w:r>
      <w:r>
        <w:rPr>
          <w:rFonts w:ascii="宋体" w:hAnsi="宋体" w:cs="宋体" w:eastAsia="宋体" w:hint="default"/>
          <w:spacing w:val="-4"/>
          <w:sz w:val="21"/>
          <w:szCs w:val="21"/>
        </w:rPr>
        <w:t>万元，股权比例为</w:t>
      </w:r>
      <w:r>
        <w:rPr>
          <w:rFonts w:ascii="宋体" w:hAnsi="宋体" w:cs="宋体" w:eastAsia="宋体" w:hint="default"/>
          <w:spacing w:val="-56"/>
          <w:sz w:val="21"/>
          <w:szCs w:val="21"/>
        </w:rPr>
        <w:t> </w:t>
      </w:r>
      <w:r>
        <w:rPr>
          <w:rFonts w:ascii="Arial Narrow" w:hAnsi="Arial Narrow" w:cs="Arial Narrow" w:eastAsia="Arial Narrow" w:hint="default"/>
          <w:spacing w:val="-3"/>
          <w:sz w:val="21"/>
          <w:szCs w:val="21"/>
        </w:rPr>
        <w:t>90.625%</w:t>
      </w:r>
      <w:r>
        <w:rPr>
          <w:rFonts w:ascii="宋体" w:hAnsi="宋体" w:cs="宋体" w:eastAsia="宋体" w:hint="default"/>
          <w:spacing w:val="-3"/>
          <w:sz w:val="21"/>
          <w:szCs w:val="21"/>
        </w:rPr>
        <w:t>；刘祥南共出资</w:t>
      </w:r>
      <w:r>
        <w:rPr>
          <w:rFonts w:ascii="宋体" w:hAnsi="宋体" w:cs="宋体" w:eastAsia="宋体" w:hint="default"/>
          <w:spacing w:val="-56"/>
          <w:sz w:val="21"/>
          <w:szCs w:val="21"/>
        </w:rPr>
        <w:t> </w:t>
      </w:r>
      <w:r>
        <w:rPr>
          <w:rFonts w:ascii="Arial Narrow" w:hAnsi="Arial Narrow" w:cs="Arial Narrow" w:eastAsia="Arial Narrow" w:hint="default"/>
          <w:sz w:val="21"/>
          <w:szCs w:val="21"/>
        </w:rPr>
        <w:t>15</w:t>
      </w:r>
    </w:p>
    <w:p>
      <w:pPr>
        <w:spacing w:before="118"/>
        <w:ind w:left="159" w:right="214" w:firstLine="0"/>
        <w:jc w:val="left"/>
        <w:rPr>
          <w:rFonts w:ascii="宋体" w:hAnsi="宋体" w:cs="宋体" w:eastAsia="宋体" w:hint="default"/>
          <w:sz w:val="21"/>
          <w:szCs w:val="21"/>
        </w:rPr>
      </w:pPr>
      <w:r>
        <w:rPr>
          <w:rFonts w:ascii="宋体" w:hAnsi="宋体" w:cs="宋体" w:eastAsia="宋体" w:hint="default"/>
          <w:sz w:val="21"/>
          <w:szCs w:val="21"/>
        </w:rPr>
        <w:t>万元，股权比例为</w:t>
      </w:r>
      <w:r>
        <w:rPr>
          <w:rFonts w:ascii="宋体" w:hAnsi="宋体" w:cs="宋体" w:eastAsia="宋体" w:hint="default"/>
          <w:spacing w:val="-54"/>
          <w:sz w:val="21"/>
          <w:szCs w:val="21"/>
        </w:rPr>
        <w:t> </w:t>
      </w:r>
      <w:r>
        <w:rPr>
          <w:rFonts w:ascii="Arial Narrow" w:hAnsi="Arial Narrow" w:cs="Arial Narrow" w:eastAsia="Arial Narrow" w:hint="default"/>
          <w:sz w:val="21"/>
          <w:szCs w:val="21"/>
        </w:rPr>
        <w:t>9.375%</w:t>
      </w:r>
      <w:r>
        <w:rPr>
          <w:rFonts w:ascii="宋体" w:hAnsi="宋体" w:cs="宋体" w:eastAsia="宋体" w:hint="default"/>
          <w:sz w:val="21"/>
          <w:szCs w:val="21"/>
        </w:rPr>
        <w:t>，本公司于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2000</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17</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日办妥工商变更登记。</w:t>
      </w:r>
    </w:p>
    <w:p>
      <w:pPr>
        <w:spacing w:line="338" w:lineRule="auto" w:before="120"/>
        <w:ind w:left="159" w:right="106" w:firstLine="420"/>
        <w:jc w:val="left"/>
        <w:rPr>
          <w:rFonts w:ascii="宋体" w:hAnsi="宋体" w:cs="宋体" w:eastAsia="宋体" w:hint="default"/>
          <w:sz w:val="21"/>
          <w:szCs w:val="21"/>
        </w:rPr>
      </w:pPr>
      <w:r>
        <w:rPr>
          <w:rFonts w:ascii="Arial Narrow" w:hAnsi="Arial Narrow" w:cs="Arial Narrow" w:eastAsia="Arial Narrow" w:hint="default"/>
          <w:sz w:val="21"/>
          <w:szCs w:val="21"/>
        </w:rPr>
        <w:t>2001</w:t>
      </w:r>
      <w:r>
        <w:rPr>
          <w:rFonts w:ascii="Arial Narrow" w:hAnsi="Arial Narrow" w:cs="Arial Narrow" w:eastAsia="Arial Narrow"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Arial Narrow" w:hAnsi="Arial Narrow" w:cs="Arial Narrow" w:eastAsia="Arial Narrow" w:hint="default"/>
          <w:sz w:val="21"/>
          <w:szCs w:val="21"/>
        </w:rPr>
        <w:t>10</w:t>
      </w:r>
      <w:r>
        <w:rPr>
          <w:rFonts w:ascii="Arial Narrow" w:hAnsi="Arial Narrow" w:cs="Arial Narrow" w:eastAsia="Arial Narrow"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Arial Narrow" w:hAnsi="Arial Narrow" w:cs="Arial Narrow" w:eastAsia="Arial Narrow" w:hint="default"/>
          <w:sz w:val="21"/>
          <w:szCs w:val="21"/>
        </w:rPr>
        <w:t>28</w:t>
      </w:r>
      <w:r>
        <w:rPr>
          <w:rFonts w:ascii="Arial Narrow" w:hAnsi="Arial Narrow" w:cs="Arial Narrow" w:eastAsia="Arial Narrow" w:hint="default"/>
          <w:spacing w:val="8"/>
          <w:sz w:val="21"/>
          <w:szCs w:val="21"/>
        </w:rPr>
        <w:t> </w:t>
      </w:r>
      <w:r>
        <w:rPr>
          <w:rFonts w:ascii="宋体" w:hAnsi="宋体" w:cs="宋体" w:eastAsia="宋体" w:hint="default"/>
          <w:spacing w:val="-3"/>
          <w:sz w:val="21"/>
          <w:szCs w:val="21"/>
        </w:rPr>
        <w:t>日，滕达将其所持有的占公司原注册资本</w:t>
      </w:r>
      <w:r>
        <w:rPr>
          <w:rFonts w:ascii="宋体" w:hAnsi="宋体" w:cs="宋体" w:eastAsia="宋体" w:hint="default"/>
          <w:spacing w:val="-50"/>
          <w:sz w:val="21"/>
          <w:szCs w:val="21"/>
        </w:rPr>
        <w:t> </w:t>
      </w:r>
      <w:r>
        <w:rPr>
          <w:rFonts w:ascii="Arial Narrow" w:hAnsi="Arial Narrow" w:cs="Arial Narrow" w:eastAsia="Arial Narrow" w:hint="default"/>
          <w:spacing w:val="-3"/>
          <w:sz w:val="21"/>
          <w:szCs w:val="21"/>
        </w:rPr>
        <w:t>6.25%</w:t>
      </w:r>
      <w:r>
        <w:rPr>
          <w:rFonts w:ascii="宋体" w:hAnsi="宋体" w:cs="宋体" w:eastAsia="宋体" w:hint="default"/>
          <w:spacing w:val="-3"/>
          <w:sz w:val="21"/>
          <w:szCs w:val="21"/>
        </w:rPr>
        <w:t>的股权转让给郭永芳，本次</w:t>
      </w:r>
      <w:r>
        <w:rPr>
          <w:rFonts w:ascii="宋体" w:hAnsi="宋体" w:cs="宋体" w:eastAsia="宋体" w:hint="default"/>
          <w:w w:val="99"/>
          <w:sz w:val="21"/>
          <w:szCs w:val="21"/>
        </w:rPr>
        <w:t> </w:t>
      </w:r>
      <w:r>
        <w:rPr>
          <w:rFonts w:ascii="宋体" w:hAnsi="宋体" w:cs="宋体" w:eastAsia="宋体" w:hint="default"/>
          <w:sz w:val="21"/>
          <w:szCs w:val="21"/>
        </w:rPr>
        <w:t>股权转让后滕达出资</w:t>
      </w:r>
      <w:r>
        <w:rPr>
          <w:rFonts w:ascii="宋体" w:hAnsi="宋体" w:cs="宋体" w:eastAsia="宋体" w:hint="default"/>
          <w:spacing w:val="-60"/>
          <w:sz w:val="21"/>
          <w:szCs w:val="21"/>
        </w:rPr>
        <w:t> </w:t>
      </w:r>
      <w:r>
        <w:rPr>
          <w:rFonts w:ascii="Arial Narrow" w:hAnsi="Arial Narrow" w:cs="Arial Narrow" w:eastAsia="Arial Narrow" w:hint="default"/>
          <w:sz w:val="21"/>
          <w:szCs w:val="21"/>
        </w:rPr>
        <w:t>135</w:t>
      </w:r>
      <w:r>
        <w:rPr>
          <w:rFonts w:ascii="Arial Narrow" w:hAnsi="Arial Narrow" w:cs="Arial Narrow" w:eastAsia="Arial Narrow" w:hint="default"/>
          <w:spacing w:val="-2"/>
          <w:sz w:val="21"/>
          <w:szCs w:val="21"/>
        </w:rPr>
        <w:t> </w:t>
      </w:r>
      <w:r>
        <w:rPr>
          <w:rFonts w:ascii="宋体" w:hAnsi="宋体" w:cs="宋体" w:eastAsia="宋体" w:hint="default"/>
          <w:sz w:val="21"/>
          <w:szCs w:val="21"/>
        </w:rPr>
        <w:t>万元，股权比例为</w:t>
      </w:r>
      <w:r>
        <w:rPr>
          <w:rFonts w:ascii="宋体" w:hAnsi="宋体" w:cs="宋体" w:eastAsia="宋体" w:hint="default"/>
          <w:spacing w:val="-60"/>
          <w:sz w:val="21"/>
          <w:szCs w:val="21"/>
        </w:rPr>
        <w:t> </w:t>
      </w:r>
      <w:r>
        <w:rPr>
          <w:rFonts w:ascii="Arial Narrow" w:hAnsi="Arial Narrow" w:cs="Arial Narrow" w:eastAsia="Arial Narrow" w:hint="default"/>
          <w:sz w:val="21"/>
          <w:szCs w:val="21"/>
        </w:rPr>
        <w:t>84.375%</w:t>
      </w:r>
      <w:r>
        <w:rPr>
          <w:rFonts w:ascii="宋体" w:hAnsi="宋体" w:cs="宋体" w:eastAsia="宋体" w:hint="default"/>
          <w:sz w:val="21"/>
          <w:szCs w:val="21"/>
        </w:rPr>
        <w:t>；刘祥南出资</w:t>
      </w:r>
      <w:r>
        <w:rPr>
          <w:rFonts w:ascii="宋体" w:hAnsi="宋体" w:cs="宋体" w:eastAsia="宋体" w:hint="default"/>
          <w:spacing w:val="-60"/>
          <w:sz w:val="21"/>
          <w:szCs w:val="21"/>
        </w:rPr>
        <w:t> </w:t>
      </w:r>
      <w:r>
        <w:rPr>
          <w:rFonts w:ascii="Arial Narrow" w:hAnsi="Arial Narrow" w:cs="Arial Narrow" w:eastAsia="Arial Narrow" w:hint="default"/>
          <w:sz w:val="21"/>
          <w:szCs w:val="21"/>
        </w:rPr>
        <w:t>15</w:t>
      </w:r>
      <w:r>
        <w:rPr>
          <w:rFonts w:ascii="Arial Narrow" w:hAnsi="Arial Narrow" w:cs="Arial Narrow" w:eastAsia="Arial Narrow" w:hint="default"/>
          <w:spacing w:val="-2"/>
          <w:sz w:val="21"/>
          <w:szCs w:val="21"/>
        </w:rPr>
        <w:t> </w:t>
      </w:r>
      <w:r>
        <w:rPr>
          <w:rFonts w:ascii="宋体" w:hAnsi="宋体" w:cs="宋体" w:eastAsia="宋体" w:hint="default"/>
          <w:sz w:val="21"/>
          <w:szCs w:val="21"/>
        </w:rPr>
        <w:t>万元，股权比例为</w:t>
      </w:r>
      <w:r>
        <w:rPr>
          <w:rFonts w:ascii="宋体" w:hAnsi="宋体" w:cs="宋体" w:eastAsia="宋体" w:hint="default"/>
          <w:spacing w:val="-60"/>
          <w:sz w:val="21"/>
          <w:szCs w:val="21"/>
        </w:rPr>
        <w:t> </w:t>
      </w:r>
      <w:r>
        <w:rPr>
          <w:rFonts w:ascii="Arial Narrow" w:hAnsi="Arial Narrow" w:cs="Arial Narrow" w:eastAsia="Arial Narrow" w:hint="default"/>
          <w:sz w:val="21"/>
          <w:szCs w:val="21"/>
        </w:rPr>
        <w:t>9.375%</w:t>
      </w:r>
      <w:r>
        <w:rPr>
          <w:rFonts w:ascii="宋体" w:hAnsi="宋体" w:cs="宋体" w:eastAsia="宋体" w:hint="default"/>
          <w:sz w:val="21"/>
          <w:szCs w:val="21"/>
        </w:rPr>
        <w:t>； 郭永芳出资</w:t>
      </w:r>
      <w:r>
        <w:rPr>
          <w:rFonts w:ascii="宋体" w:hAnsi="宋体" w:cs="宋体" w:eastAsia="宋体" w:hint="default"/>
          <w:spacing w:val="-54"/>
          <w:sz w:val="21"/>
          <w:szCs w:val="21"/>
        </w:rPr>
        <w:t> </w:t>
      </w:r>
      <w:r>
        <w:rPr>
          <w:rFonts w:ascii="Arial Narrow" w:hAnsi="Arial Narrow" w:cs="Arial Narrow" w:eastAsia="Arial Narrow" w:hint="default"/>
          <w:sz w:val="21"/>
          <w:szCs w:val="21"/>
        </w:rPr>
        <w:t>10</w:t>
      </w:r>
      <w:r>
        <w:rPr>
          <w:rFonts w:ascii="Arial Narrow" w:hAnsi="Arial Narrow" w:cs="Arial Narrow" w:eastAsia="Arial Narrow" w:hint="default"/>
          <w:spacing w:val="4"/>
          <w:sz w:val="21"/>
          <w:szCs w:val="21"/>
        </w:rPr>
        <w:t> </w:t>
      </w:r>
      <w:r>
        <w:rPr>
          <w:rFonts w:ascii="宋体" w:hAnsi="宋体" w:cs="宋体" w:eastAsia="宋体" w:hint="default"/>
          <w:sz w:val="21"/>
          <w:szCs w:val="21"/>
        </w:rPr>
        <w:t>万元，股权比例为</w:t>
      </w:r>
      <w:r>
        <w:rPr>
          <w:rFonts w:ascii="宋体" w:hAnsi="宋体" w:cs="宋体" w:eastAsia="宋体" w:hint="default"/>
          <w:spacing w:val="-54"/>
          <w:sz w:val="21"/>
          <w:szCs w:val="21"/>
        </w:rPr>
        <w:t> </w:t>
      </w:r>
      <w:r>
        <w:rPr>
          <w:rFonts w:ascii="Arial Narrow" w:hAnsi="Arial Narrow" w:cs="Arial Narrow" w:eastAsia="Arial Narrow" w:hint="default"/>
          <w:sz w:val="21"/>
          <w:szCs w:val="21"/>
        </w:rPr>
        <w:t>6.25%</w:t>
      </w:r>
      <w:r>
        <w:rPr>
          <w:rFonts w:ascii="宋体" w:hAnsi="宋体" w:cs="宋体" w:eastAsia="宋体" w:hint="default"/>
          <w:sz w:val="21"/>
          <w:szCs w:val="21"/>
        </w:rPr>
        <w:t>，本公司于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2001</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4</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日办妥工商变更手续。</w:t>
      </w:r>
    </w:p>
    <w:p>
      <w:pPr>
        <w:spacing w:before="21"/>
        <w:ind w:left="579" w:right="106" w:firstLine="0"/>
        <w:jc w:val="left"/>
        <w:rPr>
          <w:rFonts w:ascii="宋体" w:hAnsi="宋体" w:cs="宋体" w:eastAsia="宋体" w:hint="default"/>
          <w:sz w:val="21"/>
          <w:szCs w:val="21"/>
        </w:rPr>
      </w:pPr>
      <w:r>
        <w:rPr>
          <w:rFonts w:ascii="Arial Narrow" w:hAnsi="Arial Narrow" w:cs="Arial Narrow" w:eastAsia="Arial Narrow" w:hint="default"/>
          <w:sz w:val="21"/>
          <w:szCs w:val="21"/>
        </w:rPr>
        <w:t>2002</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4"/>
          <w:sz w:val="21"/>
          <w:szCs w:val="21"/>
        </w:rPr>
        <w:t> </w:t>
      </w:r>
      <w:r>
        <w:rPr>
          <w:rFonts w:ascii="宋体" w:hAnsi="宋体" w:cs="宋体" w:eastAsia="宋体" w:hint="default"/>
          <w:sz w:val="21"/>
          <w:szCs w:val="21"/>
        </w:rPr>
        <w:t>日，滕达将其所持有的占公司原注册资本</w:t>
      </w:r>
      <w:r>
        <w:rPr>
          <w:rFonts w:ascii="宋体" w:hAnsi="宋体" w:cs="宋体" w:eastAsia="宋体" w:hint="default"/>
          <w:spacing w:val="-54"/>
          <w:sz w:val="21"/>
          <w:szCs w:val="21"/>
        </w:rPr>
        <w:t> </w:t>
      </w:r>
      <w:r>
        <w:rPr>
          <w:rFonts w:ascii="Arial Narrow" w:hAnsi="Arial Narrow" w:cs="Arial Narrow" w:eastAsia="Arial Narrow" w:hint="default"/>
          <w:sz w:val="21"/>
          <w:szCs w:val="21"/>
        </w:rPr>
        <w:t>84.375%</w:t>
      </w:r>
      <w:r>
        <w:rPr>
          <w:rFonts w:ascii="宋体" w:hAnsi="宋体" w:cs="宋体" w:eastAsia="宋体" w:hint="default"/>
          <w:sz w:val="21"/>
          <w:szCs w:val="21"/>
        </w:rPr>
        <w:t>的股权全部转让给郭永芳，</w:t>
      </w:r>
    </w:p>
    <w:p>
      <w:pPr>
        <w:spacing w:before="120"/>
        <w:ind w:left="159" w:right="106" w:firstLine="0"/>
        <w:jc w:val="left"/>
        <w:rPr>
          <w:rFonts w:ascii="宋体" w:hAnsi="宋体" w:cs="宋体" w:eastAsia="宋体" w:hint="default"/>
          <w:sz w:val="21"/>
          <w:szCs w:val="21"/>
        </w:rPr>
      </w:pPr>
      <w:r>
        <w:rPr>
          <w:rFonts w:ascii="宋体" w:hAnsi="宋体" w:cs="宋体" w:eastAsia="宋体" w:hint="default"/>
          <w:sz w:val="21"/>
          <w:szCs w:val="21"/>
        </w:rPr>
        <w:t>本次股权转让后郭永芳出资</w:t>
      </w:r>
      <w:r>
        <w:rPr>
          <w:rFonts w:ascii="宋体" w:hAnsi="宋体" w:cs="宋体" w:eastAsia="宋体" w:hint="default"/>
          <w:spacing w:val="-39"/>
          <w:sz w:val="21"/>
          <w:szCs w:val="21"/>
        </w:rPr>
        <w:t> </w:t>
      </w:r>
      <w:r>
        <w:rPr>
          <w:rFonts w:ascii="Arial Narrow" w:hAnsi="Arial Narrow" w:cs="Arial Narrow" w:eastAsia="Arial Narrow" w:hint="default"/>
          <w:sz w:val="21"/>
          <w:szCs w:val="21"/>
        </w:rPr>
        <w:t>145</w:t>
      </w:r>
      <w:r>
        <w:rPr>
          <w:rFonts w:ascii="Arial Narrow" w:hAnsi="Arial Narrow" w:cs="Arial Narrow" w:eastAsia="Arial Narrow" w:hint="default"/>
          <w:spacing w:val="18"/>
          <w:sz w:val="21"/>
          <w:szCs w:val="21"/>
        </w:rPr>
        <w:t> </w:t>
      </w:r>
      <w:r>
        <w:rPr>
          <w:rFonts w:ascii="宋体" w:hAnsi="宋体" w:cs="宋体" w:eastAsia="宋体" w:hint="default"/>
          <w:sz w:val="21"/>
          <w:szCs w:val="21"/>
        </w:rPr>
        <w:t>万元，股权比例为</w:t>
      </w:r>
      <w:r>
        <w:rPr>
          <w:rFonts w:ascii="宋体" w:hAnsi="宋体" w:cs="宋体" w:eastAsia="宋体" w:hint="default"/>
          <w:spacing w:val="-39"/>
          <w:sz w:val="21"/>
          <w:szCs w:val="21"/>
        </w:rPr>
        <w:t> </w:t>
      </w:r>
      <w:r>
        <w:rPr>
          <w:rFonts w:ascii="Arial Narrow" w:hAnsi="Arial Narrow" w:cs="Arial Narrow" w:eastAsia="Arial Narrow" w:hint="default"/>
          <w:sz w:val="21"/>
          <w:szCs w:val="21"/>
        </w:rPr>
        <w:t>90.625%</w:t>
      </w:r>
      <w:r>
        <w:rPr>
          <w:rFonts w:ascii="宋体" w:hAnsi="宋体" w:cs="宋体" w:eastAsia="宋体" w:hint="default"/>
          <w:sz w:val="21"/>
          <w:szCs w:val="21"/>
        </w:rPr>
        <w:t>；刘祥南出资</w:t>
      </w:r>
      <w:r>
        <w:rPr>
          <w:rFonts w:ascii="宋体" w:hAnsi="宋体" w:cs="宋体" w:eastAsia="宋体" w:hint="default"/>
          <w:spacing w:val="-39"/>
          <w:sz w:val="21"/>
          <w:szCs w:val="21"/>
        </w:rPr>
        <w:t> </w:t>
      </w:r>
      <w:r>
        <w:rPr>
          <w:rFonts w:ascii="Arial Narrow" w:hAnsi="Arial Narrow" w:cs="Arial Narrow" w:eastAsia="Arial Narrow" w:hint="default"/>
          <w:sz w:val="21"/>
          <w:szCs w:val="21"/>
        </w:rPr>
        <w:t>15</w:t>
      </w:r>
      <w:r>
        <w:rPr>
          <w:rFonts w:ascii="Arial Narrow" w:hAnsi="Arial Narrow" w:cs="Arial Narrow" w:eastAsia="Arial Narrow" w:hint="default"/>
          <w:spacing w:val="18"/>
          <w:sz w:val="21"/>
          <w:szCs w:val="21"/>
        </w:rPr>
        <w:t> </w:t>
      </w:r>
      <w:r>
        <w:rPr>
          <w:rFonts w:ascii="宋体" w:hAnsi="宋体" w:cs="宋体" w:eastAsia="宋体" w:hint="default"/>
          <w:sz w:val="21"/>
          <w:szCs w:val="21"/>
        </w:rPr>
        <w:t>万元，股权比例为</w:t>
      </w:r>
    </w:p>
    <w:p>
      <w:pPr>
        <w:spacing w:before="118"/>
        <w:ind w:left="159" w:right="214" w:firstLine="0"/>
        <w:jc w:val="left"/>
        <w:rPr>
          <w:rFonts w:ascii="宋体" w:hAnsi="宋体" w:cs="宋体" w:eastAsia="宋体" w:hint="default"/>
          <w:sz w:val="21"/>
          <w:szCs w:val="21"/>
        </w:rPr>
      </w:pPr>
      <w:r>
        <w:rPr>
          <w:rFonts w:ascii="Arial Narrow" w:hAnsi="Arial Narrow" w:cs="Arial Narrow" w:eastAsia="Arial Narrow" w:hint="default"/>
          <w:sz w:val="21"/>
          <w:szCs w:val="21"/>
        </w:rPr>
        <w:t>9.375%</w:t>
      </w:r>
      <w:r>
        <w:rPr>
          <w:rFonts w:ascii="宋体" w:hAnsi="宋体" w:cs="宋体" w:eastAsia="宋体" w:hint="default"/>
          <w:sz w:val="21"/>
          <w:szCs w:val="21"/>
        </w:rPr>
        <w:t>，本公司于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2002</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27</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日办妥工商变更手续。</w:t>
      </w:r>
    </w:p>
    <w:p>
      <w:pPr>
        <w:spacing w:before="118"/>
        <w:ind w:left="579" w:right="106" w:firstLine="0"/>
        <w:jc w:val="left"/>
        <w:rPr>
          <w:rFonts w:ascii="宋体" w:hAnsi="宋体" w:cs="宋体" w:eastAsia="宋体" w:hint="default"/>
          <w:sz w:val="21"/>
          <w:szCs w:val="21"/>
        </w:rPr>
      </w:pPr>
      <w:r>
        <w:rPr>
          <w:rFonts w:ascii="Arial Narrow" w:hAnsi="Arial Narrow" w:cs="Arial Narrow" w:eastAsia="Arial Narrow" w:hint="default"/>
          <w:sz w:val="21"/>
          <w:szCs w:val="21"/>
        </w:rPr>
        <w:t>2004 </w:t>
      </w:r>
      <w:r>
        <w:rPr>
          <w:rFonts w:ascii="宋体" w:hAnsi="宋体" w:cs="宋体" w:eastAsia="宋体" w:hint="default"/>
          <w:sz w:val="21"/>
          <w:szCs w:val="21"/>
        </w:rPr>
        <w:t>年 </w:t>
      </w:r>
      <w:r>
        <w:rPr>
          <w:rFonts w:ascii="Arial Narrow" w:hAnsi="Arial Narrow" w:cs="Arial Narrow" w:eastAsia="Arial Narrow" w:hint="default"/>
          <w:sz w:val="21"/>
          <w:szCs w:val="21"/>
        </w:rPr>
        <w:t>8 </w:t>
      </w:r>
      <w:r>
        <w:rPr>
          <w:rFonts w:ascii="宋体" w:hAnsi="宋体" w:cs="宋体" w:eastAsia="宋体" w:hint="default"/>
          <w:sz w:val="21"/>
          <w:szCs w:val="21"/>
        </w:rPr>
        <w:t>月 </w:t>
      </w:r>
      <w:r>
        <w:rPr>
          <w:rFonts w:ascii="Arial Narrow" w:hAnsi="Arial Narrow" w:cs="Arial Narrow" w:eastAsia="Arial Narrow" w:hint="default"/>
          <w:sz w:val="21"/>
          <w:szCs w:val="21"/>
        </w:rPr>
        <w:t>18 </w:t>
      </w:r>
      <w:r>
        <w:rPr>
          <w:rFonts w:ascii="宋体" w:hAnsi="宋体" w:cs="宋体" w:eastAsia="宋体" w:hint="default"/>
          <w:sz w:val="21"/>
          <w:szCs w:val="21"/>
        </w:rPr>
        <w:t>日，郭永芳将其所持有的占公司原注册资本</w:t>
      </w:r>
      <w:r>
        <w:rPr>
          <w:rFonts w:ascii="宋体" w:hAnsi="宋体" w:cs="宋体" w:eastAsia="宋体" w:hint="default"/>
          <w:spacing w:val="-79"/>
          <w:sz w:val="21"/>
          <w:szCs w:val="21"/>
        </w:rPr>
        <w:t> </w:t>
      </w:r>
      <w:r>
        <w:rPr>
          <w:rFonts w:ascii="Arial Narrow" w:hAnsi="Arial Narrow" w:cs="Arial Narrow" w:eastAsia="Arial Narrow" w:hint="default"/>
          <w:sz w:val="21"/>
          <w:szCs w:val="21"/>
        </w:rPr>
        <w:t>6.25%</w:t>
      </w:r>
      <w:r>
        <w:rPr>
          <w:rFonts w:ascii="宋体" w:hAnsi="宋体" w:cs="宋体" w:eastAsia="宋体" w:hint="default"/>
          <w:sz w:val="21"/>
          <w:szCs w:val="21"/>
        </w:rPr>
        <w:t>、</w:t>
      </w:r>
      <w:r>
        <w:rPr>
          <w:rFonts w:ascii="Arial Narrow" w:hAnsi="Arial Narrow" w:cs="Arial Narrow" w:eastAsia="Arial Narrow" w:hint="default"/>
          <w:sz w:val="21"/>
          <w:szCs w:val="21"/>
        </w:rPr>
        <w:t>3.125%</w:t>
      </w:r>
      <w:r>
        <w:rPr>
          <w:rFonts w:ascii="宋体" w:hAnsi="宋体" w:cs="宋体" w:eastAsia="宋体" w:hint="default"/>
          <w:sz w:val="21"/>
          <w:szCs w:val="21"/>
        </w:rPr>
        <w:t>的股权分别转让</w:t>
      </w:r>
    </w:p>
    <w:p>
      <w:pPr>
        <w:spacing w:before="120"/>
        <w:ind w:left="159" w:right="106" w:firstLine="0"/>
        <w:jc w:val="left"/>
        <w:rPr>
          <w:rFonts w:ascii="宋体" w:hAnsi="宋体" w:cs="宋体" w:eastAsia="宋体" w:hint="default"/>
          <w:sz w:val="21"/>
          <w:szCs w:val="21"/>
        </w:rPr>
      </w:pPr>
      <w:r>
        <w:rPr>
          <w:rFonts w:ascii="宋体" w:hAnsi="宋体" w:cs="宋体" w:eastAsia="宋体" w:hint="default"/>
          <w:sz w:val="21"/>
          <w:szCs w:val="21"/>
        </w:rPr>
        <w:t>给滕达、刘祥南，同时本公司注册资本由人民币 </w:t>
      </w:r>
      <w:r>
        <w:rPr>
          <w:rFonts w:ascii="Arial Narrow" w:hAnsi="Arial Narrow" w:cs="Arial Narrow" w:eastAsia="Arial Narrow" w:hint="default"/>
          <w:sz w:val="21"/>
          <w:szCs w:val="21"/>
        </w:rPr>
        <w:t>160 </w:t>
      </w:r>
      <w:r>
        <w:rPr>
          <w:rFonts w:ascii="宋体" w:hAnsi="宋体" w:cs="宋体" w:eastAsia="宋体" w:hint="default"/>
          <w:sz w:val="21"/>
          <w:szCs w:val="21"/>
        </w:rPr>
        <w:t>万元增至人民币 </w:t>
      </w:r>
      <w:r>
        <w:rPr>
          <w:rFonts w:ascii="Arial Narrow" w:hAnsi="Arial Narrow" w:cs="Arial Narrow" w:eastAsia="Arial Narrow" w:hint="default"/>
          <w:sz w:val="21"/>
          <w:szCs w:val="21"/>
        </w:rPr>
        <w:t>400</w:t>
      </w:r>
      <w:r>
        <w:rPr>
          <w:rFonts w:ascii="Arial Narrow" w:hAnsi="Arial Narrow" w:cs="Arial Narrow" w:eastAsia="Arial Narrow" w:hint="default"/>
          <w:spacing w:val="-18"/>
          <w:sz w:val="21"/>
          <w:szCs w:val="21"/>
        </w:rPr>
        <w:t> </w:t>
      </w:r>
      <w:r>
        <w:rPr>
          <w:rFonts w:ascii="宋体" w:hAnsi="宋体" w:cs="宋体" w:eastAsia="宋体" w:hint="default"/>
          <w:sz w:val="21"/>
          <w:szCs w:val="21"/>
        </w:rPr>
        <w:t>万元，其中郭永芳认</w:t>
      </w:r>
    </w:p>
    <w:p>
      <w:pPr>
        <w:spacing w:before="118"/>
        <w:ind w:left="159" w:right="0" w:firstLine="0"/>
        <w:jc w:val="left"/>
        <w:rPr>
          <w:rFonts w:ascii="宋体" w:hAnsi="宋体" w:cs="宋体" w:eastAsia="宋体" w:hint="default"/>
          <w:sz w:val="21"/>
          <w:szCs w:val="21"/>
        </w:rPr>
      </w:pPr>
      <w:r>
        <w:rPr>
          <w:rFonts w:ascii="宋体" w:hAnsi="宋体" w:cs="宋体" w:eastAsia="宋体" w:hint="default"/>
          <w:sz w:val="21"/>
          <w:szCs w:val="21"/>
        </w:rPr>
        <w:t>缴</w:t>
      </w:r>
      <w:r>
        <w:rPr>
          <w:rFonts w:ascii="宋体" w:hAnsi="宋体" w:cs="宋体" w:eastAsia="宋体" w:hint="default"/>
          <w:spacing w:val="-56"/>
          <w:sz w:val="21"/>
          <w:szCs w:val="21"/>
        </w:rPr>
        <w:t> </w:t>
      </w:r>
      <w:r>
        <w:rPr>
          <w:rFonts w:ascii="Arial Narrow" w:hAnsi="Arial Narrow" w:cs="Arial Narrow" w:eastAsia="Arial Narrow" w:hint="default"/>
          <w:sz w:val="21"/>
          <w:szCs w:val="21"/>
        </w:rPr>
        <w:t>230</w:t>
      </w:r>
      <w:r>
        <w:rPr>
          <w:rFonts w:ascii="Arial Narrow" w:hAnsi="Arial Narrow" w:cs="Arial Narrow" w:eastAsia="Arial Narrow" w:hint="default"/>
          <w:spacing w:val="2"/>
          <w:sz w:val="21"/>
          <w:szCs w:val="21"/>
        </w:rPr>
        <w:t> </w:t>
      </w:r>
      <w:r>
        <w:rPr>
          <w:rFonts w:ascii="宋体" w:hAnsi="宋体" w:cs="宋体" w:eastAsia="宋体" w:hint="default"/>
          <w:spacing w:val="-5"/>
          <w:sz w:val="21"/>
          <w:szCs w:val="21"/>
        </w:rPr>
        <w:t>万元，滕达认缴</w:t>
      </w:r>
      <w:r>
        <w:rPr>
          <w:rFonts w:ascii="宋体" w:hAnsi="宋体" w:cs="宋体" w:eastAsia="宋体" w:hint="default"/>
          <w:spacing w:val="-56"/>
          <w:sz w:val="21"/>
          <w:szCs w:val="21"/>
        </w:rPr>
        <w:t> </w:t>
      </w:r>
      <w:r>
        <w:rPr>
          <w:rFonts w:ascii="Arial Narrow" w:hAnsi="Arial Narrow" w:cs="Arial Narrow" w:eastAsia="Arial Narrow" w:hint="default"/>
          <w:sz w:val="21"/>
          <w:szCs w:val="21"/>
        </w:rPr>
        <w:t>10 </w:t>
      </w:r>
      <w:r>
        <w:rPr>
          <w:rFonts w:ascii="宋体" w:hAnsi="宋体" w:cs="宋体" w:eastAsia="宋体" w:hint="default"/>
          <w:sz w:val="21"/>
          <w:szCs w:val="21"/>
        </w:rPr>
        <w:t>万元。本次股权转让及增资后郭永芳出资</w:t>
      </w:r>
      <w:r>
        <w:rPr>
          <w:rFonts w:ascii="宋体" w:hAnsi="宋体" w:cs="宋体" w:eastAsia="宋体" w:hint="default"/>
          <w:spacing w:val="-56"/>
          <w:sz w:val="21"/>
          <w:szCs w:val="21"/>
        </w:rPr>
        <w:t> </w:t>
      </w:r>
      <w:r>
        <w:rPr>
          <w:rFonts w:ascii="Arial Narrow" w:hAnsi="Arial Narrow" w:cs="Arial Narrow" w:eastAsia="Arial Narrow" w:hint="default"/>
          <w:sz w:val="21"/>
          <w:szCs w:val="21"/>
        </w:rPr>
        <w:t>360 </w:t>
      </w:r>
      <w:r>
        <w:rPr>
          <w:rFonts w:ascii="宋体" w:hAnsi="宋体" w:cs="宋体" w:eastAsia="宋体" w:hint="default"/>
          <w:spacing w:val="-4"/>
          <w:sz w:val="21"/>
          <w:szCs w:val="21"/>
        </w:rPr>
        <w:t>万元，股权比例为</w:t>
      </w:r>
      <w:r>
        <w:rPr>
          <w:rFonts w:ascii="宋体" w:hAnsi="宋体" w:cs="宋体" w:eastAsia="宋体" w:hint="default"/>
          <w:spacing w:val="-56"/>
          <w:sz w:val="21"/>
          <w:szCs w:val="21"/>
        </w:rPr>
        <w:t> </w:t>
      </w:r>
      <w:r>
        <w:rPr>
          <w:rFonts w:ascii="Arial Narrow" w:hAnsi="Arial Narrow" w:cs="Arial Narrow" w:eastAsia="Arial Narrow" w:hint="default"/>
          <w:sz w:val="21"/>
          <w:szCs w:val="21"/>
        </w:rPr>
        <w:t>90%</w:t>
      </w:r>
      <w:r>
        <w:rPr>
          <w:rFonts w:ascii="宋体" w:hAnsi="宋体" w:cs="宋体" w:eastAsia="宋体" w:hint="default"/>
          <w:sz w:val="21"/>
          <w:szCs w:val="21"/>
        </w:rPr>
        <w:t>；</w:t>
      </w:r>
    </w:p>
    <w:p>
      <w:pPr>
        <w:spacing w:before="120"/>
        <w:ind w:left="159" w:right="106" w:firstLine="0"/>
        <w:jc w:val="left"/>
        <w:rPr>
          <w:rFonts w:ascii="Arial Narrow" w:hAnsi="Arial Narrow" w:cs="Arial Narrow" w:eastAsia="Arial Narrow" w:hint="default"/>
          <w:sz w:val="21"/>
          <w:szCs w:val="21"/>
        </w:rPr>
      </w:pPr>
      <w:r>
        <w:rPr>
          <w:rFonts w:ascii="宋体" w:hAnsi="宋体" w:cs="宋体" w:eastAsia="宋体" w:hint="default"/>
          <w:sz w:val="21"/>
          <w:szCs w:val="21"/>
        </w:rPr>
        <w:t>滕达出资</w:t>
      </w:r>
      <w:r>
        <w:rPr>
          <w:rFonts w:ascii="宋体" w:hAnsi="宋体" w:cs="宋体" w:eastAsia="宋体" w:hint="default"/>
          <w:spacing w:val="-55"/>
          <w:sz w:val="21"/>
          <w:szCs w:val="21"/>
        </w:rPr>
        <w:t> </w:t>
      </w:r>
      <w:r>
        <w:rPr>
          <w:rFonts w:ascii="Arial Narrow" w:hAnsi="Arial Narrow" w:cs="Arial Narrow" w:eastAsia="Arial Narrow" w:hint="default"/>
          <w:sz w:val="21"/>
          <w:szCs w:val="21"/>
        </w:rPr>
        <w:t>20</w:t>
      </w:r>
      <w:r>
        <w:rPr>
          <w:rFonts w:ascii="Arial Narrow" w:hAnsi="Arial Narrow" w:cs="Arial Narrow" w:eastAsia="Arial Narrow" w:hint="default"/>
          <w:spacing w:val="1"/>
          <w:sz w:val="21"/>
          <w:szCs w:val="21"/>
        </w:rPr>
        <w:t> </w:t>
      </w:r>
      <w:r>
        <w:rPr>
          <w:rFonts w:ascii="宋体" w:hAnsi="宋体" w:cs="宋体" w:eastAsia="宋体" w:hint="default"/>
          <w:sz w:val="21"/>
          <w:szCs w:val="21"/>
        </w:rPr>
        <w:t>万元，股权比例为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；刘祥南出资</w:t>
      </w:r>
      <w:r>
        <w:rPr>
          <w:rFonts w:ascii="宋体" w:hAnsi="宋体" w:cs="宋体" w:eastAsia="宋体" w:hint="default"/>
          <w:spacing w:val="-55"/>
          <w:sz w:val="21"/>
          <w:szCs w:val="21"/>
        </w:rPr>
        <w:t> </w:t>
      </w:r>
      <w:r>
        <w:rPr>
          <w:rFonts w:ascii="Arial Narrow" w:hAnsi="Arial Narrow" w:cs="Arial Narrow" w:eastAsia="Arial Narrow" w:hint="default"/>
          <w:sz w:val="21"/>
          <w:szCs w:val="21"/>
        </w:rPr>
        <w:t>20</w:t>
      </w:r>
      <w:r>
        <w:rPr>
          <w:rFonts w:ascii="Arial Narrow" w:hAnsi="Arial Narrow" w:cs="Arial Narrow" w:eastAsia="Arial Narrow" w:hint="default"/>
          <w:spacing w:val="3"/>
          <w:sz w:val="21"/>
          <w:szCs w:val="21"/>
        </w:rPr>
        <w:t> </w:t>
      </w:r>
      <w:r>
        <w:rPr>
          <w:rFonts w:ascii="宋体" w:hAnsi="宋体" w:cs="宋体" w:eastAsia="宋体" w:hint="default"/>
          <w:sz w:val="21"/>
          <w:szCs w:val="21"/>
        </w:rPr>
        <w:t>万元，股权比例为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，本公司于</w:t>
      </w:r>
      <w:r>
        <w:rPr>
          <w:rFonts w:ascii="宋体" w:hAnsi="宋体" w:cs="宋体" w:eastAsia="宋体" w:hint="default"/>
          <w:spacing w:val="-55"/>
          <w:sz w:val="21"/>
          <w:szCs w:val="21"/>
        </w:rPr>
        <w:t> </w:t>
      </w:r>
      <w:r>
        <w:rPr>
          <w:rFonts w:ascii="Arial Narrow" w:hAnsi="Arial Narrow" w:cs="Arial Narrow" w:eastAsia="Arial Narrow" w:hint="default"/>
          <w:sz w:val="21"/>
          <w:szCs w:val="21"/>
        </w:rPr>
        <w:t>2004</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10</w:t>
      </w:r>
    </w:p>
    <w:p>
      <w:pPr>
        <w:spacing w:before="118"/>
        <w:ind w:left="159" w:right="214"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14</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日办妥工商变更手续。</w:t>
      </w:r>
    </w:p>
    <w:p>
      <w:pPr>
        <w:spacing w:before="120"/>
        <w:ind w:left="579" w:right="106" w:firstLine="0"/>
        <w:jc w:val="left"/>
        <w:rPr>
          <w:rFonts w:ascii="宋体" w:hAnsi="宋体" w:cs="宋体" w:eastAsia="宋体" w:hint="default"/>
          <w:sz w:val="21"/>
          <w:szCs w:val="21"/>
        </w:rPr>
      </w:pPr>
      <w:r>
        <w:rPr>
          <w:rFonts w:ascii="Arial Narrow" w:hAnsi="Arial Narrow" w:cs="Arial Narrow" w:eastAsia="Arial Narrow" w:hint="default"/>
          <w:sz w:val="21"/>
          <w:szCs w:val="21"/>
        </w:rPr>
        <w:t>2004</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pacing w:val="-7"/>
          <w:sz w:val="21"/>
          <w:szCs w:val="21"/>
        </w:rPr>
        <w:t>11</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2</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日，本公司注册资本由人民币</w:t>
      </w:r>
      <w:r>
        <w:rPr>
          <w:rFonts w:ascii="宋体" w:hAnsi="宋体" w:cs="宋体" w:eastAsia="宋体" w:hint="default"/>
          <w:spacing w:val="-53"/>
          <w:sz w:val="21"/>
          <w:szCs w:val="21"/>
        </w:rPr>
        <w:t> </w:t>
      </w:r>
      <w:r>
        <w:rPr>
          <w:rFonts w:ascii="Arial Narrow" w:hAnsi="Arial Narrow" w:cs="Arial Narrow" w:eastAsia="Arial Narrow" w:hint="default"/>
          <w:sz w:val="21"/>
          <w:szCs w:val="21"/>
        </w:rPr>
        <w:t>400</w:t>
      </w:r>
      <w:r>
        <w:rPr>
          <w:rFonts w:ascii="Arial Narrow" w:hAnsi="Arial Narrow" w:cs="Arial Narrow" w:eastAsia="Arial Narrow" w:hint="default"/>
          <w:spacing w:val="5"/>
          <w:sz w:val="21"/>
          <w:szCs w:val="21"/>
        </w:rPr>
        <w:t> </w:t>
      </w:r>
      <w:r>
        <w:rPr>
          <w:rFonts w:ascii="宋体" w:hAnsi="宋体" w:cs="宋体" w:eastAsia="宋体" w:hint="default"/>
          <w:sz w:val="21"/>
          <w:szCs w:val="21"/>
        </w:rPr>
        <w:t>万元增至人民币</w:t>
      </w:r>
      <w:r>
        <w:rPr>
          <w:rFonts w:ascii="宋体" w:hAnsi="宋体" w:cs="宋体" w:eastAsia="宋体" w:hint="default"/>
          <w:spacing w:val="-53"/>
          <w:sz w:val="21"/>
          <w:szCs w:val="21"/>
        </w:rPr>
        <w:t> </w:t>
      </w:r>
      <w:r>
        <w:rPr>
          <w:rFonts w:ascii="Arial Narrow" w:hAnsi="Arial Narrow" w:cs="Arial Narrow" w:eastAsia="Arial Narrow" w:hint="default"/>
          <w:sz w:val="21"/>
          <w:szCs w:val="21"/>
        </w:rPr>
        <w:t>500</w:t>
      </w:r>
      <w:r>
        <w:rPr>
          <w:rFonts w:ascii="Arial Narrow" w:hAnsi="Arial Narrow" w:cs="Arial Narrow" w:eastAsia="Arial Narrow" w:hint="default"/>
          <w:spacing w:val="5"/>
          <w:sz w:val="21"/>
          <w:szCs w:val="21"/>
        </w:rPr>
        <w:t> </w:t>
      </w:r>
      <w:r>
        <w:rPr>
          <w:rFonts w:ascii="宋体" w:hAnsi="宋体" w:cs="宋体" w:eastAsia="宋体" w:hint="default"/>
          <w:sz w:val="21"/>
          <w:szCs w:val="21"/>
        </w:rPr>
        <w:t>万元，其中郭永芳认</w:t>
      </w:r>
    </w:p>
    <w:p>
      <w:pPr>
        <w:spacing w:line="338" w:lineRule="auto" w:before="118"/>
        <w:ind w:left="159" w:right="209" w:hanging="1"/>
        <w:jc w:val="left"/>
        <w:rPr>
          <w:rFonts w:ascii="宋体" w:hAnsi="宋体" w:cs="宋体" w:eastAsia="宋体" w:hint="default"/>
          <w:sz w:val="21"/>
          <w:szCs w:val="21"/>
        </w:rPr>
      </w:pPr>
      <w:r>
        <w:rPr>
          <w:rFonts w:ascii="宋体" w:hAnsi="宋体" w:cs="宋体" w:eastAsia="宋体" w:hint="default"/>
          <w:sz w:val="21"/>
          <w:szCs w:val="21"/>
        </w:rPr>
        <w:t>缴</w:t>
      </w:r>
      <w:r>
        <w:rPr>
          <w:rFonts w:ascii="宋体" w:hAnsi="宋体" w:cs="宋体" w:eastAsia="宋体" w:hint="default"/>
          <w:spacing w:val="-41"/>
          <w:sz w:val="21"/>
          <w:szCs w:val="21"/>
        </w:rPr>
        <w:t> </w:t>
      </w:r>
      <w:r>
        <w:rPr>
          <w:rFonts w:ascii="Arial Narrow" w:hAnsi="Arial Narrow" w:cs="Arial Narrow" w:eastAsia="Arial Narrow" w:hint="default"/>
          <w:sz w:val="21"/>
          <w:szCs w:val="21"/>
        </w:rPr>
        <w:t>45</w:t>
      </w:r>
      <w:r>
        <w:rPr>
          <w:rFonts w:ascii="Arial Narrow" w:hAnsi="Arial Narrow" w:cs="Arial Narrow" w:eastAsia="Arial Narrow" w:hint="default"/>
          <w:spacing w:val="17"/>
          <w:sz w:val="21"/>
          <w:szCs w:val="21"/>
        </w:rPr>
        <w:t> </w:t>
      </w:r>
      <w:r>
        <w:rPr>
          <w:rFonts w:ascii="宋体" w:hAnsi="宋体" w:cs="宋体" w:eastAsia="宋体" w:hint="default"/>
          <w:sz w:val="21"/>
          <w:szCs w:val="21"/>
        </w:rPr>
        <w:t>万元，滕达认缴</w:t>
      </w:r>
      <w:r>
        <w:rPr>
          <w:rFonts w:ascii="宋体" w:hAnsi="宋体" w:cs="宋体" w:eastAsia="宋体" w:hint="default"/>
          <w:spacing w:val="-40"/>
          <w:sz w:val="21"/>
          <w:szCs w:val="21"/>
        </w:rPr>
        <w:t> </w:t>
      </w:r>
      <w:r>
        <w:rPr>
          <w:rFonts w:ascii="Arial Narrow" w:hAnsi="Arial Narrow" w:cs="Arial Narrow" w:eastAsia="Arial Narrow" w:hint="default"/>
          <w:sz w:val="21"/>
          <w:szCs w:val="21"/>
        </w:rPr>
        <w:t>50</w:t>
      </w:r>
      <w:r>
        <w:rPr>
          <w:rFonts w:ascii="Arial Narrow" w:hAnsi="Arial Narrow" w:cs="Arial Narrow" w:eastAsia="Arial Narrow" w:hint="default"/>
          <w:spacing w:val="16"/>
          <w:sz w:val="21"/>
          <w:szCs w:val="21"/>
        </w:rPr>
        <w:t> </w:t>
      </w:r>
      <w:r>
        <w:rPr>
          <w:rFonts w:ascii="宋体" w:hAnsi="宋体" w:cs="宋体" w:eastAsia="宋体" w:hint="default"/>
          <w:sz w:val="21"/>
          <w:szCs w:val="21"/>
        </w:rPr>
        <w:t>万元，刘祥南认缴</w:t>
      </w:r>
      <w:r>
        <w:rPr>
          <w:rFonts w:ascii="宋体" w:hAnsi="宋体" w:cs="宋体" w:eastAsia="宋体" w:hint="default"/>
          <w:spacing w:val="-41"/>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17"/>
          <w:sz w:val="21"/>
          <w:szCs w:val="21"/>
        </w:rPr>
        <w:t> </w:t>
      </w:r>
      <w:r>
        <w:rPr>
          <w:rFonts w:ascii="宋体" w:hAnsi="宋体" w:cs="宋体" w:eastAsia="宋体" w:hint="default"/>
          <w:sz w:val="21"/>
          <w:szCs w:val="21"/>
        </w:rPr>
        <w:t>万元。本次增资后郭永芳出资</w:t>
      </w:r>
      <w:r>
        <w:rPr>
          <w:rFonts w:ascii="宋体" w:hAnsi="宋体" w:cs="宋体" w:eastAsia="宋体" w:hint="default"/>
          <w:spacing w:val="-40"/>
          <w:sz w:val="21"/>
          <w:szCs w:val="21"/>
        </w:rPr>
        <w:t> </w:t>
      </w:r>
      <w:r>
        <w:rPr>
          <w:rFonts w:ascii="Arial Narrow" w:hAnsi="Arial Narrow" w:cs="Arial Narrow" w:eastAsia="Arial Narrow" w:hint="default"/>
          <w:sz w:val="21"/>
          <w:szCs w:val="21"/>
        </w:rPr>
        <w:t>405</w:t>
      </w:r>
      <w:r>
        <w:rPr>
          <w:rFonts w:ascii="Arial Narrow" w:hAnsi="Arial Narrow" w:cs="Arial Narrow" w:eastAsia="Arial Narrow" w:hint="default"/>
          <w:spacing w:val="17"/>
          <w:sz w:val="21"/>
          <w:szCs w:val="21"/>
        </w:rPr>
        <w:t> </w:t>
      </w:r>
      <w:r>
        <w:rPr>
          <w:rFonts w:ascii="宋体" w:hAnsi="宋体" w:cs="宋体" w:eastAsia="宋体" w:hint="default"/>
          <w:sz w:val="21"/>
          <w:szCs w:val="21"/>
        </w:rPr>
        <w:t>万元，股权比 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81%</w:t>
      </w:r>
      <w:r>
        <w:rPr>
          <w:rFonts w:ascii="宋体" w:hAnsi="宋体" w:cs="宋体" w:eastAsia="宋体" w:hint="default"/>
          <w:sz w:val="21"/>
          <w:szCs w:val="21"/>
        </w:rPr>
        <w:t>；滕达出资</w:t>
      </w:r>
      <w:r>
        <w:rPr>
          <w:rFonts w:ascii="宋体" w:hAnsi="宋体" w:cs="宋体" w:eastAsia="宋体" w:hint="default"/>
          <w:spacing w:val="-51"/>
          <w:sz w:val="21"/>
          <w:szCs w:val="21"/>
        </w:rPr>
        <w:t> </w:t>
      </w:r>
      <w:r>
        <w:rPr>
          <w:rFonts w:ascii="Arial Narrow" w:hAnsi="Arial Narrow" w:cs="Arial Narrow" w:eastAsia="Arial Narrow" w:hint="default"/>
          <w:sz w:val="21"/>
          <w:szCs w:val="21"/>
        </w:rPr>
        <w:t>70</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万元，股权比例为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14%</w:t>
      </w:r>
      <w:r>
        <w:rPr>
          <w:rFonts w:ascii="宋体" w:hAnsi="宋体" w:cs="宋体" w:eastAsia="宋体" w:hint="default"/>
          <w:sz w:val="21"/>
          <w:szCs w:val="21"/>
        </w:rPr>
        <w:t>；刘祥南出资</w:t>
      </w:r>
      <w:r>
        <w:rPr>
          <w:rFonts w:ascii="宋体" w:hAnsi="宋体" w:cs="宋体" w:eastAsia="宋体" w:hint="default"/>
          <w:spacing w:val="-51"/>
          <w:sz w:val="21"/>
          <w:szCs w:val="21"/>
        </w:rPr>
        <w:t> </w:t>
      </w:r>
      <w:r>
        <w:rPr>
          <w:rFonts w:ascii="Arial Narrow" w:hAnsi="Arial Narrow" w:cs="Arial Narrow" w:eastAsia="Arial Narrow" w:hint="default"/>
          <w:sz w:val="21"/>
          <w:szCs w:val="21"/>
        </w:rPr>
        <w:t>25</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万元，股权比例为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，本公司</w:t>
      </w:r>
    </w:p>
    <w:p>
      <w:pPr>
        <w:spacing w:after="0" w:line="338" w:lineRule="auto"/>
        <w:jc w:val="left"/>
        <w:rPr>
          <w:rFonts w:ascii="宋体" w:hAnsi="宋体" w:cs="宋体" w:eastAsia="宋体" w:hint="default"/>
          <w:sz w:val="21"/>
          <w:szCs w:val="21"/>
        </w:rPr>
        <w:sectPr>
          <w:footerReference w:type="default" r:id="rId67"/>
          <w:pgSz w:w="12240" w:h="15840"/>
          <w:pgMar w:footer="708" w:header="0" w:top="1500" w:bottom="900" w:left="1640" w:right="1580"/>
          <w:pgNumType w:start="103"/>
        </w:sectPr>
      </w:pPr>
    </w:p>
    <w:p>
      <w:pPr>
        <w:spacing w:before="6"/>
        <w:ind w:left="120" w:right="0" w:firstLine="0"/>
        <w:jc w:val="both"/>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2004</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pacing w:val="-7"/>
          <w:sz w:val="21"/>
          <w:szCs w:val="21"/>
        </w:rPr>
        <w:t>11</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日办妥工商变更手续。</w:t>
      </w:r>
    </w:p>
    <w:p>
      <w:pPr>
        <w:spacing w:before="118"/>
        <w:ind w:left="539" w:right="114" w:firstLine="0"/>
        <w:jc w:val="left"/>
        <w:rPr>
          <w:rFonts w:ascii="宋体" w:hAnsi="宋体" w:cs="宋体" w:eastAsia="宋体" w:hint="default"/>
          <w:sz w:val="21"/>
          <w:szCs w:val="21"/>
        </w:rPr>
      </w:pPr>
      <w:r>
        <w:rPr>
          <w:rFonts w:ascii="Arial Narrow" w:hAnsi="Arial Narrow" w:cs="Arial Narrow" w:eastAsia="Arial Narrow" w:hint="default"/>
          <w:sz w:val="21"/>
          <w:szCs w:val="21"/>
        </w:rPr>
        <w:t>2006</w:t>
      </w:r>
      <w:r>
        <w:rPr>
          <w:rFonts w:ascii="Arial Narrow" w:hAnsi="Arial Narrow" w:cs="Arial Narrow" w:eastAsia="Arial Narrow"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z w:val="21"/>
          <w:szCs w:val="21"/>
        </w:rPr>
        <w:t>21</w:t>
      </w:r>
      <w:r>
        <w:rPr>
          <w:rFonts w:ascii="Arial Narrow" w:hAnsi="Arial Narrow" w:cs="Arial Narrow" w:eastAsia="Arial Narrow" w:hint="default"/>
          <w:spacing w:val="6"/>
          <w:sz w:val="21"/>
          <w:szCs w:val="21"/>
        </w:rPr>
        <w:t> </w:t>
      </w:r>
      <w:r>
        <w:rPr>
          <w:rFonts w:ascii="宋体" w:hAnsi="宋体" w:cs="宋体" w:eastAsia="宋体" w:hint="default"/>
          <w:spacing w:val="-5"/>
          <w:sz w:val="21"/>
          <w:szCs w:val="21"/>
        </w:rPr>
        <w:t>日，本公司注册资本由人民币</w:t>
      </w:r>
      <w:r>
        <w:rPr>
          <w:rFonts w:ascii="宋体" w:hAnsi="宋体" w:cs="宋体" w:eastAsia="宋体" w:hint="default"/>
          <w:spacing w:val="-52"/>
          <w:sz w:val="21"/>
          <w:szCs w:val="21"/>
        </w:rPr>
        <w:t> </w:t>
      </w:r>
      <w:r>
        <w:rPr>
          <w:rFonts w:ascii="Arial Narrow" w:hAnsi="Arial Narrow" w:cs="Arial Narrow" w:eastAsia="Arial Narrow" w:hint="default"/>
          <w:sz w:val="21"/>
          <w:szCs w:val="21"/>
        </w:rPr>
        <w:t>500</w:t>
      </w:r>
      <w:r>
        <w:rPr>
          <w:rFonts w:ascii="Arial Narrow" w:hAnsi="Arial Narrow" w:cs="Arial Narrow" w:eastAsia="Arial Narrow" w:hint="default"/>
          <w:spacing w:val="4"/>
          <w:sz w:val="21"/>
          <w:szCs w:val="21"/>
        </w:rPr>
        <w:t> </w:t>
      </w:r>
      <w:r>
        <w:rPr>
          <w:rFonts w:ascii="宋体" w:hAnsi="宋体" w:cs="宋体" w:eastAsia="宋体" w:hint="default"/>
          <w:sz w:val="21"/>
          <w:szCs w:val="21"/>
        </w:rPr>
        <w:t>万元增至人民币</w:t>
      </w:r>
      <w:r>
        <w:rPr>
          <w:rFonts w:ascii="宋体" w:hAnsi="宋体" w:cs="宋体" w:eastAsia="宋体" w:hint="default"/>
          <w:spacing w:val="-52"/>
          <w:sz w:val="21"/>
          <w:szCs w:val="21"/>
        </w:rPr>
        <w:t> </w:t>
      </w:r>
      <w:r>
        <w:rPr>
          <w:rFonts w:ascii="Arial Narrow" w:hAnsi="Arial Narrow" w:cs="Arial Narrow" w:eastAsia="Arial Narrow" w:hint="default"/>
          <w:sz w:val="21"/>
          <w:szCs w:val="21"/>
        </w:rPr>
        <w:t>1000</w:t>
      </w:r>
      <w:r>
        <w:rPr>
          <w:rFonts w:ascii="Arial Narrow" w:hAnsi="Arial Narrow" w:cs="Arial Narrow" w:eastAsia="Arial Narrow" w:hint="default"/>
          <w:spacing w:val="6"/>
          <w:sz w:val="21"/>
          <w:szCs w:val="21"/>
        </w:rPr>
        <w:t> </w:t>
      </w:r>
      <w:r>
        <w:rPr>
          <w:rFonts w:ascii="宋体" w:hAnsi="宋体" w:cs="宋体" w:eastAsia="宋体" w:hint="default"/>
          <w:spacing w:val="-6"/>
          <w:sz w:val="21"/>
          <w:szCs w:val="21"/>
        </w:rPr>
        <w:t>万元，其中郭永芳认</w:t>
      </w:r>
    </w:p>
    <w:p>
      <w:pPr>
        <w:spacing w:before="120"/>
        <w:ind w:left="119" w:right="0" w:firstLine="0"/>
        <w:jc w:val="both"/>
        <w:rPr>
          <w:rFonts w:ascii="宋体" w:hAnsi="宋体" w:cs="宋体" w:eastAsia="宋体" w:hint="default"/>
          <w:sz w:val="21"/>
          <w:szCs w:val="21"/>
        </w:rPr>
      </w:pPr>
      <w:r>
        <w:rPr>
          <w:rFonts w:ascii="宋体" w:hAnsi="宋体" w:cs="宋体" w:eastAsia="宋体" w:hint="default"/>
          <w:sz w:val="21"/>
          <w:szCs w:val="21"/>
        </w:rPr>
        <w:t>缴</w:t>
      </w:r>
      <w:r>
        <w:rPr>
          <w:rFonts w:ascii="宋体" w:hAnsi="宋体" w:cs="宋体" w:eastAsia="宋体" w:hint="default"/>
          <w:spacing w:val="-51"/>
          <w:sz w:val="21"/>
          <w:szCs w:val="21"/>
        </w:rPr>
        <w:t> </w:t>
      </w:r>
      <w:r>
        <w:rPr>
          <w:rFonts w:ascii="Arial Narrow" w:hAnsi="Arial Narrow" w:cs="Arial Narrow" w:eastAsia="Arial Narrow" w:hint="default"/>
          <w:sz w:val="21"/>
          <w:szCs w:val="21"/>
        </w:rPr>
        <w:t>425</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万元，刘祥南认缴</w:t>
      </w:r>
      <w:r>
        <w:rPr>
          <w:rFonts w:ascii="宋体" w:hAnsi="宋体" w:cs="宋体" w:eastAsia="宋体" w:hint="default"/>
          <w:spacing w:val="-51"/>
          <w:sz w:val="21"/>
          <w:szCs w:val="21"/>
        </w:rPr>
        <w:t> </w:t>
      </w:r>
      <w:r>
        <w:rPr>
          <w:rFonts w:ascii="Arial Narrow" w:hAnsi="Arial Narrow" w:cs="Arial Narrow" w:eastAsia="Arial Narrow" w:hint="default"/>
          <w:sz w:val="21"/>
          <w:szCs w:val="21"/>
        </w:rPr>
        <w:t>75</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万元。本次增资后郭永芳出资</w:t>
      </w:r>
      <w:r>
        <w:rPr>
          <w:rFonts w:ascii="宋体" w:hAnsi="宋体" w:cs="宋体" w:eastAsia="宋体" w:hint="default"/>
          <w:spacing w:val="-51"/>
          <w:sz w:val="21"/>
          <w:szCs w:val="21"/>
        </w:rPr>
        <w:t> </w:t>
      </w:r>
      <w:r>
        <w:rPr>
          <w:rFonts w:ascii="Arial Narrow" w:hAnsi="Arial Narrow" w:cs="Arial Narrow" w:eastAsia="Arial Narrow" w:hint="default"/>
          <w:sz w:val="21"/>
          <w:szCs w:val="21"/>
        </w:rPr>
        <w:t>830</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万元，股权比例为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83%</w:t>
      </w:r>
      <w:r>
        <w:rPr>
          <w:rFonts w:ascii="宋体" w:hAnsi="宋体" w:cs="宋体" w:eastAsia="宋体" w:hint="default"/>
          <w:sz w:val="21"/>
          <w:szCs w:val="21"/>
        </w:rPr>
        <w:t>；滕达出</w:t>
      </w:r>
    </w:p>
    <w:p>
      <w:pPr>
        <w:spacing w:before="118"/>
        <w:ind w:left="119" w:right="0" w:firstLine="0"/>
        <w:jc w:val="both"/>
        <w:rPr>
          <w:rFonts w:ascii="Arial Narrow" w:hAnsi="Arial Narrow" w:cs="Arial Narrow" w:eastAsia="Arial Narrow" w:hint="default"/>
          <w:sz w:val="21"/>
          <w:szCs w:val="21"/>
        </w:rPr>
      </w:pPr>
      <w:r>
        <w:rPr>
          <w:rFonts w:ascii="宋体" w:hAnsi="宋体" w:cs="宋体" w:eastAsia="宋体" w:hint="default"/>
          <w:sz w:val="21"/>
          <w:szCs w:val="21"/>
        </w:rPr>
        <w:t>资</w:t>
      </w:r>
      <w:r>
        <w:rPr>
          <w:rFonts w:ascii="宋体" w:hAnsi="宋体" w:cs="宋体" w:eastAsia="宋体" w:hint="default"/>
          <w:spacing w:val="-53"/>
          <w:sz w:val="21"/>
          <w:szCs w:val="21"/>
        </w:rPr>
        <w:t> </w:t>
      </w:r>
      <w:r>
        <w:rPr>
          <w:rFonts w:ascii="Arial Narrow" w:hAnsi="Arial Narrow" w:cs="Arial Narrow" w:eastAsia="Arial Narrow" w:hint="default"/>
          <w:sz w:val="21"/>
          <w:szCs w:val="21"/>
        </w:rPr>
        <w:t>70</w:t>
      </w:r>
      <w:r>
        <w:rPr>
          <w:rFonts w:ascii="Arial Narrow" w:hAnsi="Arial Narrow" w:cs="Arial Narrow" w:eastAsia="Arial Narrow" w:hint="default"/>
          <w:spacing w:val="5"/>
          <w:sz w:val="21"/>
          <w:szCs w:val="21"/>
        </w:rPr>
        <w:t> </w:t>
      </w:r>
      <w:r>
        <w:rPr>
          <w:rFonts w:ascii="宋体" w:hAnsi="宋体" w:cs="宋体" w:eastAsia="宋体" w:hint="default"/>
          <w:sz w:val="21"/>
          <w:szCs w:val="21"/>
        </w:rPr>
        <w:t>万元，股权比例为</w:t>
      </w:r>
      <w:r>
        <w:rPr>
          <w:rFonts w:ascii="宋体" w:hAnsi="宋体" w:cs="宋体" w:eastAsia="宋体" w:hint="default"/>
          <w:spacing w:val="-53"/>
          <w:sz w:val="21"/>
          <w:szCs w:val="21"/>
        </w:rPr>
        <w:t> </w:t>
      </w:r>
      <w:r>
        <w:rPr>
          <w:rFonts w:ascii="Arial Narrow" w:hAnsi="Arial Narrow" w:cs="Arial Narrow" w:eastAsia="Arial Narrow" w:hint="default"/>
          <w:sz w:val="21"/>
          <w:szCs w:val="21"/>
        </w:rPr>
        <w:t>7%</w:t>
      </w:r>
      <w:r>
        <w:rPr>
          <w:rFonts w:ascii="宋体" w:hAnsi="宋体" w:cs="宋体" w:eastAsia="宋体" w:hint="default"/>
          <w:sz w:val="21"/>
          <w:szCs w:val="21"/>
        </w:rPr>
        <w:t>；刘祥南出资</w:t>
      </w:r>
      <w:r>
        <w:rPr>
          <w:rFonts w:ascii="宋体" w:hAnsi="宋体" w:cs="宋体" w:eastAsia="宋体" w:hint="default"/>
          <w:spacing w:val="-53"/>
          <w:sz w:val="21"/>
          <w:szCs w:val="21"/>
        </w:rPr>
        <w:t> </w:t>
      </w:r>
      <w:r>
        <w:rPr>
          <w:rFonts w:ascii="Arial Narrow" w:hAnsi="Arial Narrow" w:cs="Arial Narrow" w:eastAsia="Arial Narrow" w:hint="default"/>
          <w:sz w:val="21"/>
          <w:szCs w:val="21"/>
        </w:rPr>
        <w:t>100</w:t>
      </w:r>
      <w:r>
        <w:rPr>
          <w:rFonts w:ascii="Arial Narrow" w:hAnsi="Arial Narrow" w:cs="Arial Narrow" w:eastAsia="Arial Narrow" w:hint="default"/>
          <w:spacing w:val="5"/>
          <w:sz w:val="21"/>
          <w:szCs w:val="21"/>
        </w:rPr>
        <w:t> </w:t>
      </w:r>
      <w:r>
        <w:rPr>
          <w:rFonts w:ascii="宋体" w:hAnsi="宋体" w:cs="宋体" w:eastAsia="宋体" w:hint="default"/>
          <w:sz w:val="21"/>
          <w:szCs w:val="21"/>
        </w:rPr>
        <w:t>万元，股权比例为</w:t>
      </w:r>
      <w:r>
        <w:rPr>
          <w:rFonts w:ascii="宋体" w:hAnsi="宋体" w:cs="宋体" w:eastAsia="宋体" w:hint="default"/>
          <w:spacing w:val="-53"/>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，本公司于</w:t>
      </w:r>
      <w:r>
        <w:rPr>
          <w:rFonts w:ascii="宋体" w:hAnsi="宋体" w:cs="宋体" w:eastAsia="宋体" w:hint="default"/>
          <w:spacing w:val="-53"/>
          <w:sz w:val="21"/>
          <w:szCs w:val="21"/>
        </w:rPr>
        <w:t> </w:t>
      </w:r>
      <w:r>
        <w:rPr>
          <w:rFonts w:ascii="Arial Narrow" w:hAnsi="Arial Narrow" w:cs="Arial Narrow" w:eastAsia="Arial Narrow" w:hint="default"/>
          <w:sz w:val="21"/>
          <w:szCs w:val="21"/>
        </w:rPr>
        <w:t>2006</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24</w:t>
      </w:r>
    </w:p>
    <w:p>
      <w:pPr>
        <w:spacing w:before="120"/>
        <w:ind w:left="119" w:right="0" w:firstLine="0"/>
        <w:jc w:val="both"/>
        <w:rPr>
          <w:rFonts w:ascii="宋体" w:hAnsi="宋体" w:cs="宋体" w:eastAsia="宋体" w:hint="default"/>
          <w:sz w:val="21"/>
          <w:szCs w:val="21"/>
        </w:rPr>
      </w:pPr>
      <w:r>
        <w:rPr>
          <w:rFonts w:ascii="宋体" w:hAnsi="宋体" w:cs="宋体" w:eastAsia="宋体" w:hint="default"/>
          <w:sz w:val="21"/>
          <w:szCs w:val="21"/>
        </w:rPr>
        <w:t>日办妥工商变更手续。</w:t>
      </w:r>
    </w:p>
    <w:p>
      <w:pPr>
        <w:spacing w:line="338" w:lineRule="auto" w:before="133"/>
        <w:ind w:left="119" w:right="135" w:firstLine="420"/>
        <w:jc w:val="left"/>
        <w:rPr>
          <w:rFonts w:ascii="宋体" w:hAnsi="宋体" w:cs="宋体" w:eastAsia="宋体" w:hint="default"/>
          <w:sz w:val="21"/>
          <w:szCs w:val="21"/>
        </w:rPr>
      </w:pPr>
      <w:r>
        <w:rPr>
          <w:rFonts w:ascii="Arial Narrow" w:hAnsi="Arial Narrow" w:cs="Arial Narrow" w:eastAsia="Arial Narrow" w:hint="default"/>
          <w:sz w:val="21"/>
          <w:szCs w:val="21"/>
        </w:rPr>
        <w:t>2006 </w:t>
      </w:r>
      <w:r>
        <w:rPr>
          <w:rFonts w:ascii="宋体" w:hAnsi="宋体" w:cs="宋体" w:eastAsia="宋体" w:hint="default"/>
          <w:sz w:val="21"/>
          <w:szCs w:val="21"/>
        </w:rPr>
        <w:t>年 </w:t>
      </w:r>
      <w:r>
        <w:rPr>
          <w:rFonts w:ascii="Arial Narrow" w:hAnsi="Arial Narrow" w:cs="Arial Narrow" w:eastAsia="Arial Narrow" w:hint="default"/>
          <w:spacing w:val="-7"/>
          <w:sz w:val="21"/>
          <w:szCs w:val="21"/>
        </w:rPr>
        <w:t>11 </w:t>
      </w:r>
      <w:r>
        <w:rPr>
          <w:rFonts w:ascii="宋体" w:hAnsi="宋体" w:cs="宋体" w:eastAsia="宋体" w:hint="default"/>
          <w:sz w:val="21"/>
          <w:szCs w:val="21"/>
        </w:rPr>
        <w:t>月 </w:t>
      </w:r>
      <w:r>
        <w:rPr>
          <w:rFonts w:ascii="Arial Narrow" w:hAnsi="Arial Narrow" w:cs="Arial Narrow" w:eastAsia="Arial Narrow" w:hint="default"/>
          <w:sz w:val="21"/>
          <w:szCs w:val="21"/>
        </w:rPr>
        <w:t>6 </w:t>
      </w:r>
      <w:r>
        <w:rPr>
          <w:rFonts w:ascii="宋体" w:hAnsi="宋体" w:cs="宋体" w:eastAsia="宋体" w:hint="default"/>
          <w:sz w:val="21"/>
          <w:szCs w:val="21"/>
        </w:rPr>
        <w:t>日，滕达将其所持有的占公司原注册资本</w:t>
      </w:r>
      <w:r>
        <w:rPr>
          <w:rFonts w:ascii="宋体" w:hAnsi="宋体" w:cs="宋体" w:eastAsia="宋体" w:hint="default"/>
          <w:spacing w:val="-74"/>
          <w:sz w:val="21"/>
          <w:szCs w:val="21"/>
        </w:rPr>
        <w:t> </w:t>
      </w:r>
      <w:r>
        <w:rPr>
          <w:rFonts w:ascii="Arial Narrow" w:hAnsi="Arial Narrow" w:cs="Arial Narrow" w:eastAsia="Arial Narrow" w:hint="default"/>
          <w:sz w:val="21"/>
          <w:szCs w:val="21"/>
        </w:rPr>
        <w:t>7%</w:t>
      </w:r>
      <w:r>
        <w:rPr>
          <w:rFonts w:ascii="宋体" w:hAnsi="宋体" w:cs="宋体" w:eastAsia="宋体" w:hint="default"/>
          <w:sz w:val="21"/>
          <w:szCs w:val="21"/>
        </w:rPr>
        <w:t>的股权全部转让给郭永芳，本 次股权转让后郭永芳出资</w:t>
      </w:r>
      <w:r>
        <w:rPr>
          <w:rFonts w:ascii="宋体" w:hAnsi="宋体" w:cs="宋体" w:eastAsia="宋体" w:hint="default"/>
          <w:spacing w:val="-55"/>
          <w:sz w:val="21"/>
          <w:szCs w:val="21"/>
        </w:rPr>
        <w:t> </w:t>
      </w:r>
      <w:r>
        <w:rPr>
          <w:rFonts w:ascii="Arial Narrow" w:hAnsi="Arial Narrow" w:cs="Arial Narrow" w:eastAsia="Arial Narrow" w:hint="default"/>
          <w:sz w:val="21"/>
          <w:szCs w:val="21"/>
        </w:rPr>
        <w:t>900</w:t>
      </w:r>
      <w:r>
        <w:rPr>
          <w:rFonts w:ascii="Arial Narrow" w:hAnsi="Arial Narrow" w:cs="Arial Narrow" w:eastAsia="Arial Narrow" w:hint="default"/>
          <w:spacing w:val="3"/>
          <w:sz w:val="21"/>
          <w:szCs w:val="21"/>
        </w:rPr>
        <w:t> </w:t>
      </w:r>
      <w:r>
        <w:rPr>
          <w:rFonts w:ascii="宋体" w:hAnsi="宋体" w:cs="宋体" w:eastAsia="宋体" w:hint="default"/>
          <w:sz w:val="21"/>
          <w:szCs w:val="21"/>
        </w:rPr>
        <w:t>万元，股权比例为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90%</w:t>
      </w:r>
      <w:r>
        <w:rPr>
          <w:rFonts w:ascii="宋体" w:hAnsi="宋体" w:cs="宋体" w:eastAsia="宋体" w:hint="default"/>
          <w:sz w:val="21"/>
          <w:szCs w:val="21"/>
        </w:rPr>
        <w:t>；刘祥南出资</w:t>
      </w:r>
      <w:r>
        <w:rPr>
          <w:rFonts w:ascii="宋体" w:hAnsi="宋体" w:cs="宋体" w:eastAsia="宋体" w:hint="default"/>
          <w:spacing w:val="-55"/>
          <w:sz w:val="21"/>
          <w:szCs w:val="21"/>
        </w:rPr>
        <w:t> </w:t>
      </w:r>
      <w:r>
        <w:rPr>
          <w:rFonts w:ascii="Arial Narrow" w:hAnsi="Arial Narrow" w:cs="Arial Narrow" w:eastAsia="Arial Narrow" w:hint="default"/>
          <w:sz w:val="21"/>
          <w:szCs w:val="21"/>
        </w:rPr>
        <w:t>100</w:t>
      </w:r>
      <w:r>
        <w:rPr>
          <w:rFonts w:ascii="Arial Narrow" w:hAnsi="Arial Narrow" w:cs="Arial Narrow" w:eastAsia="Arial Narrow" w:hint="default"/>
          <w:spacing w:val="3"/>
          <w:sz w:val="21"/>
          <w:szCs w:val="21"/>
        </w:rPr>
        <w:t> </w:t>
      </w:r>
      <w:r>
        <w:rPr>
          <w:rFonts w:ascii="宋体" w:hAnsi="宋体" w:cs="宋体" w:eastAsia="宋体" w:hint="default"/>
          <w:sz w:val="21"/>
          <w:szCs w:val="21"/>
        </w:rPr>
        <w:t>万元，股权比例为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 本公司于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2006</w:t>
      </w:r>
      <w:r>
        <w:rPr>
          <w:rFonts w:ascii="Arial Narrow" w:hAnsi="Arial Narrow" w:cs="Arial Narrow" w:eastAsia="Arial Narrow"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pacing w:val="-7"/>
          <w:sz w:val="21"/>
          <w:szCs w:val="21"/>
        </w:rPr>
        <w:t>11</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16</w:t>
      </w:r>
      <w:r>
        <w:rPr>
          <w:rFonts w:ascii="Arial Narrow" w:hAnsi="Arial Narrow" w:cs="Arial Narrow" w:eastAsia="Arial Narrow" w:hint="default"/>
          <w:spacing w:val="2"/>
          <w:sz w:val="21"/>
          <w:szCs w:val="21"/>
        </w:rPr>
        <w:t> </w:t>
      </w:r>
      <w:r>
        <w:rPr>
          <w:rFonts w:ascii="宋体" w:hAnsi="宋体" w:cs="宋体" w:eastAsia="宋体" w:hint="default"/>
          <w:sz w:val="21"/>
          <w:szCs w:val="21"/>
        </w:rPr>
        <w:t>日办妥工商变更手续。</w:t>
      </w:r>
    </w:p>
    <w:p>
      <w:pPr>
        <w:spacing w:line="338" w:lineRule="auto" w:before="21"/>
        <w:ind w:left="118" w:right="103" w:firstLine="42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Arial Narrow" w:hAnsi="Arial Narrow" w:cs="Arial Narrow" w:eastAsia="Arial Narrow"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12"/>
          <w:sz w:val="21"/>
          <w:szCs w:val="21"/>
        </w:rPr>
        <w:t> </w:t>
      </w:r>
      <w:r>
        <w:rPr>
          <w:rFonts w:ascii="宋体" w:hAnsi="宋体" w:cs="宋体" w:eastAsia="宋体" w:hint="default"/>
          <w:sz w:val="21"/>
          <w:szCs w:val="21"/>
        </w:rPr>
        <w:t>日，郭永芳将其所持有的占公司原注册资本</w:t>
      </w:r>
      <w:r>
        <w:rPr>
          <w:rFonts w:ascii="宋体" w:hAnsi="宋体" w:cs="宋体" w:eastAsia="宋体" w:hint="default"/>
          <w:spacing w:val="-44"/>
          <w:sz w:val="21"/>
          <w:szCs w:val="21"/>
        </w:rPr>
        <w:t> </w:t>
      </w:r>
      <w:r>
        <w:rPr>
          <w:rFonts w:ascii="Arial Narrow" w:hAnsi="Arial Narrow" w:cs="Arial Narrow" w:eastAsia="Arial Narrow" w:hint="default"/>
          <w:sz w:val="21"/>
          <w:szCs w:val="21"/>
        </w:rPr>
        <w:t>51%</w:t>
      </w:r>
      <w:r>
        <w:rPr>
          <w:rFonts w:ascii="宋体" w:hAnsi="宋体" w:cs="宋体" w:eastAsia="宋体" w:hint="default"/>
          <w:sz w:val="21"/>
          <w:szCs w:val="21"/>
        </w:rPr>
        <w:t>的股权分别转让给广州通连 投资咨询有限公司、李国林等，本次股权转让后郭永芳出资人民币</w:t>
      </w:r>
      <w:r>
        <w:rPr>
          <w:rFonts w:ascii="宋体" w:hAnsi="宋体" w:cs="宋体" w:eastAsia="宋体" w:hint="default"/>
          <w:spacing w:val="-66"/>
          <w:sz w:val="21"/>
          <w:szCs w:val="21"/>
        </w:rPr>
        <w:t> </w:t>
      </w:r>
      <w:r>
        <w:rPr>
          <w:rFonts w:ascii="Arial Narrow" w:hAnsi="Arial Narrow" w:cs="Arial Narrow" w:eastAsia="Arial Narrow" w:hint="default"/>
          <w:sz w:val="21"/>
          <w:szCs w:val="21"/>
        </w:rPr>
        <w:t>390</w:t>
      </w:r>
      <w:r>
        <w:rPr>
          <w:rFonts w:ascii="Arial Narrow" w:hAnsi="Arial Narrow" w:cs="Arial Narrow" w:eastAsia="Arial Narrow" w:hint="default"/>
          <w:spacing w:val="-8"/>
          <w:sz w:val="21"/>
          <w:szCs w:val="21"/>
        </w:rPr>
        <w:t> </w:t>
      </w:r>
      <w:r>
        <w:rPr>
          <w:rFonts w:ascii="宋体" w:hAnsi="宋体" w:cs="宋体" w:eastAsia="宋体" w:hint="default"/>
          <w:spacing w:val="-4"/>
          <w:sz w:val="21"/>
          <w:szCs w:val="21"/>
        </w:rPr>
        <w:t>万元，股权比例为</w:t>
      </w:r>
      <w:r>
        <w:rPr>
          <w:rFonts w:ascii="宋体" w:hAnsi="宋体" w:cs="宋体" w:eastAsia="宋体" w:hint="default"/>
          <w:spacing w:val="-25"/>
          <w:sz w:val="21"/>
          <w:szCs w:val="21"/>
        </w:rPr>
        <w:t> </w:t>
      </w:r>
      <w:r>
        <w:rPr>
          <w:rFonts w:ascii="Arial Narrow" w:hAnsi="Arial Narrow" w:cs="Arial Narrow" w:eastAsia="Arial Narrow" w:hint="default"/>
          <w:sz w:val="21"/>
          <w:szCs w:val="21"/>
        </w:rPr>
        <w:t>39%</w:t>
      </w:r>
      <w:r>
        <w:rPr>
          <w:rFonts w:ascii="宋体" w:hAnsi="宋体" w:cs="宋体" w:eastAsia="宋体" w:hint="default"/>
          <w:sz w:val="21"/>
          <w:szCs w:val="21"/>
        </w:rPr>
        <w:t>； 李国林出资人民币</w:t>
      </w:r>
      <w:r>
        <w:rPr>
          <w:rFonts w:ascii="宋体" w:hAnsi="宋体" w:cs="宋体" w:eastAsia="宋体" w:hint="default"/>
          <w:spacing w:val="-53"/>
          <w:sz w:val="21"/>
          <w:szCs w:val="21"/>
        </w:rPr>
        <w:t> </w:t>
      </w:r>
      <w:r>
        <w:rPr>
          <w:rFonts w:ascii="Arial Narrow" w:hAnsi="Arial Narrow" w:cs="Arial Narrow" w:eastAsia="Arial Narrow" w:hint="default"/>
          <w:w w:val="99"/>
          <w:sz w:val="21"/>
          <w:szCs w:val="21"/>
        </w:rPr>
        <w:t>200</w:t>
      </w:r>
      <w:r>
        <w:rPr>
          <w:rFonts w:ascii="Arial Narrow" w:hAnsi="Arial Narrow" w:cs="Arial Narrow" w:eastAsia="Arial Narrow" w:hint="default"/>
          <w:spacing w:val="3"/>
          <w:w w:val="99"/>
          <w:sz w:val="21"/>
          <w:szCs w:val="21"/>
        </w:rPr>
        <w:t> </w:t>
      </w:r>
      <w:r>
        <w:rPr>
          <w:rFonts w:ascii="宋体" w:hAnsi="宋体" w:cs="宋体" w:eastAsia="宋体" w:hint="default"/>
          <w:spacing w:val="-13"/>
          <w:sz w:val="21"/>
          <w:szCs w:val="21"/>
        </w:rPr>
        <w:t>万元，股权比例为</w:t>
      </w:r>
      <w:r>
        <w:rPr>
          <w:rFonts w:ascii="宋体" w:hAnsi="宋体" w:cs="宋体" w:eastAsia="宋体" w:hint="default"/>
          <w:spacing w:val="-53"/>
          <w:sz w:val="21"/>
          <w:szCs w:val="21"/>
        </w:rPr>
        <w:t> </w:t>
      </w:r>
      <w:r>
        <w:rPr>
          <w:rFonts w:ascii="Arial Narrow" w:hAnsi="Arial Narrow" w:cs="Arial Narrow" w:eastAsia="Arial Narrow" w:hint="default"/>
          <w:spacing w:val="-5"/>
          <w:sz w:val="21"/>
          <w:szCs w:val="21"/>
        </w:rPr>
        <w:t>20%</w:t>
      </w:r>
      <w:r>
        <w:rPr>
          <w:rFonts w:ascii="宋体" w:hAnsi="宋体" w:cs="宋体" w:eastAsia="宋体" w:hint="default"/>
          <w:spacing w:val="-5"/>
          <w:sz w:val="21"/>
          <w:szCs w:val="21"/>
        </w:rPr>
        <w:t>；广州通连投资咨询有限公司出资人民币</w:t>
      </w:r>
      <w:r>
        <w:rPr>
          <w:rFonts w:ascii="宋体" w:hAnsi="宋体" w:cs="宋体" w:eastAsia="宋体" w:hint="default"/>
          <w:spacing w:val="-53"/>
          <w:sz w:val="21"/>
          <w:szCs w:val="21"/>
        </w:rPr>
        <w:t> </w:t>
      </w:r>
      <w:r>
        <w:rPr>
          <w:rFonts w:ascii="Arial Narrow" w:hAnsi="Arial Narrow" w:cs="Arial Narrow" w:eastAsia="Arial Narrow" w:hint="default"/>
          <w:w w:val="99"/>
          <w:sz w:val="21"/>
          <w:szCs w:val="21"/>
        </w:rPr>
        <w:t>200</w:t>
      </w:r>
      <w:r>
        <w:rPr>
          <w:rFonts w:ascii="Arial Narrow" w:hAnsi="Arial Narrow" w:cs="Arial Narrow" w:eastAsia="Arial Narrow" w:hint="default"/>
          <w:spacing w:val="5"/>
          <w:w w:val="99"/>
          <w:sz w:val="21"/>
          <w:szCs w:val="21"/>
        </w:rPr>
        <w:t> </w:t>
      </w:r>
      <w:r>
        <w:rPr>
          <w:rFonts w:ascii="宋体" w:hAnsi="宋体" w:cs="宋体" w:eastAsia="宋体" w:hint="default"/>
          <w:spacing w:val="-1"/>
          <w:sz w:val="21"/>
          <w:szCs w:val="21"/>
        </w:rPr>
        <w:t>万元，</w:t>
      </w:r>
      <w:r>
        <w:rPr>
          <w:rFonts w:ascii="宋体" w:hAnsi="宋体" w:cs="宋体" w:eastAsia="宋体" w:hint="default"/>
          <w:sz w:val="21"/>
          <w:szCs w:val="21"/>
        </w:rPr>
        <w:t> 股权比例为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20%</w:t>
      </w:r>
      <w:r>
        <w:rPr>
          <w:rFonts w:ascii="宋体" w:hAnsi="宋体" w:cs="宋体" w:eastAsia="宋体" w:hint="default"/>
          <w:sz w:val="21"/>
          <w:szCs w:val="21"/>
        </w:rPr>
        <w:t>；刘祥南出资人民币</w:t>
      </w:r>
      <w:r>
        <w:rPr>
          <w:rFonts w:ascii="宋体" w:hAnsi="宋体" w:cs="宋体" w:eastAsia="宋体" w:hint="default"/>
          <w:spacing w:val="-51"/>
          <w:sz w:val="21"/>
          <w:szCs w:val="21"/>
        </w:rPr>
        <w:t> </w:t>
      </w:r>
      <w:r>
        <w:rPr>
          <w:rFonts w:ascii="Arial Narrow" w:hAnsi="Arial Narrow" w:cs="Arial Narrow" w:eastAsia="Arial Narrow" w:hint="default"/>
          <w:sz w:val="21"/>
          <w:szCs w:val="21"/>
        </w:rPr>
        <w:t>160</w:t>
      </w:r>
      <w:r>
        <w:rPr>
          <w:rFonts w:ascii="Arial Narrow" w:hAnsi="Arial Narrow" w:cs="Arial Narrow" w:eastAsia="Arial Narrow" w:hint="default"/>
          <w:spacing w:val="6"/>
          <w:sz w:val="21"/>
          <w:szCs w:val="21"/>
        </w:rPr>
        <w:t> </w:t>
      </w:r>
      <w:r>
        <w:rPr>
          <w:rFonts w:ascii="宋体" w:hAnsi="宋体" w:cs="宋体" w:eastAsia="宋体" w:hint="default"/>
          <w:sz w:val="21"/>
          <w:szCs w:val="21"/>
        </w:rPr>
        <w:t>万元，股权比例为</w:t>
      </w:r>
      <w:r>
        <w:rPr>
          <w:rFonts w:ascii="宋体" w:hAnsi="宋体" w:cs="宋体" w:eastAsia="宋体" w:hint="default"/>
          <w:spacing w:val="-51"/>
          <w:sz w:val="21"/>
          <w:szCs w:val="21"/>
        </w:rPr>
        <w:t> </w:t>
      </w:r>
      <w:r>
        <w:rPr>
          <w:rFonts w:ascii="Arial Narrow" w:hAnsi="Arial Narrow" w:cs="Arial Narrow" w:eastAsia="Arial Narrow" w:hint="default"/>
          <w:sz w:val="21"/>
          <w:szCs w:val="21"/>
        </w:rPr>
        <w:t>16%</w:t>
      </w:r>
      <w:r>
        <w:rPr>
          <w:rFonts w:ascii="宋体" w:hAnsi="宋体" w:cs="宋体" w:eastAsia="宋体" w:hint="default"/>
          <w:sz w:val="21"/>
          <w:szCs w:val="21"/>
        </w:rPr>
        <w:t>；其余</w:t>
      </w:r>
      <w:r>
        <w:rPr>
          <w:rFonts w:ascii="宋体" w:hAnsi="宋体" w:cs="宋体" w:eastAsia="宋体" w:hint="default"/>
          <w:spacing w:val="-51"/>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6"/>
          <w:sz w:val="21"/>
          <w:szCs w:val="21"/>
        </w:rPr>
        <w:t> </w:t>
      </w:r>
      <w:r>
        <w:rPr>
          <w:rFonts w:ascii="宋体" w:hAnsi="宋体" w:cs="宋体" w:eastAsia="宋体" w:hint="default"/>
          <w:sz w:val="21"/>
          <w:szCs w:val="21"/>
        </w:rPr>
        <w:t>位自然人合计出资人 民币</w:t>
      </w:r>
      <w:r>
        <w:rPr>
          <w:rFonts w:ascii="宋体" w:hAnsi="宋体" w:cs="宋体" w:eastAsia="宋体" w:hint="default"/>
          <w:spacing w:val="-54"/>
          <w:sz w:val="21"/>
          <w:szCs w:val="21"/>
        </w:rPr>
        <w:t> </w:t>
      </w:r>
      <w:r>
        <w:rPr>
          <w:rFonts w:ascii="Arial Narrow" w:hAnsi="Arial Narrow" w:cs="Arial Narrow" w:eastAsia="Arial Narrow" w:hint="default"/>
          <w:sz w:val="21"/>
          <w:szCs w:val="21"/>
        </w:rPr>
        <w:t>50</w:t>
      </w:r>
      <w:r>
        <w:rPr>
          <w:rFonts w:ascii="Arial Narrow" w:hAnsi="Arial Narrow" w:cs="Arial Narrow" w:eastAsia="Arial Narrow" w:hint="default"/>
          <w:spacing w:val="4"/>
          <w:sz w:val="21"/>
          <w:szCs w:val="21"/>
        </w:rPr>
        <w:t> </w:t>
      </w:r>
      <w:r>
        <w:rPr>
          <w:rFonts w:ascii="宋体" w:hAnsi="宋体" w:cs="宋体" w:eastAsia="宋体" w:hint="default"/>
          <w:sz w:val="21"/>
          <w:szCs w:val="21"/>
        </w:rPr>
        <w:t>万元，股权比例为</w:t>
      </w:r>
      <w:r>
        <w:rPr>
          <w:rFonts w:ascii="宋体" w:hAnsi="宋体" w:cs="宋体" w:eastAsia="宋体" w:hint="default"/>
          <w:spacing w:val="-54"/>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，本公司于</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4"/>
          <w:sz w:val="21"/>
          <w:szCs w:val="21"/>
        </w:rPr>
        <w:t> </w:t>
      </w:r>
      <w:r>
        <w:rPr>
          <w:rFonts w:ascii="宋体" w:hAnsi="宋体" w:cs="宋体" w:eastAsia="宋体" w:hint="default"/>
          <w:sz w:val="21"/>
          <w:szCs w:val="21"/>
        </w:rPr>
        <w:t>日办妥工商变更手续。</w:t>
      </w:r>
    </w:p>
    <w:p>
      <w:pPr>
        <w:spacing w:line="348" w:lineRule="auto" w:before="22"/>
        <w:ind w:left="118" w:right="217" w:firstLine="420"/>
        <w:jc w:val="both"/>
        <w:rPr>
          <w:rFonts w:ascii="宋体" w:hAnsi="宋体" w:cs="宋体" w:eastAsia="宋体" w:hint="default"/>
          <w:sz w:val="21"/>
          <w:szCs w:val="21"/>
        </w:rPr>
      </w:pPr>
      <w:r>
        <w:rPr>
          <w:rFonts w:ascii="宋体" w:hAnsi="宋体" w:cs="宋体" w:eastAsia="宋体" w:hint="default"/>
          <w:sz w:val="21"/>
          <w:szCs w:val="21"/>
        </w:rPr>
        <w:t>根据本公司</w:t>
      </w:r>
      <w:r>
        <w:rPr>
          <w:rFonts w:ascii="宋体" w:hAnsi="宋体" w:cs="宋体" w:eastAsia="宋体" w:hint="default"/>
          <w:spacing w:val="-38"/>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38"/>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Arial Narrow" w:hAnsi="Arial Narrow" w:cs="Arial Narrow" w:eastAsia="Arial Narrow" w:hint="default"/>
          <w:sz w:val="21"/>
          <w:szCs w:val="21"/>
        </w:rPr>
        <w:t>17</w:t>
      </w:r>
      <w:r>
        <w:rPr>
          <w:rFonts w:ascii="Arial Narrow" w:hAnsi="Arial Narrow" w:cs="Arial Narrow" w:eastAsia="Arial Narrow" w:hint="default"/>
          <w:spacing w:val="19"/>
          <w:sz w:val="21"/>
          <w:szCs w:val="21"/>
        </w:rPr>
        <w:t> </w:t>
      </w:r>
      <w:r>
        <w:rPr>
          <w:rFonts w:ascii="宋体" w:hAnsi="宋体" w:cs="宋体" w:eastAsia="宋体" w:hint="default"/>
          <w:sz w:val="21"/>
          <w:szCs w:val="21"/>
        </w:rPr>
        <w:t>日股东会决议，同意将公司整体变更为股份有限公司，公司更 名为现名。根据本公司发起人协议、创立大会决议及修改后公司章程的规定：以本公司原全体</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股东作为发起人，以</w:t>
      </w:r>
      <w:r>
        <w:rPr>
          <w:rFonts w:ascii="宋体" w:hAnsi="宋体" w:cs="宋体" w:eastAsia="宋体" w:hint="default"/>
          <w:spacing w:val="-50"/>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Arial Narrow" w:hAnsi="Arial Narrow" w:cs="Arial Narrow" w:eastAsia="Arial Narrow" w:hint="default"/>
          <w:sz w:val="21"/>
          <w:szCs w:val="21"/>
        </w:rPr>
        <w:t>8</w:t>
      </w:r>
      <w:r>
        <w:rPr>
          <w:rFonts w:ascii="Arial Narrow" w:hAnsi="Arial Narrow" w:cs="Arial Narrow" w:eastAsia="Arial Narrow"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6"/>
          <w:sz w:val="21"/>
          <w:szCs w:val="21"/>
        </w:rPr>
        <w:t> </w:t>
      </w:r>
      <w:r>
        <w:rPr>
          <w:rFonts w:ascii="宋体" w:hAnsi="宋体" w:cs="宋体" w:eastAsia="宋体" w:hint="default"/>
          <w:sz w:val="21"/>
          <w:szCs w:val="21"/>
        </w:rPr>
        <w:t>日为改制变更基准日，全体股东同意以本公司截止</w:t>
      </w:r>
      <w:r>
        <w:rPr>
          <w:rFonts w:ascii="宋体" w:hAnsi="宋体" w:cs="宋体" w:eastAsia="宋体" w:hint="default"/>
          <w:spacing w:val="-50"/>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p>
      <w:pPr>
        <w:spacing w:before="13"/>
        <w:ind w:left="118" w:right="0" w:firstLine="0"/>
        <w:jc w:val="both"/>
        <w:rPr>
          <w:rFonts w:ascii="宋体" w:hAnsi="宋体" w:cs="宋体" w:eastAsia="宋体" w:hint="default"/>
          <w:sz w:val="21"/>
          <w:szCs w:val="21"/>
        </w:rPr>
      </w:pPr>
      <w:r>
        <w:rPr>
          <w:rFonts w:ascii="Arial Narrow" w:hAnsi="Arial Narrow" w:cs="Arial Narrow" w:eastAsia="Arial Narrow" w:hint="default"/>
          <w:sz w:val="21"/>
          <w:szCs w:val="21"/>
        </w:rPr>
        <w:t>8</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4"/>
          <w:sz w:val="21"/>
          <w:szCs w:val="21"/>
        </w:rPr>
        <w:t> </w:t>
      </w:r>
      <w:r>
        <w:rPr>
          <w:rFonts w:ascii="宋体" w:hAnsi="宋体" w:cs="宋体" w:eastAsia="宋体" w:hint="default"/>
          <w:sz w:val="21"/>
          <w:szCs w:val="21"/>
        </w:rPr>
        <w:t>日经审计的净资产中的</w:t>
      </w:r>
      <w:r>
        <w:rPr>
          <w:rFonts w:ascii="宋体" w:hAnsi="宋体" w:cs="宋体" w:eastAsia="宋体" w:hint="default"/>
          <w:spacing w:val="-54"/>
          <w:sz w:val="21"/>
          <w:szCs w:val="21"/>
        </w:rPr>
        <w:t> </w:t>
      </w:r>
      <w:r>
        <w:rPr>
          <w:rFonts w:ascii="Arial Narrow" w:hAnsi="Arial Narrow" w:cs="Arial Narrow" w:eastAsia="Arial Narrow" w:hint="default"/>
          <w:sz w:val="21"/>
          <w:szCs w:val="21"/>
        </w:rPr>
        <w:t>40,000,000.00</w:t>
      </w:r>
      <w:r>
        <w:rPr>
          <w:rFonts w:ascii="Arial Narrow" w:hAnsi="Arial Narrow" w:cs="Arial Narrow" w:eastAsia="Arial Narrow" w:hint="default"/>
          <w:spacing w:val="4"/>
          <w:sz w:val="21"/>
          <w:szCs w:val="21"/>
        </w:rPr>
        <w:t> </w:t>
      </w:r>
      <w:r>
        <w:rPr>
          <w:rFonts w:ascii="宋体" w:hAnsi="宋体" w:cs="宋体" w:eastAsia="宋体" w:hint="default"/>
          <w:sz w:val="21"/>
          <w:szCs w:val="21"/>
        </w:rPr>
        <w:t>元折为股份公司的总股本</w:t>
      </w:r>
      <w:r>
        <w:rPr>
          <w:rFonts w:ascii="宋体" w:hAnsi="宋体" w:cs="宋体" w:eastAsia="宋体" w:hint="default"/>
          <w:spacing w:val="-54"/>
          <w:sz w:val="21"/>
          <w:szCs w:val="21"/>
        </w:rPr>
        <w:t> </w:t>
      </w:r>
      <w:r>
        <w:rPr>
          <w:rFonts w:ascii="Arial Narrow" w:hAnsi="Arial Narrow" w:cs="Arial Narrow" w:eastAsia="Arial Narrow" w:hint="default"/>
          <w:sz w:val="21"/>
          <w:szCs w:val="21"/>
        </w:rPr>
        <w:t>4,000</w:t>
      </w:r>
      <w:r>
        <w:rPr>
          <w:rFonts w:ascii="Arial Narrow" w:hAnsi="Arial Narrow" w:cs="Arial Narrow" w:eastAsia="Arial Narrow" w:hint="default"/>
          <w:spacing w:val="4"/>
          <w:sz w:val="21"/>
          <w:szCs w:val="21"/>
        </w:rPr>
        <w:t> </w:t>
      </w:r>
      <w:r>
        <w:rPr>
          <w:rFonts w:ascii="宋体" w:hAnsi="宋体" w:cs="宋体" w:eastAsia="宋体" w:hint="default"/>
          <w:spacing w:val="-7"/>
          <w:sz w:val="21"/>
          <w:szCs w:val="21"/>
        </w:rPr>
        <w:t>万股，每股面值为人</w:t>
      </w:r>
    </w:p>
    <w:p>
      <w:pPr>
        <w:spacing w:before="118"/>
        <w:ind w:left="118" w:right="0" w:firstLine="0"/>
        <w:jc w:val="both"/>
        <w:rPr>
          <w:rFonts w:ascii="宋体" w:hAnsi="宋体" w:cs="宋体" w:eastAsia="宋体" w:hint="default"/>
          <w:sz w:val="21"/>
          <w:szCs w:val="21"/>
        </w:rPr>
      </w:pPr>
      <w:r>
        <w:rPr>
          <w:rFonts w:ascii="宋体" w:hAnsi="宋体" w:cs="宋体" w:eastAsia="宋体" w:hint="default"/>
          <w:sz w:val="21"/>
          <w:szCs w:val="21"/>
        </w:rPr>
        <w:t>民币 </w:t>
      </w:r>
      <w:r>
        <w:rPr>
          <w:rFonts w:ascii="Arial Narrow" w:hAnsi="Arial Narrow" w:cs="Arial Narrow" w:eastAsia="Arial Narrow" w:hint="default"/>
          <w:sz w:val="21"/>
          <w:szCs w:val="21"/>
        </w:rPr>
        <w:t>1</w:t>
      </w:r>
      <w:r>
        <w:rPr>
          <w:rFonts w:ascii="Arial Narrow" w:hAnsi="Arial Narrow" w:cs="Arial Narrow" w:eastAsia="Arial Narrow" w:hint="default"/>
          <w:spacing w:val="-10"/>
          <w:sz w:val="21"/>
          <w:szCs w:val="21"/>
        </w:rPr>
        <w:t> </w:t>
      </w:r>
      <w:r>
        <w:rPr>
          <w:rFonts w:ascii="宋体" w:hAnsi="宋体" w:cs="宋体" w:eastAsia="宋体" w:hint="default"/>
          <w:sz w:val="21"/>
          <w:szCs w:val="21"/>
        </w:rPr>
        <w:t>元，各发起人按变更前所持有的股权比例认购本公司的股份，变更前后各股东出资比例</w:t>
      </w:r>
    </w:p>
    <w:p>
      <w:pPr>
        <w:spacing w:before="120"/>
        <w:ind w:left="118" w:right="0" w:firstLine="0"/>
        <w:jc w:val="both"/>
        <w:rPr>
          <w:rFonts w:ascii="宋体" w:hAnsi="宋体" w:cs="宋体" w:eastAsia="宋体" w:hint="default"/>
          <w:sz w:val="21"/>
          <w:szCs w:val="21"/>
        </w:rPr>
      </w:pPr>
      <w:r>
        <w:rPr>
          <w:rFonts w:ascii="宋体" w:hAnsi="宋体" w:cs="宋体" w:eastAsia="宋体" w:hint="default"/>
          <w:sz w:val="21"/>
          <w:szCs w:val="21"/>
        </w:rPr>
        <w:t>不变，超出股本部分作为公司资本公积。本公司于</w:t>
      </w:r>
      <w:r>
        <w:rPr>
          <w:rFonts w:ascii="宋体" w:hAnsi="宋体" w:cs="宋体" w:eastAsia="宋体" w:hint="default"/>
          <w:spacing w:val="-38"/>
          <w:sz w:val="21"/>
          <w:szCs w:val="21"/>
        </w:rPr>
        <w:t> </w:t>
      </w:r>
      <w:r>
        <w:rPr>
          <w:rFonts w:ascii="Arial Narrow" w:hAnsi="Arial Narrow" w:cs="Arial Narrow" w:eastAsia="Arial Narrow" w:hint="default"/>
          <w:sz w:val="21"/>
          <w:szCs w:val="21"/>
        </w:rPr>
        <w:t>2009</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39"/>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38"/>
          <w:sz w:val="21"/>
          <w:szCs w:val="21"/>
        </w:rPr>
        <w:t> </w:t>
      </w:r>
      <w:r>
        <w:rPr>
          <w:rFonts w:ascii="Arial Narrow" w:hAnsi="Arial Narrow" w:cs="Arial Narrow" w:eastAsia="Arial Narrow" w:hint="default"/>
          <w:sz w:val="21"/>
          <w:szCs w:val="21"/>
        </w:rPr>
        <w:t>22</w:t>
      </w:r>
      <w:r>
        <w:rPr>
          <w:rFonts w:ascii="Arial Narrow" w:hAnsi="Arial Narrow" w:cs="Arial Narrow" w:eastAsia="Arial Narrow" w:hint="default"/>
          <w:spacing w:val="19"/>
          <w:sz w:val="21"/>
          <w:szCs w:val="21"/>
        </w:rPr>
        <w:t> </w:t>
      </w:r>
      <w:r>
        <w:rPr>
          <w:rFonts w:ascii="宋体" w:hAnsi="宋体" w:cs="宋体" w:eastAsia="宋体" w:hint="default"/>
          <w:sz w:val="21"/>
          <w:szCs w:val="21"/>
        </w:rPr>
        <w:t>日取得厦门市工商行政管理</w:t>
      </w:r>
    </w:p>
    <w:p>
      <w:pPr>
        <w:spacing w:line="338" w:lineRule="auto" w:before="118"/>
        <w:ind w:left="538" w:right="206" w:hanging="420"/>
        <w:jc w:val="left"/>
        <w:rPr>
          <w:rFonts w:ascii="宋体" w:hAnsi="宋体" w:cs="宋体" w:eastAsia="宋体" w:hint="default"/>
          <w:sz w:val="21"/>
          <w:szCs w:val="21"/>
        </w:rPr>
      </w:pPr>
      <w:r>
        <w:rPr>
          <w:rFonts w:ascii="宋体" w:hAnsi="宋体" w:cs="宋体" w:eastAsia="宋体" w:hint="default"/>
          <w:sz w:val="21"/>
          <w:szCs w:val="21"/>
        </w:rPr>
        <w:t>局颁发的变更后营业执照，注册资本为</w:t>
      </w:r>
      <w:r>
        <w:rPr>
          <w:rFonts w:ascii="宋体" w:hAnsi="宋体" w:cs="宋体" w:eastAsia="宋体" w:hint="default"/>
          <w:spacing w:val="-53"/>
          <w:sz w:val="21"/>
          <w:szCs w:val="21"/>
        </w:rPr>
        <w:t> </w:t>
      </w:r>
      <w:r>
        <w:rPr>
          <w:rFonts w:ascii="Arial Narrow" w:hAnsi="Arial Narrow" w:cs="Arial Narrow" w:eastAsia="Arial Narrow" w:hint="default"/>
          <w:sz w:val="21"/>
          <w:szCs w:val="21"/>
        </w:rPr>
        <w:t>4,000</w:t>
      </w:r>
      <w:r>
        <w:rPr>
          <w:rFonts w:ascii="Arial Narrow" w:hAnsi="Arial Narrow" w:cs="Arial Narrow" w:eastAsia="Arial Narrow" w:hint="default"/>
          <w:spacing w:val="4"/>
          <w:sz w:val="21"/>
          <w:szCs w:val="21"/>
        </w:rPr>
        <w:t> </w:t>
      </w:r>
      <w:r>
        <w:rPr>
          <w:rFonts w:ascii="宋体" w:hAnsi="宋体" w:cs="宋体" w:eastAsia="宋体" w:hint="default"/>
          <w:sz w:val="21"/>
          <w:szCs w:val="21"/>
        </w:rPr>
        <w:t>万元。 根据本公司股东大会决议，并经中国证券监督管理委员会“证监许可</w:t>
      </w:r>
      <w:r>
        <w:rPr>
          <w:rFonts w:ascii="Arial Narrow" w:hAnsi="Arial Narrow" w:cs="Arial Narrow" w:eastAsia="Arial Narrow" w:hint="default"/>
          <w:sz w:val="21"/>
          <w:szCs w:val="21"/>
        </w:rPr>
        <w:t>[2011]263 </w:t>
      </w:r>
      <w:r>
        <w:rPr>
          <w:rFonts w:ascii="Arial Narrow" w:hAnsi="Arial Narrow" w:cs="Arial Narrow" w:eastAsia="Arial Narrow" w:hint="default"/>
          <w:spacing w:val="4"/>
          <w:sz w:val="21"/>
          <w:szCs w:val="21"/>
        </w:rPr>
        <w:t> </w:t>
      </w:r>
      <w:r>
        <w:rPr>
          <w:rFonts w:ascii="宋体" w:hAnsi="宋体" w:cs="宋体" w:eastAsia="宋体" w:hint="default"/>
          <w:sz w:val="21"/>
          <w:szCs w:val="21"/>
        </w:rPr>
        <w:t>号”文《关</w:t>
      </w:r>
    </w:p>
    <w:p>
      <w:pPr>
        <w:spacing w:line="345" w:lineRule="auto" w:before="21"/>
        <w:ind w:left="118" w:right="217" w:firstLine="0"/>
        <w:jc w:val="both"/>
        <w:rPr>
          <w:rFonts w:ascii="宋体" w:hAnsi="宋体" w:cs="宋体" w:eastAsia="宋体" w:hint="default"/>
          <w:sz w:val="21"/>
          <w:szCs w:val="21"/>
        </w:rPr>
      </w:pPr>
      <w:r>
        <w:rPr>
          <w:rFonts w:ascii="宋体" w:hAnsi="宋体" w:cs="宋体" w:eastAsia="宋体" w:hint="default"/>
          <w:sz w:val="21"/>
          <w:szCs w:val="21"/>
        </w:rPr>
        <w:t>于核准厦门市美亚柏科信息股份有限公司首次公开发行股票并在创业板上市的批复》核准，本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公司申请首次向社会公开发行人民币普通股（</w:t>
      </w:r>
      <w:r>
        <w:rPr>
          <w:rFonts w:ascii="Arial Narrow" w:hAnsi="Arial Narrow" w:cs="Arial Narrow" w:eastAsia="Arial Narrow" w:hint="default"/>
          <w:sz w:val="21"/>
          <w:szCs w:val="21"/>
        </w:rPr>
        <w:t>A </w:t>
      </w:r>
      <w:r>
        <w:rPr>
          <w:rFonts w:ascii="宋体" w:hAnsi="宋体" w:cs="宋体" w:eastAsia="宋体" w:hint="default"/>
          <w:sz w:val="21"/>
          <w:szCs w:val="21"/>
        </w:rPr>
        <w:t>股）</w:t>
      </w:r>
      <w:r>
        <w:rPr>
          <w:rFonts w:ascii="Arial Narrow" w:hAnsi="Arial Narrow" w:cs="Arial Narrow" w:eastAsia="Arial Narrow" w:hint="default"/>
          <w:sz w:val="21"/>
          <w:szCs w:val="21"/>
        </w:rPr>
        <w:t>1,350 </w:t>
      </w:r>
      <w:r>
        <w:rPr>
          <w:rFonts w:ascii="宋体" w:hAnsi="宋体" w:cs="宋体" w:eastAsia="宋体" w:hint="default"/>
          <w:sz w:val="21"/>
          <w:szCs w:val="21"/>
        </w:rPr>
        <w:t>万股，每股面值 </w:t>
      </w:r>
      <w:r>
        <w:rPr>
          <w:rFonts w:ascii="Arial Narrow" w:hAnsi="Arial Narrow" w:cs="Arial Narrow" w:eastAsia="Arial Narrow" w:hint="default"/>
          <w:sz w:val="21"/>
          <w:szCs w:val="21"/>
        </w:rPr>
        <w:t>1</w:t>
      </w:r>
      <w:r>
        <w:rPr>
          <w:rFonts w:ascii="Arial Narrow" w:hAnsi="Arial Narrow" w:cs="Arial Narrow" w:eastAsia="Arial Narrow" w:hint="default"/>
          <w:spacing w:val="-26"/>
          <w:sz w:val="21"/>
          <w:szCs w:val="21"/>
        </w:rPr>
        <w:t> </w:t>
      </w:r>
      <w:r>
        <w:rPr>
          <w:rFonts w:ascii="宋体" w:hAnsi="宋体" w:cs="宋体" w:eastAsia="宋体" w:hint="default"/>
          <w:sz w:val="21"/>
          <w:szCs w:val="21"/>
        </w:rPr>
        <w:t>元，实际发行价格 </w:t>
      </w:r>
      <w:r>
        <w:rPr>
          <w:rFonts w:ascii="Arial Narrow" w:hAnsi="Arial Narrow" w:cs="Arial Narrow" w:eastAsia="Arial Narrow" w:hint="default"/>
          <w:sz w:val="21"/>
          <w:szCs w:val="21"/>
        </w:rPr>
        <w:t>40</w:t>
      </w:r>
      <w:r>
        <w:rPr>
          <w:rFonts w:ascii="Arial Narrow" w:hAnsi="Arial Narrow" w:cs="Arial Narrow" w:eastAsia="Arial Narrow" w:hint="default"/>
          <w:spacing w:val="1"/>
          <w:sz w:val="21"/>
          <w:szCs w:val="21"/>
        </w:rPr>
        <w:t> </w:t>
      </w:r>
      <w:r>
        <w:rPr>
          <w:rFonts w:ascii="宋体" w:hAnsi="宋体" w:cs="宋体" w:eastAsia="宋体" w:hint="default"/>
          <w:sz w:val="21"/>
          <w:szCs w:val="21"/>
        </w:rPr>
        <w:t>元</w:t>
      </w:r>
      <w:r>
        <w:rPr>
          <w:rFonts w:ascii="Arial Narrow" w:hAnsi="Arial Narrow" w:cs="Arial Narrow" w:eastAsia="Arial Narrow" w:hint="default"/>
          <w:sz w:val="21"/>
          <w:szCs w:val="21"/>
        </w:rPr>
        <w:t>/</w:t>
      </w:r>
      <w:r>
        <w:rPr>
          <w:rFonts w:ascii="宋体" w:hAnsi="宋体" w:cs="宋体" w:eastAsia="宋体" w:hint="default"/>
          <w:sz w:val="21"/>
          <w:szCs w:val="21"/>
        </w:rPr>
        <w:t>股，发行后本公司注册资本（股本）变更为</w:t>
      </w:r>
      <w:r>
        <w:rPr>
          <w:rFonts w:ascii="宋体" w:hAnsi="宋体" w:cs="宋体" w:eastAsia="宋体" w:hint="default"/>
          <w:spacing w:val="-56"/>
          <w:sz w:val="21"/>
          <w:szCs w:val="21"/>
        </w:rPr>
        <w:t> </w:t>
      </w:r>
      <w:r>
        <w:rPr>
          <w:rFonts w:ascii="Arial Narrow" w:hAnsi="Arial Narrow" w:cs="Arial Narrow" w:eastAsia="Arial Narrow" w:hint="default"/>
          <w:sz w:val="21"/>
          <w:szCs w:val="21"/>
        </w:rPr>
        <w:t>5,350</w:t>
      </w:r>
      <w:r>
        <w:rPr>
          <w:rFonts w:ascii="Arial Narrow" w:hAnsi="Arial Narrow" w:cs="Arial Narrow" w:eastAsia="Arial Narrow" w:hint="default"/>
          <w:spacing w:val="1"/>
          <w:sz w:val="21"/>
          <w:szCs w:val="21"/>
        </w:rPr>
        <w:t> </w:t>
      </w:r>
      <w:r>
        <w:rPr>
          <w:rFonts w:ascii="宋体" w:hAnsi="宋体" w:cs="宋体" w:eastAsia="宋体" w:hint="default"/>
          <w:spacing w:val="-3"/>
          <w:sz w:val="21"/>
          <w:szCs w:val="21"/>
        </w:rPr>
        <w:t>万元。本公司</w:t>
      </w:r>
      <w:r>
        <w:rPr>
          <w:rFonts w:ascii="宋体" w:hAnsi="宋体" w:cs="宋体" w:eastAsia="宋体" w:hint="default"/>
          <w:spacing w:val="-56"/>
          <w:sz w:val="21"/>
          <w:szCs w:val="21"/>
        </w:rPr>
        <w:t> </w:t>
      </w:r>
      <w:r>
        <w:rPr>
          <w:rFonts w:ascii="Arial Narrow" w:hAnsi="Arial Narrow" w:cs="Arial Narrow" w:eastAsia="Arial Narrow" w:hint="default"/>
          <w:sz w:val="21"/>
          <w:szCs w:val="21"/>
        </w:rPr>
        <w:t>A </w:t>
      </w:r>
      <w:r>
        <w:rPr>
          <w:rFonts w:ascii="宋体" w:hAnsi="宋体" w:cs="宋体" w:eastAsia="宋体" w:hint="default"/>
          <w:sz w:val="21"/>
          <w:szCs w:val="21"/>
        </w:rPr>
        <w:t>股股票自</w:t>
      </w:r>
      <w:r>
        <w:rPr>
          <w:rFonts w:ascii="宋体" w:hAnsi="宋体" w:cs="宋体" w:eastAsia="宋体" w:hint="default"/>
          <w:spacing w:val="-56"/>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16</w:t>
      </w:r>
      <w:r>
        <w:rPr>
          <w:rFonts w:ascii="Arial Narrow" w:hAnsi="Arial Narrow" w:cs="Arial Narrow" w:eastAsia="Arial Narrow" w:hint="default"/>
          <w:w w:val="99"/>
          <w:sz w:val="21"/>
          <w:szCs w:val="21"/>
        </w:rPr>
        <w:t> </w:t>
      </w:r>
      <w:r>
        <w:rPr>
          <w:rFonts w:ascii="宋体" w:hAnsi="宋体" w:cs="宋体" w:eastAsia="宋体" w:hint="default"/>
          <w:sz w:val="21"/>
          <w:szCs w:val="21"/>
        </w:rPr>
        <w:t>日起在深圳证券交易所创业板上市交易，证券简称为</w:t>
      </w:r>
      <w:r>
        <w:rPr>
          <w:rFonts w:ascii="Arial Narrow" w:hAnsi="Arial Narrow" w:cs="Arial Narrow" w:eastAsia="Arial Narrow" w:hint="default"/>
          <w:sz w:val="21"/>
          <w:szCs w:val="21"/>
        </w:rPr>
        <w:t>“</w:t>
      </w:r>
      <w:r>
        <w:rPr>
          <w:rFonts w:ascii="宋体" w:hAnsi="宋体" w:cs="宋体" w:eastAsia="宋体" w:hint="default"/>
          <w:sz w:val="21"/>
          <w:szCs w:val="21"/>
        </w:rPr>
        <w:t>美亚柏科</w:t>
      </w:r>
      <w:r>
        <w:rPr>
          <w:rFonts w:ascii="Arial Narrow" w:hAnsi="Arial Narrow" w:cs="Arial Narrow" w:eastAsia="Arial Narrow" w:hint="default"/>
          <w:sz w:val="21"/>
          <w:szCs w:val="21"/>
        </w:rPr>
        <w:t>”</w:t>
      </w:r>
      <w:r>
        <w:rPr>
          <w:rFonts w:ascii="宋体" w:hAnsi="宋体" w:cs="宋体" w:eastAsia="宋体" w:hint="default"/>
          <w:sz w:val="21"/>
          <w:szCs w:val="21"/>
        </w:rPr>
        <w:t>，证券代码为</w:t>
      </w:r>
      <w:r>
        <w:rPr>
          <w:rFonts w:ascii="Arial Narrow" w:hAnsi="Arial Narrow" w:cs="Arial Narrow" w:eastAsia="Arial Narrow" w:hint="default"/>
          <w:sz w:val="21"/>
          <w:szCs w:val="21"/>
        </w:rPr>
        <w:t>“300188”</w:t>
      </w:r>
      <w:r>
        <w:rPr>
          <w:rFonts w:ascii="宋体" w:hAnsi="宋体" w:cs="宋体" w:eastAsia="宋体" w:hint="default"/>
          <w:sz w:val="21"/>
          <w:szCs w:val="21"/>
        </w:rPr>
        <w:t>。</w:t>
      </w:r>
    </w:p>
    <w:p>
      <w:pPr>
        <w:spacing w:line="338" w:lineRule="auto" w:before="15"/>
        <w:ind w:left="118" w:right="209" w:firstLine="420"/>
        <w:jc w:val="left"/>
        <w:rPr>
          <w:rFonts w:ascii="宋体" w:hAnsi="宋体" w:cs="宋体" w:eastAsia="宋体" w:hint="default"/>
          <w:sz w:val="21"/>
          <w:szCs w:val="21"/>
        </w:rPr>
      </w:pPr>
      <w:r>
        <w:rPr>
          <w:rFonts w:ascii="宋体" w:hAnsi="宋体" w:cs="宋体" w:eastAsia="宋体" w:hint="default"/>
          <w:sz w:val="21"/>
          <w:szCs w:val="21"/>
        </w:rPr>
        <w:t>（二）本公司注册地址：厦门市软件园二期观日路</w:t>
      </w:r>
      <w:r>
        <w:rPr>
          <w:rFonts w:ascii="宋体" w:hAnsi="宋体" w:cs="宋体" w:eastAsia="宋体" w:hint="default"/>
          <w:spacing w:val="-4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4"/>
          <w:sz w:val="21"/>
          <w:szCs w:val="21"/>
        </w:rPr>
        <w:t> </w:t>
      </w:r>
      <w:r>
        <w:rPr>
          <w:rFonts w:ascii="宋体" w:hAnsi="宋体" w:cs="宋体" w:eastAsia="宋体" w:hint="default"/>
          <w:sz w:val="21"/>
          <w:szCs w:val="21"/>
        </w:rPr>
        <w:t>号</w:t>
      </w:r>
      <w:r>
        <w:rPr>
          <w:rFonts w:ascii="宋体" w:hAnsi="宋体" w:cs="宋体" w:eastAsia="宋体" w:hint="default"/>
          <w:spacing w:val="-43"/>
          <w:sz w:val="21"/>
          <w:szCs w:val="21"/>
        </w:rPr>
        <w:t> </w:t>
      </w:r>
      <w:r>
        <w:rPr>
          <w:rFonts w:ascii="Arial Narrow" w:hAnsi="Arial Narrow" w:cs="Arial Narrow" w:eastAsia="Arial Narrow" w:hint="default"/>
          <w:sz w:val="21"/>
          <w:szCs w:val="21"/>
        </w:rPr>
        <w:t>102-402</w:t>
      </w:r>
      <w:r>
        <w:rPr>
          <w:rFonts w:ascii="Arial Narrow" w:hAnsi="Arial Narrow" w:cs="Arial Narrow" w:eastAsia="Arial Narrow" w:hint="default"/>
          <w:spacing w:val="15"/>
          <w:sz w:val="21"/>
          <w:szCs w:val="21"/>
        </w:rPr>
        <w:t> </w:t>
      </w:r>
      <w:r>
        <w:rPr>
          <w:rFonts w:ascii="宋体" w:hAnsi="宋体" w:cs="宋体" w:eastAsia="宋体" w:hint="default"/>
          <w:sz w:val="21"/>
          <w:szCs w:val="21"/>
        </w:rPr>
        <w:t>单元，法定代表人：刘祥 南。</w:t>
      </w:r>
    </w:p>
    <w:p>
      <w:pPr>
        <w:spacing w:line="355" w:lineRule="auto" w:before="48"/>
        <w:ind w:left="538" w:right="114" w:firstLine="0"/>
        <w:jc w:val="left"/>
        <w:rPr>
          <w:rFonts w:ascii="宋体" w:hAnsi="宋体" w:cs="宋体" w:eastAsia="宋体" w:hint="default"/>
          <w:sz w:val="21"/>
          <w:szCs w:val="21"/>
        </w:rPr>
      </w:pPr>
      <w:r>
        <w:rPr>
          <w:rFonts w:ascii="宋体" w:hAnsi="宋体" w:cs="宋体" w:eastAsia="宋体" w:hint="default"/>
          <w:sz w:val="21"/>
          <w:szCs w:val="21"/>
        </w:rPr>
        <w:t>（三）行业性质及经营范围 本公司属电子信息行业，经营范围主要包括：国内版电子出版物批发零售；非限定发行范</w:t>
      </w:r>
    </w:p>
    <w:p>
      <w:pPr>
        <w:spacing w:line="357" w:lineRule="auto" w:before="32"/>
        <w:ind w:left="118" w:right="221" w:firstLine="0"/>
        <w:jc w:val="both"/>
        <w:rPr>
          <w:rFonts w:ascii="宋体" w:hAnsi="宋体" w:cs="宋体" w:eastAsia="宋体" w:hint="default"/>
          <w:sz w:val="21"/>
          <w:szCs w:val="21"/>
        </w:rPr>
      </w:pPr>
      <w:r>
        <w:rPr>
          <w:rFonts w:ascii="宋体" w:hAnsi="宋体" w:cs="宋体" w:eastAsia="宋体" w:hint="default"/>
          <w:sz w:val="21"/>
          <w:szCs w:val="21"/>
        </w:rPr>
        <w:t>围进口电子出版物零售；系统集成、计算机软件开发；信息咨询服务；批发零售电子计算机、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网络设备、通信设备；代制作网页、服务器内存空间出租、网站建设；互联网上网服务。经营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各类商品和产品的进出口等。</w:t>
      </w:r>
    </w:p>
    <w:p>
      <w:pPr>
        <w:spacing w:after="0" w:line="357" w:lineRule="auto"/>
        <w:jc w:val="both"/>
        <w:rPr>
          <w:rFonts w:ascii="宋体" w:hAnsi="宋体" w:cs="宋体" w:eastAsia="宋体" w:hint="default"/>
          <w:sz w:val="21"/>
          <w:szCs w:val="21"/>
        </w:rPr>
        <w:sectPr>
          <w:pgSz w:w="12240" w:h="15840"/>
          <w:pgMar w:header="0" w:footer="708" w:top="1400" w:bottom="900" w:left="1680" w:right="1580"/>
        </w:sectPr>
      </w:pPr>
    </w:p>
    <w:p>
      <w:pPr>
        <w:spacing w:line="355" w:lineRule="auto" w:before="6"/>
        <w:ind w:left="540" w:right="4010" w:firstLine="0"/>
        <w:jc w:val="left"/>
        <w:rPr>
          <w:rFonts w:ascii="宋体" w:hAnsi="宋体" w:cs="宋体" w:eastAsia="宋体" w:hint="default"/>
          <w:sz w:val="21"/>
          <w:szCs w:val="21"/>
        </w:rPr>
      </w:pPr>
      <w:r>
        <w:rPr>
          <w:rFonts w:ascii="宋体" w:hAnsi="宋体" w:cs="宋体" w:eastAsia="宋体" w:hint="default"/>
          <w:sz w:val="21"/>
          <w:szCs w:val="21"/>
        </w:rPr>
        <w:t>（四）本公司实际控制人 本公司的实际控制人为郭永芳、滕达、刘祥南。</w:t>
      </w:r>
    </w:p>
    <w:p>
      <w:pPr>
        <w:spacing w:line="240" w:lineRule="auto" w:before="7"/>
        <w:rPr>
          <w:rFonts w:ascii="宋体" w:hAnsi="宋体" w:cs="宋体" w:eastAsia="宋体" w:hint="default"/>
          <w:sz w:val="20"/>
          <w:szCs w:val="20"/>
        </w:rPr>
      </w:pPr>
    </w:p>
    <w:p>
      <w:pPr>
        <w:pStyle w:val="BodyText"/>
        <w:spacing w:line="240" w:lineRule="auto"/>
        <w:ind w:left="830" w:right="114"/>
        <w:jc w:val="left"/>
        <w:rPr>
          <w:rFonts w:ascii="黑体" w:hAnsi="黑体" w:cs="黑体" w:eastAsia="黑体" w:hint="default"/>
        </w:rPr>
      </w:pPr>
      <w:r>
        <w:rPr>
          <w:rFonts w:ascii="黑体" w:hAnsi="黑体" w:cs="黑体" w:eastAsia="黑体" w:hint="default"/>
        </w:rPr>
        <w:t>二、公司主要会计政策、会计估计和前期差错</w:t>
      </w:r>
    </w:p>
    <w:p>
      <w:pPr>
        <w:spacing w:line="240" w:lineRule="auto" w:before="3"/>
        <w:rPr>
          <w:rFonts w:ascii="黑体" w:hAnsi="黑体" w:cs="黑体" w:eastAsia="黑体" w:hint="default"/>
          <w:sz w:val="21"/>
          <w:szCs w:val="21"/>
        </w:rPr>
      </w:pPr>
    </w:p>
    <w:p>
      <w:pPr>
        <w:spacing w:line="408" w:lineRule="auto" w:before="0"/>
        <w:ind w:left="540" w:right="100" w:firstLine="0"/>
        <w:jc w:val="left"/>
        <w:rPr>
          <w:rFonts w:ascii="宋体" w:hAnsi="宋体" w:cs="宋体" w:eastAsia="宋体" w:hint="default"/>
          <w:sz w:val="21"/>
          <w:szCs w:val="21"/>
        </w:rPr>
      </w:pPr>
      <w:r>
        <w:rPr>
          <w:rFonts w:ascii="宋体" w:hAnsi="宋体" w:cs="宋体" w:eastAsia="宋体" w:hint="default"/>
          <w:b/>
          <w:bCs/>
          <w:sz w:val="21"/>
          <w:szCs w:val="21"/>
        </w:rPr>
        <w:t>（一）财务报表的编制基础</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本公司以持续经营为基础，根据实际发生的交易和事项，按照《企业会计准则—基本准则》</w:t>
      </w:r>
    </w:p>
    <w:p>
      <w:pPr>
        <w:spacing w:line="357" w:lineRule="auto" w:before="0"/>
        <w:ind w:left="120" w:right="220" w:firstLine="0"/>
        <w:jc w:val="both"/>
        <w:rPr>
          <w:rFonts w:ascii="宋体" w:hAnsi="宋体" w:cs="宋体" w:eastAsia="宋体" w:hint="default"/>
          <w:sz w:val="21"/>
          <w:szCs w:val="21"/>
        </w:rPr>
      </w:pPr>
      <w:r>
        <w:rPr>
          <w:rFonts w:ascii="宋体" w:hAnsi="宋体" w:cs="宋体" w:eastAsia="宋体" w:hint="default"/>
          <w:sz w:val="21"/>
          <w:szCs w:val="21"/>
        </w:rPr>
        <w:t>和其他各项具体会计准则、应用指南及准则解释的规定进行确认和计量，在此基础上编制财务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报表。编制符合企业会计准则要求的财务报表需要使用估计和假设，这些估计和假设会影响到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财务报告日的资产、负债和或有负债的披露，以及报告期间的收入和费用。</w:t>
      </w:r>
    </w:p>
    <w:p>
      <w:pPr>
        <w:spacing w:line="410" w:lineRule="auto" w:before="90"/>
        <w:ind w:left="540" w:right="203" w:firstLine="0"/>
        <w:jc w:val="left"/>
        <w:rPr>
          <w:rFonts w:ascii="宋体" w:hAnsi="宋体" w:cs="宋体" w:eastAsia="宋体" w:hint="default"/>
          <w:sz w:val="21"/>
          <w:szCs w:val="21"/>
        </w:rPr>
      </w:pPr>
      <w:r>
        <w:rPr>
          <w:rFonts w:ascii="宋体" w:hAnsi="宋体" w:cs="宋体" w:eastAsia="宋体" w:hint="default"/>
          <w:b/>
          <w:bCs/>
          <w:sz w:val="21"/>
          <w:szCs w:val="21"/>
        </w:rPr>
        <w:t>（二）遵循企业会计准则的声明</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本公司编制的财务报表符合《企业会计准则》的要求，真实、完整地反映了本公司</w:t>
      </w:r>
      <w:r>
        <w:rPr>
          <w:rFonts w:ascii="宋体" w:hAnsi="宋体" w:cs="宋体" w:eastAsia="宋体" w:hint="default"/>
          <w:spacing w:val="-65"/>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8"/>
          <w:sz w:val="21"/>
          <w:szCs w:val="21"/>
        </w:rPr>
        <w:t> </w:t>
      </w:r>
      <w:r>
        <w:rPr>
          <w:rFonts w:ascii="宋体" w:hAnsi="宋体" w:cs="宋体" w:eastAsia="宋体" w:hint="default"/>
          <w:sz w:val="21"/>
          <w:szCs w:val="21"/>
        </w:rPr>
        <w:t>年</w:t>
      </w:r>
    </w:p>
    <w:p>
      <w:pPr>
        <w:spacing w:line="239" w:lineRule="exact" w:before="0"/>
        <w:ind w:left="119" w:right="0" w:firstLine="0"/>
        <w:jc w:val="both"/>
        <w:rPr>
          <w:rFonts w:ascii="宋体" w:hAnsi="宋体" w:cs="宋体" w:eastAsia="宋体" w:hint="default"/>
          <w:sz w:val="21"/>
          <w:szCs w:val="21"/>
        </w:rPr>
      </w:pPr>
      <w:r>
        <w:rPr>
          <w:rFonts w:ascii="Arial Narrow" w:hAnsi="Arial Narrow" w:cs="Arial Narrow" w:eastAsia="Arial Narrow" w:hint="default"/>
          <w:sz w:val="21"/>
          <w:szCs w:val="21"/>
        </w:rPr>
        <w:t>12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31 </w:t>
      </w:r>
      <w:r>
        <w:rPr>
          <w:rFonts w:ascii="宋体" w:hAnsi="宋体" w:cs="宋体" w:eastAsia="宋体" w:hint="default"/>
          <w:sz w:val="21"/>
          <w:szCs w:val="21"/>
        </w:rPr>
        <w:t>日的财务状况、</w:t>
      </w:r>
      <w:r>
        <w:rPr>
          <w:rFonts w:ascii="Arial Narrow" w:hAnsi="Arial Narrow" w:cs="Arial Narrow" w:eastAsia="Arial Narrow" w:hint="default"/>
          <w:sz w:val="21"/>
          <w:szCs w:val="21"/>
        </w:rPr>
        <w:t>2011 </w:t>
      </w:r>
      <w:r>
        <w:rPr>
          <w:rFonts w:ascii="宋体" w:hAnsi="宋体" w:cs="宋体" w:eastAsia="宋体" w:hint="default"/>
          <w:sz w:val="21"/>
          <w:szCs w:val="21"/>
        </w:rPr>
        <w:t>年度的经营成果和现金流量等有关信息。</w:t>
      </w:r>
    </w:p>
    <w:p>
      <w:pPr>
        <w:spacing w:before="178"/>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（三）会计期间</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539" w:right="114" w:firstLine="0"/>
        <w:jc w:val="left"/>
        <w:rPr>
          <w:rFonts w:ascii="宋体" w:hAnsi="宋体" w:cs="宋体" w:eastAsia="宋体" w:hint="default"/>
          <w:sz w:val="21"/>
          <w:szCs w:val="21"/>
        </w:rPr>
      </w:pPr>
      <w:r>
        <w:rPr>
          <w:rFonts w:ascii="宋体" w:hAnsi="宋体" w:cs="宋体" w:eastAsia="宋体" w:hint="default"/>
          <w:sz w:val="21"/>
          <w:szCs w:val="21"/>
        </w:rPr>
        <w:t>本公司会计年度为公历年度，即每年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4"/>
          <w:sz w:val="21"/>
          <w:szCs w:val="21"/>
        </w:rPr>
        <w:t> </w:t>
      </w:r>
      <w:r>
        <w:rPr>
          <w:rFonts w:ascii="宋体" w:hAnsi="宋体" w:cs="宋体" w:eastAsia="宋体" w:hint="default"/>
          <w:sz w:val="21"/>
          <w:szCs w:val="21"/>
        </w:rPr>
        <w:t>日起至</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2"/>
          <w:sz w:val="21"/>
          <w:szCs w:val="21"/>
        </w:rPr>
        <w:t> </w:t>
      </w:r>
      <w:r>
        <w:rPr>
          <w:rFonts w:ascii="宋体" w:hAnsi="宋体" w:cs="宋体" w:eastAsia="宋体" w:hint="default"/>
          <w:sz w:val="21"/>
          <w:szCs w:val="21"/>
        </w:rPr>
        <w:t>日止。</w:t>
      </w:r>
    </w:p>
    <w:p>
      <w:pPr>
        <w:spacing w:line="240" w:lineRule="auto" w:before="3"/>
        <w:rPr>
          <w:rFonts w:ascii="宋体" w:hAnsi="宋体" w:cs="宋体" w:eastAsia="宋体" w:hint="default"/>
          <w:sz w:val="18"/>
          <w:szCs w:val="18"/>
        </w:rPr>
      </w:pPr>
    </w:p>
    <w:p>
      <w:pPr>
        <w:spacing w:line="410" w:lineRule="auto" w:before="0"/>
        <w:ind w:left="539" w:right="5481" w:firstLine="0"/>
        <w:jc w:val="left"/>
        <w:rPr>
          <w:rFonts w:ascii="宋体" w:hAnsi="宋体" w:cs="宋体" w:eastAsia="宋体" w:hint="default"/>
          <w:sz w:val="21"/>
          <w:szCs w:val="21"/>
        </w:rPr>
      </w:pPr>
      <w:r>
        <w:rPr>
          <w:rFonts w:ascii="宋体" w:hAnsi="宋体" w:cs="宋体" w:eastAsia="宋体" w:hint="default"/>
          <w:b/>
          <w:bCs/>
          <w:sz w:val="21"/>
          <w:szCs w:val="21"/>
        </w:rPr>
        <w:t>（四）记账本位币</w:t>
      </w:r>
      <w:r>
        <w:rPr>
          <w:rFonts w:ascii="宋体" w:hAnsi="宋体" w:cs="宋体" w:eastAsia="宋体" w:hint="default"/>
          <w:b/>
          <w:bCs/>
          <w:spacing w:val="1"/>
          <w:w w:val="99"/>
          <w:sz w:val="21"/>
          <w:szCs w:val="21"/>
        </w:rPr>
        <w:t> </w:t>
      </w:r>
      <w:r>
        <w:rPr>
          <w:rFonts w:ascii="宋体" w:hAnsi="宋体" w:cs="宋体" w:eastAsia="宋体" w:hint="default"/>
          <w:sz w:val="21"/>
          <w:szCs w:val="21"/>
        </w:rPr>
        <w:t>本公司以人民币为记账本位币。</w:t>
      </w:r>
    </w:p>
    <w:p>
      <w:pPr>
        <w:spacing w:before="104"/>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（五）合并财务报表的编制方法</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line="331" w:lineRule="auto" w:before="0"/>
        <w:ind w:left="539" w:right="98" w:firstLine="0"/>
        <w:jc w:val="left"/>
        <w:rPr>
          <w:rFonts w:ascii="宋体" w:hAnsi="宋体" w:cs="宋体" w:eastAsia="宋体" w:hint="default"/>
          <w:sz w:val="21"/>
          <w:szCs w:val="21"/>
        </w:rPr>
      </w:pPr>
      <w:r>
        <w:rPr>
          <w:rFonts w:ascii="宋体" w:hAnsi="宋体" w:cs="宋体" w:eastAsia="宋体" w:hint="default"/>
          <w:sz w:val="21"/>
          <w:szCs w:val="21"/>
        </w:rPr>
        <w:t>本公司将拥有实际控制权的子公司纳入合并财务报表范围。 </w:t>
      </w:r>
      <w:r>
        <w:rPr>
          <w:rFonts w:ascii="宋体" w:hAnsi="宋体" w:cs="宋体" w:eastAsia="宋体" w:hint="default"/>
          <w:spacing w:val="-5"/>
          <w:sz w:val="21"/>
          <w:szCs w:val="21"/>
        </w:rPr>
        <w:t>本公司合并财务报表按照《企业会计准则第 </w:t>
      </w:r>
      <w:r>
        <w:rPr>
          <w:rFonts w:ascii="Arial Narrow" w:hAnsi="Arial Narrow" w:cs="Arial Narrow" w:eastAsia="Arial Narrow" w:hint="default"/>
          <w:sz w:val="21"/>
          <w:szCs w:val="21"/>
        </w:rPr>
        <w:t>33</w:t>
      </w:r>
      <w:r>
        <w:rPr>
          <w:rFonts w:ascii="Arial Narrow" w:hAnsi="Arial Narrow" w:cs="Arial Narrow" w:eastAsia="Arial Narrow" w:hint="default"/>
          <w:spacing w:val="-12"/>
          <w:sz w:val="21"/>
          <w:szCs w:val="21"/>
        </w:rPr>
        <w:t> </w:t>
      </w:r>
      <w:r>
        <w:rPr>
          <w:rFonts w:ascii="宋体" w:hAnsi="宋体" w:cs="宋体" w:eastAsia="宋体" w:hint="default"/>
          <w:spacing w:val="-5"/>
          <w:sz w:val="21"/>
          <w:szCs w:val="21"/>
        </w:rPr>
        <w:t>号－合并财务报表》及相关规定的要求编制，</w:t>
      </w:r>
    </w:p>
    <w:p>
      <w:pPr>
        <w:spacing w:line="333" w:lineRule="auto" w:before="1"/>
        <w:ind w:left="119" w:right="220" w:firstLine="0"/>
        <w:jc w:val="both"/>
        <w:rPr>
          <w:rFonts w:ascii="宋体" w:hAnsi="宋体" w:cs="宋体" w:eastAsia="宋体" w:hint="default"/>
          <w:sz w:val="21"/>
          <w:szCs w:val="21"/>
        </w:rPr>
      </w:pPr>
      <w:r>
        <w:rPr>
          <w:rFonts w:ascii="宋体" w:hAnsi="宋体" w:cs="宋体" w:eastAsia="宋体" w:hint="default"/>
          <w:sz w:val="21"/>
          <w:szCs w:val="21"/>
        </w:rPr>
        <w:t>合并时合并范围内的所有重大内部交易和往来业已抵销。子公司与本公司采用的会计政策或会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计期间均一致。</w:t>
      </w:r>
    </w:p>
    <w:p>
      <w:pPr>
        <w:spacing w:line="410" w:lineRule="auto" w:before="85"/>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（六）现金及现金等价物的确定标准</w:t>
      </w:r>
      <w:r>
        <w:rPr>
          <w:rFonts w:ascii="宋体" w:hAnsi="宋体" w:cs="宋体" w:eastAsia="宋体" w:hint="default"/>
          <w:b/>
          <w:bCs/>
          <w:w w:val="99"/>
          <w:sz w:val="21"/>
          <w:szCs w:val="21"/>
        </w:rPr>
        <w:t> </w:t>
      </w:r>
      <w:r>
        <w:rPr>
          <w:rFonts w:ascii="宋体" w:hAnsi="宋体" w:cs="宋体" w:eastAsia="宋体" w:hint="default"/>
          <w:sz w:val="21"/>
          <w:szCs w:val="21"/>
        </w:rPr>
        <w:t>本公司在编制现金流量表时所确定的现金，是指本公司的库存现金以及可以随时用于支付</w:t>
      </w:r>
    </w:p>
    <w:p>
      <w:pPr>
        <w:spacing w:line="259" w:lineRule="exact" w:before="0"/>
        <w:ind w:left="119" w:right="0" w:firstLine="0"/>
        <w:jc w:val="both"/>
        <w:rPr>
          <w:rFonts w:ascii="宋体" w:hAnsi="宋体" w:cs="宋体" w:eastAsia="宋体" w:hint="default"/>
          <w:sz w:val="21"/>
          <w:szCs w:val="21"/>
        </w:rPr>
      </w:pPr>
      <w:r>
        <w:rPr>
          <w:rFonts w:ascii="宋体" w:hAnsi="宋体" w:cs="宋体" w:eastAsia="宋体" w:hint="default"/>
          <w:sz w:val="21"/>
          <w:szCs w:val="21"/>
        </w:rPr>
        <w:t>的存款；现金等价物，是指本公司持有的期限短、流动性强、易于转换为已知金额现金、价值</w:t>
      </w:r>
    </w:p>
    <w:p>
      <w:pPr>
        <w:spacing w:before="134"/>
        <w:ind w:left="119" w:right="0" w:firstLine="0"/>
        <w:jc w:val="both"/>
        <w:rPr>
          <w:rFonts w:ascii="宋体" w:hAnsi="宋体" w:cs="宋体" w:eastAsia="宋体" w:hint="default"/>
          <w:sz w:val="21"/>
          <w:szCs w:val="21"/>
        </w:rPr>
      </w:pPr>
      <w:r>
        <w:rPr>
          <w:rFonts w:ascii="宋体" w:hAnsi="宋体" w:cs="宋体" w:eastAsia="宋体" w:hint="default"/>
          <w:sz w:val="21"/>
          <w:szCs w:val="21"/>
        </w:rPr>
        <w:t>变动风险很小的投资。</w:t>
      </w:r>
    </w:p>
    <w:p>
      <w:pPr>
        <w:spacing w:line="240" w:lineRule="auto" w:before="10"/>
        <w:rPr>
          <w:rFonts w:ascii="宋体" w:hAnsi="宋体" w:cs="宋体" w:eastAsia="宋体" w:hint="default"/>
          <w:sz w:val="14"/>
          <w:szCs w:val="14"/>
        </w:rPr>
      </w:pPr>
    </w:p>
    <w:p>
      <w:pPr>
        <w:spacing w:line="410" w:lineRule="auto" w:before="0"/>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（七）外币业务</w:t>
      </w:r>
      <w:r>
        <w:rPr>
          <w:rFonts w:ascii="宋体" w:hAnsi="宋体" w:cs="宋体" w:eastAsia="宋体" w:hint="default"/>
          <w:b/>
          <w:bCs/>
          <w:w w:val="99"/>
          <w:sz w:val="21"/>
          <w:szCs w:val="21"/>
        </w:rPr>
        <w:t> </w:t>
      </w:r>
      <w:r>
        <w:rPr>
          <w:rFonts w:ascii="宋体" w:hAnsi="宋体" w:cs="宋体" w:eastAsia="宋体" w:hint="default"/>
          <w:sz w:val="21"/>
          <w:szCs w:val="21"/>
        </w:rPr>
        <w:t>本公司对发生的外币业务，采用业务发生日中国人民银行授权中国外汇交易中心公布的中</w:t>
      </w:r>
    </w:p>
    <w:p>
      <w:pPr>
        <w:spacing w:line="259" w:lineRule="exact" w:before="0"/>
        <w:ind w:left="119" w:right="0" w:firstLine="0"/>
        <w:jc w:val="both"/>
        <w:rPr>
          <w:rFonts w:ascii="宋体" w:hAnsi="宋体" w:cs="宋体" w:eastAsia="宋体" w:hint="default"/>
          <w:sz w:val="21"/>
          <w:szCs w:val="21"/>
        </w:rPr>
      </w:pPr>
      <w:r>
        <w:rPr>
          <w:rFonts w:ascii="宋体" w:hAnsi="宋体" w:cs="宋体" w:eastAsia="宋体" w:hint="default"/>
          <w:sz w:val="21"/>
          <w:szCs w:val="21"/>
        </w:rPr>
        <w:t>间价折合为人民币记账。资产负债表日，外币货币性项目按中国人民银行授权中国外汇交易中</w:t>
      </w:r>
    </w:p>
    <w:p>
      <w:pPr>
        <w:spacing w:line="357" w:lineRule="auto" w:before="133"/>
        <w:ind w:left="119" w:right="220" w:firstLine="0"/>
        <w:jc w:val="both"/>
        <w:rPr>
          <w:rFonts w:ascii="宋体" w:hAnsi="宋体" w:cs="宋体" w:eastAsia="宋体" w:hint="default"/>
          <w:sz w:val="21"/>
          <w:szCs w:val="21"/>
        </w:rPr>
      </w:pPr>
      <w:r>
        <w:rPr>
          <w:rFonts w:ascii="宋体" w:hAnsi="宋体" w:cs="宋体" w:eastAsia="宋体" w:hint="default"/>
          <w:sz w:val="21"/>
          <w:szCs w:val="21"/>
        </w:rPr>
        <w:t>心公布的中间价折算，由此产生的汇兑损益，除属于与符合资本化条件资产有关的借款产生的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汇兑损益，予以资本化计入相关资产成本外，其余计入当期损益。以历史成本计量的外币非货</w:t>
      </w:r>
    </w:p>
    <w:p>
      <w:pPr>
        <w:spacing w:after="0" w:line="357" w:lineRule="auto"/>
        <w:jc w:val="both"/>
        <w:rPr>
          <w:rFonts w:ascii="宋体" w:hAnsi="宋体" w:cs="宋体" w:eastAsia="宋体" w:hint="default"/>
          <w:sz w:val="21"/>
          <w:szCs w:val="21"/>
        </w:rPr>
        <w:sectPr>
          <w:pgSz w:w="12240" w:h="15840"/>
          <w:pgMar w:header="0" w:footer="708" w:top="1400" w:bottom="900" w:left="1680" w:right="1580"/>
        </w:sectPr>
      </w:pPr>
    </w:p>
    <w:p>
      <w:pPr>
        <w:spacing w:line="355" w:lineRule="auto" w:before="6"/>
        <w:ind w:left="100" w:right="194" w:firstLine="0"/>
        <w:jc w:val="left"/>
        <w:rPr>
          <w:rFonts w:ascii="宋体" w:hAnsi="宋体" w:cs="宋体" w:eastAsia="宋体" w:hint="default"/>
          <w:sz w:val="21"/>
          <w:szCs w:val="21"/>
        </w:rPr>
      </w:pPr>
      <w:r>
        <w:rPr>
          <w:rFonts w:ascii="宋体" w:hAnsi="宋体" w:cs="宋体" w:eastAsia="宋体" w:hint="default"/>
          <w:sz w:val="21"/>
          <w:szCs w:val="21"/>
        </w:rPr>
        <w:t>币性项目，仍采用业务发生日中国人民银行授权中国外汇交易中心公布的中间价折算，不改变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其记账本位币金额。</w:t>
      </w:r>
    </w:p>
    <w:p>
      <w:pPr>
        <w:spacing w:before="93"/>
        <w:ind w:left="520" w:right="194" w:firstLine="0"/>
        <w:jc w:val="left"/>
        <w:rPr>
          <w:rFonts w:ascii="宋体" w:hAnsi="宋体" w:cs="宋体" w:eastAsia="宋体" w:hint="default"/>
          <w:sz w:val="21"/>
          <w:szCs w:val="21"/>
        </w:rPr>
      </w:pPr>
      <w:r>
        <w:rPr>
          <w:rFonts w:ascii="宋体" w:hAnsi="宋体" w:cs="宋体" w:eastAsia="宋体" w:hint="default"/>
          <w:b/>
          <w:bCs/>
          <w:sz w:val="21"/>
          <w:szCs w:val="21"/>
        </w:rPr>
        <w:t>（八）金融工具</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line="372" w:lineRule="auto" w:before="0"/>
        <w:ind w:left="520" w:right="194"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金融工具的分类、确认依据和计量方法</w:t>
      </w:r>
      <w:r>
        <w:rPr>
          <w:rFonts w:ascii="宋体" w:hAnsi="宋体" w:cs="宋体" w:eastAsia="宋体" w:hint="default"/>
          <w:b/>
          <w:bCs/>
          <w:spacing w:val="1"/>
          <w:w w:val="99"/>
          <w:sz w:val="21"/>
          <w:szCs w:val="21"/>
        </w:rPr>
        <w:t> </w:t>
      </w:r>
      <w:r>
        <w:rPr>
          <w:rFonts w:ascii="宋体" w:hAnsi="宋体" w:cs="宋体" w:eastAsia="宋体" w:hint="default"/>
          <w:spacing w:val="-7"/>
          <w:sz w:val="21"/>
          <w:szCs w:val="21"/>
        </w:rPr>
        <w:t>本公司的金融资产主要为应收款项（相关说明见本附注二之（九））。</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本公司的金融负债为其他金融负债，是指除以公允价值计量且其变动计入当期损益的金融</w:t>
      </w:r>
    </w:p>
    <w:p>
      <w:pPr>
        <w:spacing w:line="355" w:lineRule="auto" w:before="19"/>
        <w:ind w:left="100" w:right="194" w:firstLine="0"/>
        <w:jc w:val="left"/>
        <w:rPr>
          <w:rFonts w:ascii="宋体" w:hAnsi="宋体" w:cs="宋体" w:eastAsia="宋体" w:hint="default"/>
          <w:sz w:val="21"/>
          <w:szCs w:val="21"/>
        </w:rPr>
      </w:pPr>
      <w:r>
        <w:rPr>
          <w:rFonts w:ascii="宋体" w:hAnsi="宋体" w:cs="宋体" w:eastAsia="宋体" w:hint="default"/>
          <w:sz w:val="21"/>
          <w:szCs w:val="21"/>
        </w:rPr>
        <w:t>负债以外的金融负债。主要包括因购买商品产生的应付账款等。其他金融负债按其公允价值和</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相关交易费用之和作为初始确认金额。采用摊余成本进行后续计量。</w:t>
      </w:r>
    </w:p>
    <w:p>
      <w:pPr>
        <w:spacing w:line="388" w:lineRule="auto" w:before="92"/>
        <w:ind w:left="520" w:right="420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8"/>
          <w:sz w:val="21"/>
          <w:szCs w:val="21"/>
        </w:rPr>
        <w:t> </w:t>
      </w:r>
      <w:r>
        <w:rPr>
          <w:rFonts w:ascii="宋体" w:hAnsi="宋体" w:cs="宋体" w:eastAsia="宋体" w:hint="default"/>
          <w:b/>
          <w:bCs/>
          <w:sz w:val="21"/>
          <w:szCs w:val="21"/>
        </w:rPr>
        <w:t>金融资产转移的确认依据和计量方法</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本公司的金融资产转移，包括下列两种情形：</w:t>
      </w:r>
    </w:p>
    <w:p>
      <w:pPr>
        <w:spacing w:before="3"/>
        <w:ind w:left="520" w:right="194"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）将收取金融资产现金流量的权利转移给另一方；</w:t>
      </w:r>
    </w:p>
    <w:p>
      <w:pPr>
        <w:spacing w:line="338" w:lineRule="auto" w:before="120"/>
        <w:ind w:left="100" w:right="194"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2</w:t>
      </w:r>
      <w:r>
        <w:rPr>
          <w:rFonts w:ascii="宋体" w:hAnsi="宋体" w:cs="宋体" w:eastAsia="宋体" w:hint="default"/>
          <w:spacing w:val="-2"/>
          <w:sz w:val="21"/>
          <w:szCs w:val="21"/>
        </w:rPr>
        <w:t>）将金融资产转移给另一方，但保留收取金融资产现金流量的权利，并承担将收取的现</w:t>
      </w:r>
      <w:r>
        <w:rPr>
          <w:rFonts w:ascii="宋体" w:hAnsi="宋体" w:cs="宋体" w:eastAsia="宋体" w:hint="default"/>
          <w:sz w:val="21"/>
          <w:szCs w:val="21"/>
        </w:rPr>
        <w:t> 金流量支付给最终收款方的义务，同时满足下列条件：</w:t>
      </w:r>
    </w:p>
    <w:p>
      <w:pPr>
        <w:spacing w:line="348" w:lineRule="auto" w:before="48"/>
        <w:ind w:left="100" w:right="198" w:firstLine="420"/>
        <w:jc w:val="both"/>
        <w:rPr>
          <w:rFonts w:ascii="宋体" w:hAnsi="宋体" w:cs="宋体" w:eastAsia="宋体" w:hint="default"/>
          <w:sz w:val="21"/>
          <w:szCs w:val="21"/>
        </w:rPr>
      </w:pPr>
      <w:r>
        <w:rPr>
          <w:rFonts w:ascii="Arial Narrow" w:hAnsi="Arial Narrow" w:cs="Arial Narrow" w:eastAsia="Arial Narrow" w:hint="default"/>
          <w:spacing w:val="-3"/>
          <w:sz w:val="21"/>
          <w:szCs w:val="21"/>
        </w:rPr>
        <w:t>A</w:t>
      </w:r>
      <w:r>
        <w:rPr>
          <w:rFonts w:ascii="宋体" w:hAnsi="宋体" w:cs="宋体" w:eastAsia="宋体" w:hint="default"/>
          <w:spacing w:val="-3"/>
          <w:sz w:val="21"/>
          <w:szCs w:val="21"/>
        </w:rPr>
        <w:t>．从该金融资产收到对等的现金流量时，才有义务将其支付给最终收款方。企业发生短期</w:t>
      </w:r>
      <w:r>
        <w:rPr>
          <w:rFonts w:ascii="宋体" w:hAnsi="宋体" w:cs="宋体" w:eastAsia="宋体" w:hint="default"/>
          <w:sz w:val="21"/>
          <w:szCs w:val="21"/>
        </w:rPr>
        <w:t> 垫付款，但有权全额收回该垫付款并按照市场上同期银行贷款利率计收利息的，视同满足本条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件。</w:t>
      </w:r>
    </w:p>
    <w:p>
      <w:pPr>
        <w:spacing w:line="338" w:lineRule="auto" w:before="40"/>
        <w:ind w:left="100" w:right="194" w:firstLine="420"/>
        <w:jc w:val="left"/>
        <w:rPr>
          <w:rFonts w:ascii="宋体" w:hAnsi="宋体" w:cs="宋体" w:eastAsia="宋体" w:hint="default"/>
          <w:sz w:val="21"/>
          <w:szCs w:val="21"/>
        </w:rPr>
      </w:pPr>
      <w:r>
        <w:rPr>
          <w:rFonts w:ascii="Arial Narrow" w:hAnsi="Arial Narrow" w:cs="Arial Narrow" w:eastAsia="Arial Narrow" w:hint="default"/>
          <w:spacing w:val="-3"/>
          <w:sz w:val="21"/>
          <w:szCs w:val="21"/>
        </w:rPr>
        <w:t>B</w:t>
      </w:r>
      <w:r>
        <w:rPr>
          <w:rFonts w:ascii="宋体" w:hAnsi="宋体" w:cs="宋体" w:eastAsia="宋体" w:hint="default"/>
          <w:spacing w:val="-3"/>
          <w:sz w:val="21"/>
          <w:szCs w:val="21"/>
        </w:rPr>
        <w:t>．根据合同约定，不能出售该金融资产或作为担保物，但可以将其作为对最终收款方支付</w:t>
      </w:r>
      <w:r>
        <w:rPr>
          <w:rFonts w:ascii="宋体" w:hAnsi="宋体" w:cs="宋体" w:eastAsia="宋体" w:hint="default"/>
          <w:sz w:val="21"/>
          <w:szCs w:val="21"/>
        </w:rPr>
        <w:t> 现金流量的保证。</w:t>
      </w:r>
    </w:p>
    <w:p>
      <w:pPr>
        <w:spacing w:line="348" w:lineRule="auto" w:before="48"/>
        <w:ind w:left="100" w:right="85" w:firstLine="420"/>
        <w:jc w:val="left"/>
        <w:rPr>
          <w:rFonts w:ascii="宋体" w:hAnsi="宋体" w:cs="宋体" w:eastAsia="宋体" w:hint="default"/>
          <w:sz w:val="21"/>
          <w:szCs w:val="21"/>
        </w:rPr>
      </w:pPr>
      <w:r>
        <w:rPr>
          <w:rFonts w:ascii="Arial Narrow" w:hAnsi="Arial Narrow" w:cs="Arial Narrow" w:eastAsia="Arial Narrow" w:hint="default"/>
          <w:sz w:val="21"/>
          <w:szCs w:val="21"/>
        </w:rPr>
        <w:t>C</w:t>
      </w:r>
      <w:r>
        <w:rPr>
          <w:rFonts w:ascii="宋体" w:hAnsi="宋体" w:cs="宋体" w:eastAsia="宋体" w:hint="default"/>
          <w:sz w:val="21"/>
          <w:szCs w:val="21"/>
        </w:rPr>
        <w:t>．有义务将收取的现金流量及时支付给最终收款方。企业无权将该现金流量进行再投资， 但按照合同约定在相邻两次支付间隔期内将所收到的现金流量进行现金或现金等价物投资的除</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外。企业按照合同约定进行再投资的，应当将投资收益按照合同约定支付给最终收款方。</w:t>
      </w:r>
    </w:p>
    <w:p>
      <w:pPr>
        <w:spacing w:line="355" w:lineRule="auto" w:before="38"/>
        <w:ind w:left="100" w:right="194" w:firstLine="420"/>
        <w:jc w:val="left"/>
        <w:rPr>
          <w:rFonts w:ascii="宋体" w:hAnsi="宋体" w:cs="宋体" w:eastAsia="宋体" w:hint="default"/>
          <w:sz w:val="21"/>
          <w:szCs w:val="21"/>
        </w:rPr>
      </w:pPr>
      <w:r>
        <w:rPr>
          <w:rFonts w:ascii="宋体" w:hAnsi="宋体" w:cs="宋体" w:eastAsia="宋体" w:hint="default"/>
          <w:sz w:val="21"/>
          <w:szCs w:val="21"/>
        </w:rPr>
        <w:t>已将金融资产所有权上几乎所有的风险和报酬转移给转入方的，终止确认该金融资产；保 留了金融资产所有权上几乎所有的风险和报酬的，不终止确认该金融资产。</w:t>
      </w:r>
    </w:p>
    <w:p>
      <w:pPr>
        <w:spacing w:before="33"/>
        <w:ind w:left="520" w:right="85" w:firstLine="0"/>
        <w:jc w:val="left"/>
        <w:rPr>
          <w:rFonts w:ascii="宋体" w:hAnsi="宋体" w:cs="宋体" w:eastAsia="宋体" w:hint="default"/>
          <w:sz w:val="21"/>
          <w:szCs w:val="21"/>
        </w:rPr>
      </w:pPr>
      <w:r>
        <w:rPr>
          <w:rFonts w:ascii="宋体" w:hAnsi="宋体" w:cs="宋体" w:eastAsia="宋体" w:hint="default"/>
          <w:sz w:val="21"/>
          <w:szCs w:val="21"/>
        </w:rPr>
        <w:t>既没有转移也没有保留金融资产所有权上几乎所有的风险和报酬的，分别下列情况处理：</w:t>
      </w:r>
    </w:p>
    <w:p>
      <w:pPr>
        <w:spacing w:before="133"/>
        <w:ind w:left="520" w:right="194"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1</w:t>
      </w:r>
      <w:r>
        <w:rPr>
          <w:rFonts w:ascii="宋体" w:hAnsi="宋体" w:cs="宋体" w:eastAsia="宋体" w:hint="default"/>
          <w:sz w:val="21"/>
          <w:szCs w:val="21"/>
        </w:rPr>
        <w:t>）放弃了对该金融资产控制的，终止确认该金融资产。</w:t>
      </w:r>
    </w:p>
    <w:p>
      <w:pPr>
        <w:spacing w:line="338" w:lineRule="auto" w:before="120"/>
        <w:ind w:left="100" w:right="194"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Arial Narrow" w:hAnsi="Arial Narrow" w:cs="Arial Narrow" w:eastAsia="Arial Narrow" w:hint="default"/>
          <w:spacing w:val="-2"/>
          <w:sz w:val="21"/>
          <w:szCs w:val="21"/>
        </w:rPr>
        <w:t>2</w:t>
      </w:r>
      <w:r>
        <w:rPr>
          <w:rFonts w:ascii="宋体" w:hAnsi="宋体" w:cs="宋体" w:eastAsia="宋体" w:hint="default"/>
          <w:spacing w:val="-2"/>
          <w:sz w:val="21"/>
          <w:szCs w:val="21"/>
        </w:rPr>
        <w:t>）未放弃对该金融资产控制的，按照其继续涉入所转移金融资产的程度确认有关金融资</w:t>
      </w:r>
      <w:r>
        <w:rPr>
          <w:rFonts w:ascii="宋体" w:hAnsi="宋体" w:cs="宋体" w:eastAsia="宋体" w:hint="default"/>
          <w:sz w:val="21"/>
          <w:szCs w:val="21"/>
        </w:rPr>
        <w:t> 产，并相应确认有关负债。</w:t>
      </w:r>
    </w:p>
    <w:p>
      <w:pPr>
        <w:spacing w:line="388" w:lineRule="auto" w:before="108"/>
        <w:ind w:left="520" w:right="194"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z w:val="21"/>
          <w:szCs w:val="21"/>
        </w:rPr>
        <w:t>金融负债的现时义务全部或部分已经解除的，终止确认该金融负债或其一部分。金融负债</w:t>
      </w:r>
    </w:p>
    <w:p>
      <w:pPr>
        <w:spacing w:line="357" w:lineRule="auto" w:before="3"/>
        <w:ind w:left="100" w:right="194" w:firstLine="0"/>
        <w:jc w:val="left"/>
        <w:rPr>
          <w:rFonts w:ascii="宋体" w:hAnsi="宋体" w:cs="宋体" w:eastAsia="宋体" w:hint="default"/>
          <w:sz w:val="21"/>
          <w:szCs w:val="21"/>
        </w:rPr>
      </w:pPr>
      <w:r>
        <w:rPr>
          <w:rFonts w:ascii="宋体" w:hAnsi="宋体" w:cs="宋体" w:eastAsia="宋体" w:hint="default"/>
          <w:sz w:val="21"/>
          <w:szCs w:val="21"/>
        </w:rPr>
        <w:t>全部或部分终止确认的，将终止确认部分的账面价值与支付的对价（包括转出的非现金资产或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承担的新金融负债）之间的差额，计入当期损益。</w:t>
      </w:r>
    </w:p>
    <w:p>
      <w:pPr>
        <w:spacing w:after="0" w:line="357" w:lineRule="auto"/>
        <w:jc w:val="left"/>
        <w:rPr>
          <w:rFonts w:ascii="宋体" w:hAnsi="宋体" w:cs="宋体" w:eastAsia="宋体" w:hint="default"/>
          <w:sz w:val="21"/>
          <w:szCs w:val="21"/>
        </w:rPr>
        <w:sectPr>
          <w:pgSz w:w="12240" w:h="15840"/>
          <w:pgMar w:header="0" w:footer="708" w:top="1400" w:bottom="900" w:left="1700" w:right="1600"/>
        </w:sectPr>
      </w:pPr>
    </w:p>
    <w:p>
      <w:pPr>
        <w:spacing w:line="408" w:lineRule="auto" w:before="6"/>
        <w:ind w:left="640" w:right="0" w:firstLine="0"/>
        <w:jc w:val="left"/>
        <w:rPr>
          <w:rFonts w:ascii="宋体" w:hAnsi="宋体" w:cs="宋体" w:eastAsia="宋体" w:hint="default"/>
          <w:sz w:val="21"/>
          <w:szCs w:val="21"/>
        </w:rPr>
      </w:pPr>
      <w:r>
        <w:rPr>
          <w:rFonts w:ascii="宋体" w:hAnsi="宋体" w:cs="宋体" w:eastAsia="宋体" w:hint="default"/>
          <w:b/>
          <w:bCs/>
          <w:sz w:val="21"/>
          <w:szCs w:val="21"/>
        </w:rPr>
        <w:t>（九）应收款项</w:t>
      </w:r>
      <w:r>
        <w:rPr>
          <w:rFonts w:ascii="宋体" w:hAnsi="宋体" w:cs="宋体" w:eastAsia="宋体" w:hint="default"/>
          <w:b/>
          <w:bCs/>
          <w:w w:val="99"/>
          <w:sz w:val="21"/>
          <w:szCs w:val="21"/>
        </w:rPr>
        <w:t> </w:t>
      </w:r>
      <w:r>
        <w:rPr>
          <w:rFonts w:ascii="宋体" w:hAnsi="宋体" w:cs="宋体" w:eastAsia="宋体" w:hint="default"/>
          <w:sz w:val="21"/>
          <w:szCs w:val="21"/>
        </w:rPr>
        <w:t>本公司应收款项（包括应收账款和其他应收款等）按合同或协议价款作为初始入账金额。</w:t>
      </w:r>
    </w:p>
    <w:p>
      <w:pPr>
        <w:spacing w:line="357" w:lineRule="auto" w:before="0"/>
        <w:ind w:left="220" w:right="124" w:firstLine="0"/>
        <w:jc w:val="left"/>
        <w:rPr>
          <w:rFonts w:ascii="宋体" w:hAnsi="宋体" w:cs="宋体" w:eastAsia="宋体" w:hint="default"/>
          <w:sz w:val="21"/>
          <w:szCs w:val="21"/>
        </w:rPr>
      </w:pPr>
      <w:r>
        <w:rPr>
          <w:rFonts w:ascii="宋体" w:hAnsi="宋体" w:cs="宋体" w:eastAsia="宋体" w:hint="default"/>
          <w:spacing w:val="-2"/>
          <w:sz w:val="21"/>
          <w:szCs w:val="21"/>
        </w:rPr>
        <w:t>凡因债务人破产，依照法律清偿程序清偿后仍无法收回；或因债务人死亡，既无遗产可供清偿，</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又无义务承担人，确实无法收回；或因债务人逾期未能履行偿债义务，经法定程序审核批准，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该等应收款项列为坏账损失。</w:t>
      </w:r>
    </w:p>
    <w:p>
      <w:pPr>
        <w:spacing w:line="357" w:lineRule="auto" w:before="30"/>
        <w:ind w:left="220" w:right="238" w:firstLine="420"/>
        <w:jc w:val="both"/>
        <w:rPr>
          <w:rFonts w:ascii="宋体" w:hAnsi="宋体" w:cs="宋体" w:eastAsia="宋体" w:hint="default"/>
          <w:sz w:val="21"/>
          <w:szCs w:val="21"/>
        </w:rPr>
      </w:pPr>
      <w:r>
        <w:rPr>
          <w:rFonts w:ascii="宋体" w:hAnsi="宋体" w:cs="宋体" w:eastAsia="宋体" w:hint="default"/>
          <w:sz w:val="21"/>
          <w:szCs w:val="21"/>
        </w:rPr>
        <w:t>本公司以应收债权向银行等金融机构转让、质押或贴现等方式融资时，根据相关合同的约 定，当债务人到期未偿还该项债务时，若本公司负有向金融机构还款的责任，则该应收债权作</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为质押贷款处理；若本公司没有向金融机构还款的责任，则该应收债权作为转让处理，并确认</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债权的转让损益。</w:t>
      </w:r>
    </w:p>
    <w:p>
      <w:pPr>
        <w:spacing w:before="31"/>
        <w:ind w:left="640" w:right="0" w:firstLine="0"/>
        <w:jc w:val="left"/>
        <w:rPr>
          <w:rFonts w:ascii="宋体" w:hAnsi="宋体" w:cs="宋体" w:eastAsia="宋体" w:hint="default"/>
          <w:sz w:val="21"/>
          <w:szCs w:val="21"/>
        </w:rPr>
      </w:pPr>
      <w:r>
        <w:rPr>
          <w:rFonts w:ascii="宋体" w:hAnsi="宋体" w:cs="宋体" w:eastAsia="宋体" w:hint="default"/>
          <w:sz w:val="21"/>
          <w:szCs w:val="21"/>
        </w:rPr>
        <w:t>本公司收回应收款项时，将取得的价款和应收款项账面价值之间的差额计入当期损益。</w:t>
      </w:r>
    </w:p>
    <w:p>
      <w:pPr>
        <w:spacing w:line="240" w:lineRule="auto" w:before="10"/>
        <w:rPr>
          <w:rFonts w:ascii="宋体" w:hAnsi="宋体" w:cs="宋体" w:eastAsia="宋体" w:hint="default"/>
          <w:sz w:val="14"/>
          <w:szCs w:val="14"/>
        </w:rPr>
      </w:pPr>
    </w:p>
    <w:p>
      <w:pPr>
        <w:spacing w:before="0"/>
        <w:ind w:left="640"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Arial Narrow" w:hAnsi="Arial Narrow" w:cs="Arial Narrow" w:eastAsia="Arial Narrow" w:hint="default"/>
          <w:b/>
          <w:bCs/>
          <w:spacing w:val="45"/>
          <w:sz w:val="21"/>
          <w:szCs w:val="21"/>
        </w:rPr>
        <w:t> </w:t>
      </w:r>
      <w:r>
        <w:rPr>
          <w:rFonts w:ascii="宋体" w:hAnsi="宋体" w:cs="宋体" w:eastAsia="宋体" w:hint="default"/>
          <w:b/>
          <w:bCs/>
          <w:sz w:val="21"/>
          <w:szCs w:val="21"/>
        </w:rPr>
        <w:t>单项金额重大的并单项计提坏账准备的应收款项</w:t>
      </w:r>
      <w:r>
        <w:rPr>
          <w:rFonts w:ascii="宋体" w:hAnsi="宋体" w:cs="宋体" w:eastAsia="宋体" w:hint="default"/>
          <w:sz w:val="21"/>
          <w:szCs w:val="21"/>
        </w:rPr>
      </w:r>
    </w:p>
    <w:p>
      <w:pPr>
        <w:spacing w:line="338" w:lineRule="auto" w:before="179"/>
        <w:ind w:left="219" w:right="238" w:firstLine="420"/>
        <w:jc w:val="both"/>
        <w:rPr>
          <w:rFonts w:ascii="宋体" w:hAnsi="宋体" w:cs="宋体" w:eastAsia="宋体" w:hint="default"/>
          <w:sz w:val="21"/>
          <w:szCs w:val="21"/>
        </w:rPr>
      </w:pPr>
      <w:r>
        <w:rPr>
          <w:rFonts w:ascii="宋体" w:hAnsi="宋体" w:cs="宋体" w:eastAsia="宋体" w:hint="default"/>
          <w:sz w:val="21"/>
          <w:szCs w:val="21"/>
        </w:rPr>
        <w:t>本公司将单个欠款单位金额在 </w:t>
      </w:r>
      <w:r>
        <w:rPr>
          <w:rFonts w:ascii="Arial Narrow" w:hAnsi="Arial Narrow" w:cs="Arial Narrow" w:eastAsia="Arial Narrow" w:hint="default"/>
          <w:sz w:val="21"/>
          <w:szCs w:val="21"/>
        </w:rPr>
        <w:t>200 </w:t>
      </w:r>
      <w:r>
        <w:rPr>
          <w:rFonts w:ascii="宋体" w:hAnsi="宋体" w:cs="宋体" w:eastAsia="宋体" w:hint="default"/>
          <w:sz w:val="21"/>
          <w:szCs w:val="21"/>
        </w:rPr>
        <w:t>万元以上的应收账款或单个欠款单位金额在 </w:t>
      </w:r>
      <w:r>
        <w:rPr>
          <w:rFonts w:ascii="Arial Narrow" w:hAnsi="Arial Narrow" w:cs="Arial Narrow" w:eastAsia="Arial Narrow" w:hint="default"/>
          <w:sz w:val="21"/>
          <w:szCs w:val="21"/>
        </w:rPr>
        <w:t>100</w:t>
      </w:r>
      <w:r>
        <w:rPr>
          <w:rFonts w:ascii="Arial Narrow" w:hAnsi="Arial Narrow" w:cs="Arial Narrow" w:eastAsia="Arial Narrow" w:hint="default"/>
          <w:spacing w:val="-16"/>
          <w:sz w:val="21"/>
          <w:szCs w:val="21"/>
        </w:rPr>
        <w:t> </w:t>
      </w:r>
      <w:r>
        <w:rPr>
          <w:rFonts w:ascii="宋体" w:hAnsi="宋体" w:cs="宋体" w:eastAsia="宋体" w:hint="default"/>
          <w:sz w:val="21"/>
          <w:szCs w:val="21"/>
        </w:rPr>
        <w:t>万元以 上的其他应收款，确定为单项金额重大的应收款项。</w:t>
      </w:r>
    </w:p>
    <w:p>
      <w:pPr>
        <w:spacing w:line="357" w:lineRule="auto" w:before="48"/>
        <w:ind w:left="219" w:right="239" w:firstLine="420"/>
        <w:jc w:val="both"/>
        <w:rPr>
          <w:rFonts w:ascii="宋体" w:hAnsi="宋体" w:cs="宋体" w:eastAsia="宋体" w:hint="default"/>
          <w:sz w:val="21"/>
          <w:szCs w:val="21"/>
        </w:rPr>
      </w:pPr>
      <w:r>
        <w:rPr>
          <w:rFonts w:ascii="宋体" w:hAnsi="宋体" w:cs="宋体" w:eastAsia="宋体" w:hint="default"/>
          <w:sz w:val="21"/>
          <w:szCs w:val="21"/>
        </w:rPr>
        <w:t>在资产负债表日，本公司对单项金额重大的应收款项单独进行减值测试，经测试发生了减 值的，按其未来现金流量现值低于其账面价值的差额，确定减值损失，计提坏账准备；对单项</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测试未减值的应收款项，汇同单项金额非重大的应收款项，按类似的信用风险特征划分为若干</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组合，再按这些应收款项组合在资产负债表日余额的一定比例计算确定减值损失，计提坏账准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备。</w:t>
      </w:r>
    </w:p>
    <w:p>
      <w:pPr>
        <w:spacing w:before="31"/>
        <w:ind w:left="639" w:right="0" w:firstLine="0"/>
        <w:jc w:val="left"/>
        <w:rPr>
          <w:rFonts w:ascii="新宋体" w:hAnsi="新宋体" w:cs="新宋体" w:eastAsia="新宋体" w:hint="default"/>
          <w:sz w:val="21"/>
          <w:szCs w:val="21"/>
        </w:rPr>
      </w:pPr>
      <w:r>
        <w:rPr>
          <w:rFonts w:ascii="新宋体" w:hAnsi="新宋体" w:cs="新宋体" w:eastAsia="新宋体" w:hint="default"/>
          <w:sz w:val="21"/>
          <w:szCs w:val="21"/>
        </w:rPr>
        <w:t>本公司本年度无单项金额重大并单项计提坏账准备的应收款项。</w:t>
      </w:r>
    </w:p>
    <w:p>
      <w:pPr>
        <w:spacing w:line="240" w:lineRule="auto" w:before="10"/>
        <w:rPr>
          <w:rFonts w:ascii="新宋体" w:hAnsi="新宋体" w:cs="新宋体" w:eastAsia="新宋体" w:hint="default"/>
          <w:sz w:val="14"/>
          <w:szCs w:val="14"/>
        </w:rPr>
      </w:pPr>
    </w:p>
    <w:p>
      <w:pPr>
        <w:spacing w:before="0"/>
        <w:ind w:left="639"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 </w:t>
      </w:r>
      <w:r>
        <w:rPr>
          <w:rFonts w:ascii="Arial Narrow" w:hAnsi="Arial Narrow" w:cs="Arial Narrow" w:eastAsia="Arial Narrow" w:hint="default"/>
          <w:b/>
          <w:bCs/>
          <w:spacing w:val="1"/>
          <w:sz w:val="21"/>
          <w:szCs w:val="21"/>
        </w:rPr>
        <w:t> </w:t>
      </w:r>
      <w:r>
        <w:rPr>
          <w:rFonts w:ascii="宋体" w:hAnsi="宋体" w:cs="宋体" w:eastAsia="宋体" w:hint="default"/>
          <w:b/>
          <w:bCs/>
          <w:sz w:val="21"/>
          <w:szCs w:val="21"/>
        </w:rPr>
        <w:t>按组合计提坏账准备的应收款项</w:t>
      </w:r>
      <w:r>
        <w:rPr>
          <w:rFonts w:ascii="宋体" w:hAnsi="宋体" w:cs="宋体" w:eastAsia="宋体" w:hint="default"/>
          <w:sz w:val="21"/>
          <w:szCs w:val="21"/>
        </w:rPr>
      </w:r>
    </w:p>
    <w:p>
      <w:pPr>
        <w:spacing w:line="331" w:lineRule="auto" w:before="178"/>
        <w:ind w:left="640" w:right="0" w:firstLine="0"/>
        <w:jc w:val="left"/>
        <w:rPr>
          <w:rFonts w:ascii="宋体" w:hAnsi="宋体" w:cs="宋体" w:eastAsia="宋体" w:hint="default"/>
          <w:sz w:val="21"/>
          <w:szCs w:val="21"/>
        </w:rPr>
      </w:pPr>
      <w:r>
        <w:rPr>
          <w:rFonts w:ascii="宋体" w:hAnsi="宋体" w:cs="宋体" w:eastAsia="宋体" w:hint="default"/>
          <w:sz w:val="21"/>
          <w:szCs w:val="21"/>
        </w:rPr>
        <w:t>本公司将应收款项按款项性质分为信用风险较小的应收款项、销售货款及其他。 信用风险较小的应收款项主要包括合并范围内应收款项、本公司员工暂借款、应收退税款</w:t>
      </w:r>
    </w:p>
    <w:p>
      <w:pPr>
        <w:spacing w:line="333" w:lineRule="auto" w:before="27"/>
        <w:ind w:left="640" w:right="1510" w:hanging="420"/>
        <w:jc w:val="left"/>
        <w:rPr>
          <w:rFonts w:ascii="宋体" w:hAnsi="宋体" w:cs="宋体" w:eastAsia="宋体" w:hint="default"/>
          <w:sz w:val="21"/>
          <w:szCs w:val="21"/>
        </w:rPr>
      </w:pPr>
      <w:r>
        <w:rPr>
          <w:rFonts w:ascii="宋体" w:hAnsi="宋体" w:cs="宋体" w:eastAsia="宋体" w:hint="default"/>
          <w:sz w:val="21"/>
          <w:szCs w:val="21"/>
        </w:rPr>
        <w:t>等，对信用风险较小的应收款项不计提坏账准备。 销售货款及其他，采用账龄分析法计提坏账准备，确定计提比例列示如下：</w:t>
      </w:r>
    </w:p>
    <w:p>
      <w:pPr>
        <w:spacing w:line="240" w:lineRule="auto" w:before="7"/>
        <w:rPr>
          <w:rFonts w:ascii="宋体" w:hAnsi="宋体" w:cs="宋体" w:eastAsia="宋体" w:hint="default"/>
          <w:sz w:val="4"/>
          <w:szCs w:val="4"/>
        </w:rPr>
      </w:pPr>
    </w:p>
    <w:tbl>
      <w:tblPr>
        <w:tblW w:w="0" w:type="auto"/>
        <w:jc w:val="left"/>
        <w:tblInd w:w="104" w:type="dxa"/>
        <w:tblLayout w:type="fixed"/>
        <w:tblCellMar>
          <w:top w:w="0" w:type="dxa"/>
          <w:left w:w="0" w:type="dxa"/>
          <w:bottom w:w="0" w:type="dxa"/>
          <w:right w:w="0" w:type="dxa"/>
        </w:tblCellMar>
        <w:tblLook w:val="01E0"/>
      </w:tblPr>
      <w:tblGrid>
        <w:gridCol w:w="2416"/>
        <w:gridCol w:w="1613"/>
        <w:gridCol w:w="1612"/>
        <w:gridCol w:w="1610"/>
        <w:gridCol w:w="1606"/>
      </w:tblGrid>
      <w:tr>
        <w:trPr>
          <w:trHeight w:val="406" w:hRule="exact"/>
        </w:trPr>
        <w:tc>
          <w:tcPr>
            <w:tcW w:w="24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账龄</w:t>
            </w:r>
          </w:p>
        </w:tc>
        <w:tc>
          <w:tcPr>
            <w:tcW w:w="161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61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 </w:t>
            </w:r>
            <w:r>
              <w:rPr>
                <w:rFonts w:ascii="宋体" w:hAnsi="宋体" w:cs="宋体" w:eastAsia="宋体" w:hint="default"/>
                <w:sz w:val="21"/>
                <w:szCs w:val="21"/>
              </w:rPr>
              <w:t>年</w:t>
            </w:r>
          </w:p>
        </w:tc>
        <w:tc>
          <w:tcPr>
            <w:tcW w:w="161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 </w:t>
            </w:r>
            <w:r>
              <w:rPr>
                <w:rFonts w:ascii="宋体" w:hAnsi="宋体" w:cs="宋体" w:eastAsia="宋体" w:hint="default"/>
                <w:sz w:val="21"/>
                <w:szCs w:val="21"/>
              </w:rPr>
              <w:t>年</w:t>
            </w:r>
          </w:p>
        </w:tc>
        <w:tc>
          <w:tcPr>
            <w:tcW w:w="160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6"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p>
        </w:tc>
      </w:tr>
      <w:tr>
        <w:trPr>
          <w:trHeight w:val="354" w:hRule="exact"/>
        </w:trPr>
        <w:tc>
          <w:tcPr>
            <w:tcW w:w="241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计提比例</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5%</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10%</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50%</w:t>
            </w:r>
          </w:p>
        </w:tc>
        <w:tc>
          <w:tcPr>
            <w:tcW w:w="16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2"/>
        <w:rPr>
          <w:rFonts w:ascii="宋体" w:hAnsi="宋体" w:cs="宋体" w:eastAsia="宋体" w:hint="default"/>
          <w:sz w:val="13"/>
          <w:szCs w:val="13"/>
        </w:rPr>
      </w:pPr>
    </w:p>
    <w:p>
      <w:pPr>
        <w:spacing w:before="35"/>
        <w:ind w:left="640"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Arial Narrow" w:hAnsi="Arial Narrow" w:cs="Arial Narrow" w:eastAsia="Arial Narrow" w:hint="default"/>
          <w:b/>
          <w:bCs/>
          <w:spacing w:val="45"/>
          <w:sz w:val="21"/>
          <w:szCs w:val="21"/>
        </w:rPr>
        <w:t> </w:t>
      </w:r>
      <w:r>
        <w:rPr>
          <w:rFonts w:ascii="宋体" w:hAnsi="宋体" w:cs="宋体" w:eastAsia="宋体" w:hint="default"/>
          <w:b/>
          <w:bCs/>
          <w:sz w:val="21"/>
          <w:szCs w:val="21"/>
        </w:rPr>
        <w:t>单项金额虽不重大但单项计提坏账准备的应收款项</w:t>
      </w:r>
      <w:r>
        <w:rPr>
          <w:rFonts w:ascii="宋体" w:hAnsi="宋体" w:cs="宋体" w:eastAsia="宋体" w:hint="default"/>
          <w:sz w:val="21"/>
          <w:szCs w:val="21"/>
        </w:rPr>
      </w:r>
    </w:p>
    <w:p>
      <w:pPr>
        <w:spacing w:before="178"/>
        <w:ind w:left="640" w:right="0" w:firstLine="0"/>
        <w:jc w:val="left"/>
        <w:rPr>
          <w:rFonts w:ascii="宋体" w:hAnsi="宋体" w:cs="宋体" w:eastAsia="宋体" w:hint="default"/>
          <w:sz w:val="21"/>
          <w:szCs w:val="21"/>
        </w:rPr>
      </w:pPr>
      <w:r>
        <w:rPr>
          <w:rFonts w:ascii="宋体" w:hAnsi="宋体" w:cs="宋体" w:eastAsia="宋体" w:hint="default"/>
          <w:sz w:val="21"/>
          <w:szCs w:val="21"/>
        </w:rPr>
        <w:t>本公司将单个欠款单位金额在</w:t>
      </w:r>
      <w:r>
        <w:rPr>
          <w:rFonts w:ascii="宋体" w:hAnsi="宋体" w:cs="宋体" w:eastAsia="宋体" w:hint="default"/>
          <w:spacing w:val="-36"/>
          <w:sz w:val="21"/>
          <w:szCs w:val="21"/>
        </w:rPr>
        <w:t> </w:t>
      </w:r>
      <w:r>
        <w:rPr>
          <w:rFonts w:ascii="Arial Narrow" w:hAnsi="Arial Narrow" w:cs="Arial Narrow" w:eastAsia="Arial Narrow" w:hint="default"/>
          <w:sz w:val="21"/>
          <w:szCs w:val="21"/>
        </w:rPr>
        <w:t>200</w:t>
      </w:r>
      <w:r>
        <w:rPr>
          <w:rFonts w:ascii="Arial Narrow" w:hAnsi="Arial Narrow" w:cs="Arial Narrow" w:eastAsia="Arial Narrow" w:hint="default"/>
          <w:spacing w:val="20"/>
          <w:sz w:val="21"/>
          <w:szCs w:val="21"/>
        </w:rPr>
        <w:t> </w:t>
      </w:r>
      <w:r>
        <w:rPr>
          <w:rFonts w:ascii="宋体" w:hAnsi="宋体" w:cs="宋体" w:eastAsia="宋体" w:hint="default"/>
          <w:sz w:val="21"/>
          <w:szCs w:val="21"/>
        </w:rPr>
        <w:t>万元以下，但账龄在</w:t>
      </w:r>
      <w:r>
        <w:rPr>
          <w:rFonts w:ascii="宋体" w:hAnsi="宋体" w:cs="宋体" w:eastAsia="宋体" w:hint="default"/>
          <w:spacing w:val="-36"/>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20"/>
          <w:sz w:val="21"/>
          <w:szCs w:val="21"/>
        </w:rPr>
        <w:t> </w:t>
      </w:r>
      <w:r>
        <w:rPr>
          <w:rFonts w:ascii="宋体" w:hAnsi="宋体" w:cs="宋体" w:eastAsia="宋体" w:hint="default"/>
          <w:sz w:val="21"/>
          <w:szCs w:val="21"/>
        </w:rPr>
        <w:t>年以上或有证据表明难以收回的</w:t>
      </w:r>
    </w:p>
    <w:p>
      <w:pPr>
        <w:spacing w:line="324" w:lineRule="auto" w:before="91"/>
        <w:ind w:left="219" w:right="239" w:firstLine="0"/>
        <w:jc w:val="both"/>
        <w:rPr>
          <w:rFonts w:ascii="宋体" w:hAnsi="宋体" w:cs="宋体" w:eastAsia="宋体" w:hint="default"/>
          <w:sz w:val="21"/>
          <w:szCs w:val="21"/>
        </w:rPr>
      </w:pPr>
      <w:r>
        <w:rPr>
          <w:rFonts w:ascii="宋体" w:hAnsi="宋体" w:cs="宋体" w:eastAsia="宋体" w:hint="default"/>
          <w:sz w:val="21"/>
          <w:szCs w:val="21"/>
        </w:rPr>
        <w:t>应收账款或单个欠款单位金额在</w:t>
      </w:r>
      <w:r>
        <w:rPr>
          <w:rFonts w:ascii="宋体" w:hAnsi="宋体" w:cs="宋体" w:eastAsia="宋体" w:hint="default"/>
          <w:spacing w:val="-37"/>
          <w:sz w:val="21"/>
          <w:szCs w:val="21"/>
        </w:rPr>
        <w:t> </w:t>
      </w:r>
      <w:r>
        <w:rPr>
          <w:rFonts w:ascii="Arial Narrow" w:hAnsi="Arial Narrow" w:cs="Arial Narrow" w:eastAsia="Arial Narrow" w:hint="default"/>
          <w:sz w:val="21"/>
          <w:szCs w:val="21"/>
        </w:rPr>
        <w:t>100</w:t>
      </w:r>
      <w:r>
        <w:rPr>
          <w:rFonts w:ascii="Arial Narrow" w:hAnsi="Arial Narrow" w:cs="Arial Narrow" w:eastAsia="Arial Narrow" w:hint="default"/>
          <w:spacing w:val="21"/>
          <w:sz w:val="21"/>
          <w:szCs w:val="21"/>
        </w:rPr>
        <w:t> </w:t>
      </w:r>
      <w:r>
        <w:rPr>
          <w:rFonts w:ascii="宋体" w:hAnsi="宋体" w:cs="宋体" w:eastAsia="宋体" w:hint="default"/>
          <w:sz w:val="21"/>
          <w:szCs w:val="21"/>
        </w:rPr>
        <w:t>万元以下，但账龄在</w:t>
      </w:r>
      <w:r>
        <w:rPr>
          <w:rFonts w:ascii="宋体" w:hAnsi="宋体" w:cs="宋体" w:eastAsia="宋体" w:hint="default"/>
          <w:spacing w:val="-37"/>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19"/>
          <w:sz w:val="21"/>
          <w:szCs w:val="21"/>
        </w:rPr>
        <w:t> </w:t>
      </w:r>
      <w:r>
        <w:rPr>
          <w:rFonts w:ascii="宋体" w:hAnsi="宋体" w:cs="宋体" w:eastAsia="宋体" w:hint="default"/>
          <w:sz w:val="21"/>
          <w:szCs w:val="21"/>
        </w:rPr>
        <w:t>年以上或有证据表明难以收回的其 他应收款，确定为单项金额不重大但按信用风险特征组合后该组合的风险较大的应收账款，坏</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账准备计提比例为</w:t>
      </w:r>
      <w:r>
        <w:rPr>
          <w:rFonts w:ascii="宋体" w:hAnsi="宋体" w:cs="宋体" w:eastAsia="宋体" w:hint="default"/>
          <w:spacing w:val="-54"/>
          <w:sz w:val="21"/>
          <w:szCs w:val="21"/>
        </w:rPr>
        <w:t> </w:t>
      </w:r>
      <w:r>
        <w:rPr>
          <w:rFonts w:ascii="Arial Narrow" w:hAnsi="Arial Narrow" w:cs="Arial Narrow" w:eastAsia="Arial Narrow" w:hint="default"/>
          <w:sz w:val="21"/>
          <w:szCs w:val="21"/>
        </w:rPr>
        <w:t>100%</w:t>
      </w:r>
      <w:r>
        <w:rPr>
          <w:rFonts w:ascii="宋体" w:hAnsi="宋体" w:cs="宋体" w:eastAsia="宋体" w:hint="default"/>
          <w:sz w:val="21"/>
          <w:szCs w:val="21"/>
        </w:rPr>
        <w:t>。</w:t>
      </w:r>
    </w:p>
    <w:p>
      <w:pPr>
        <w:spacing w:after="0" w:line="324" w:lineRule="auto"/>
        <w:jc w:val="both"/>
        <w:rPr>
          <w:rFonts w:ascii="宋体" w:hAnsi="宋体" w:cs="宋体" w:eastAsia="宋体" w:hint="default"/>
          <w:sz w:val="21"/>
          <w:szCs w:val="21"/>
        </w:rPr>
        <w:sectPr>
          <w:pgSz w:w="12240" w:h="15840"/>
          <w:pgMar w:header="0" w:footer="708" w:top="1400" w:bottom="900" w:left="1580" w:right="1560"/>
        </w:sectPr>
      </w:pPr>
    </w:p>
    <w:p>
      <w:pPr>
        <w:spacing w:before="6"/>
        <w:ind w:left="520" w:right="140" w:firstLine="0"/>
        <w:jc w:val="left"/>
        <w:rPr>
          <w:rFonts w:ascii="新宋体" w:hAnsi="新宋体" w:cs="新宋体" w:eastAsia="新宋体" w:hint="default"/>
          <w:sz w:val="21"/>
          <w:szCs w:val="21"/>
        </w:rPr>
      </w:pPr>
      <w:r>
        <w:rPr>
          <w:rFonts w:ascii="新宋体" w:hAnsi="新宋体" w:cs="新宋体" w:eastAsia="新宋体" w:hint="default"/>
          <w:sz w:val="21"/>
          <w:szCs w:val="21"/>
        </w:rPr>
        <w:t>本公司本年度无单项金额虽不重大但单项计提坏账准备的应收款项。</w:t>
      </w:r>
    </w:p>
    <w:p>
      <w:pPr>
        <w:spacing w:line="240" w:lineRule="auto" w:before="10"/>
        <w:rPr>
          <w:rFonts w:ascii="新宋体" w:hAnsi="新宋体" w:cs="新宋体" w:eastAsia="新宋体" w:hint="default"/>
          <w:sz w:val="14"/>
          <w:szCs w:val="14"/>
        </w:rPr>
      </w:pPr>
    </w:p>
    <w:p>
      <w:pPr>
        <w:spacing w:before="0"/>
        <w:ind w:left="520" w:right="140" w:firstLine="0"/>
        <w:jc w:val="left"/>
        <w:rPr>
          <w:rFonts w:ascii="宋体" w:hAnsi="宋体" w:cs="宋体" w:eastAsia="宋体" w:hint="default"/>
          <w:sz w:val="21"/>
          <w:szCs w:val="21"/>
        </w:rPr>
      </w:pPr>
      <w:r>
        <w:rPr>
          <w:rFonts w:ascii="宋体" w:hAnsi="宋体" w:cs="宋体" w:eastAsia="宋体" w:hint="default"/>
          <w:b/>
          <w:bCs/>
          <w:sz w:val="21"/>
          <w:szCs w:val="21"/>
        </w:rPr>
        <w:t>（十）存货</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line="388" w:lineRule="auto" w:before="0"/>
        <w:ind w:left="520" w:right="14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存货的分类</w:t>
      </w:r>
      <w:r>
        <w:rPr>
          <w:rFonts w:ascii="宋体" w:hAnsi="宋体" w:cs="宋体" w:eastAsia="宋体" w:hint="default"/>
          <w:b/>
          <w:bCs/>
          <w:w w:val="99"/>
          <w:sz w:val="21"/>
          <w:szCs w:val="21"/>
        </w:rPr>
        <w:t> </w:t>
      </w:r>
      <w:r>
        <w:rPr>
          <w:rFonts w:ascii="宋体" w:hAnsi="宋体" w:cs="宋体" w:eastAsia="宋体" w:hint="default"/>
          <w:sz w:val="21"/>
          <w:szCs w:val="21"/>
        </w:rPr>
        <w:t>存货是指本公司在日常活动中持有以备出售的产成品或商品、处在生产过程中的在产品、</w:t>
      </w:r>
    </w:p>
    <w:p>
      <w:pPr>
        <w:spacing w:line="355" w:lineRule="auto" w:before="4"/>
        <w:ind w:left="100" w:right="220" w:firstLine="0"/>
        <w:jc w:val="both"/>
        <w:rPr>
          <w:rFonts w:ascii="宋体" w:hAnsi="宋体" w:cs="宋体" w:eastAsia="宋体" w:hint="default"/>
          <w:sz w:val="21"/>
          <w:szCs w:val="21"/>
        </w:rPr>
      </w:pPr>
      <w:r>
        <w:rPr>
          <w:rFonts w:ascii="宋体" w:hAnsi="宋体" w:cs="宋体" w:eastAsia="宋体" w:hint="default"/>
          <w:sz w:val="21"/>
          <w:szCs w:val="21"/>
        </w:rPr>
        <w:t>在生产过程或提供劳务过程中耗用的材料和物料等。主要包括原材料、周转材料、委托加工材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料、包装物、低值易耗品、在产品、库存商品、发出商品等。</w:t>
      </w:r>
    </w:p>
    <w:p>
      <w:pPr>
        <w:spacing w:line="388" w:lineRule="auto" w:before="93"/>
        <w:ind w:left="520" w:right="10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发出存货的计价方法</w:t>
      </w:r>
      <w:r>
        <w:rPr>
          <w:rFonts w:ascii="宋体" w:hAnsi="宋体" w:cs="宋体" w:eastAsia="宋体" w:hint="default"/>
          <w:b/>
          <w:bCs/>
          <w:w w:val="99"/>
          <w:sz w:val="21"/>
          <w:szCs w:val="21"/>
        </w:rPr>
        <w:t> </w:t>
      </w:r>
      <w:r>
        <w:rPr>
          <w:rFonts w:ascii="宋体" w:hAnsi="宋体" w:cs="宋体" w:eastAsia="宋体" w:hint="default"/>
          <w:spacing w:val="-2"/>
          <w:sz w:val="21"/>
          <w:szCs w:val="21"/>
        </w:rPr>
        <w:t>存货在取得时，按成本进行初始计量，包括采购成本、加工成本和其他成本。存货发出时，</w:t>
      </w:r>
    </w:p>
    <w:p>
      <w:pPr>
        <w:spacing w:before="3"/>
        <w:ind w:left="100" w:right="0" w:firstLine="0"/>
        <w:jc w:val="both"/>
        <w:rPr>
          <w:rFonts w:ascii="宋体" w:hAnsi="宋体" w:cs="宋体" w:eastAsia="宋体" w:hint="default"/>
          <w:sz w:val="21"/>
          <w:szCs w:val="21"/>
        </w:rPr>
      </w:pPr>
      <w:r>
        <w:rPr>
          <w:rFonts w:ascii="宋体" w:hAnsi="宋体" w:cs="宋体" w:eastAsia="宋体" w:hint="default"/>
          <w:sz w:val="21"/>
          <w:szCs w:val="21"/>
        </w:rPr>
        <w:t>采用加权平均法确定发出存货的实际成本。</w:t>
      </w:r>
    </w:p>
    <w:p>
      <w:pPr>
        <w:spacing w:line="240" w:lineRule="auto" w:before="6"/>
        <w:rPr>
          <w:rFonts w:ascii="宋体" w:hAnsi="宋体" w:cs="宋体" w:eastAsia="宋体" w:hint="default"/>
          <w:sz w:val="19"/>
          <w:szCs w:val="19"/>
        </w:rPr>
      </w:pPr>
    </w:p>
    <w:p>
      <w:pPr>
        <w:spacing w:line="388" w:lineRule="auto" w:before="0"/>
        <w:ind w:left="520" w:right="14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存货可变现净值的确定依据及存货跌价准备的计提方法</w:t>
      </w:r>
      <w:r>
        <w:rPr>
          <w:rFonts w:ascii="宋体" w:hAnsi="宋体" w:cs="宋体" w:eastAsia="宋体" w:hint="default"/>
          <w:b/>
          <w:bCs/>
          <w:w w:val="99"/>
          <w:sz w:val="21"/>
          <w:szCs w:val="21"/>
        </w:rPr>
        <w:t> </w:t>
      </w:r>
      <w:r>
        <w:rPr>
          <w:rFonts w:ascii="宋体" w:hAnsi="宋体" w:cs="宋体" w:eastAsia="宋体" w:hint="default"/>
          <w:sz w:val="21"/>
          <w:szCs w:val="21"/>
        </w:rPr>
        <w:t>资产负债表日，存货按照成本与可变现净值孰低计量。年末，在对存货进行全面盘点的基</w:t>
      </w:r>
    </w:p>
    <w:p>
      <w:pPr>
        <w:spacing w:line="357" w:lineRule="auto" w:before="4"/>
        <w:ind w:left="100" w:right="220" w:firstLine="0"/>
        <w:jc w:val="both"/>
        <w:rPr>
          <w:rFonts w:ascii="宋体" w:hAnsi="宋体" w:cs="宋体" w:eastAsia="宋体" w:hint="default"/>
          <w:sz w:val="21"/>
          <w:szCs w:val="21"/>
        </w:rPr>
      </w:pPr>
      <w:r>
        <w:rPr>
          <w:rFonts w:ascii="宋体" w:hAnsi="宋体" w:cs="宋体" w:eastAsia="宋体" w:hint="default"/>
          <w:sz w:val="21"/>
          <w:szCs w:val="21"/>
        </w:rPr>
        <w:t>础上，对于存货因被淘汰、全部或部分陈旧过时或销售价格低于成本等原因导致成本高于可变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现净值的部分，提取存货跌价准备。存货跌价准备按单个存货项目的成本高于其可变现净值的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差额提取。其中：对于产成品、商品和用于出售的材料等直接用于出售的商品存货，在正常生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产经营过程中，以该存货的估计售价减去估计的销售费用和相关税费后的金额，确定其可变现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净值；对于需要经过加工的材料存货，在正常生产经营过程中，以所生产的产成品的估计售价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减去至完工时估计将要发生的成本、估计销售费用和相关税费后的金额，确定其可变现净值；</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对于资产负债表日，同一项存货中一部分有合同价格约定、其他部分不存在合同价格的，分别</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确定其可变现净值。与具有类似目的或最终用途并在同一地区生产和销售的产品系列相关，且</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难以将其与该产品系列的其他项目区别开来进行估价的存货，合并计提；对于数量繁多、单价</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较低的存货，按存货类别计提。</w:t>
      </w:r>
    </w:p>
    <w:p>
      <w:pPr>
        <w:spacing w:line="388" w:lineRule="auto" w:before="150"/>
        <w:ind w:left="520" w:right="14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4.</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存货的盘存制度</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本公司的存货盘存制度为永续盘存制。本公司定期对存货进行清查，盘盈利得和盘亏损失</w:t>
      </w:r>
    </w:p>
    <w:p>
      <w:pPr>
        <w:spacing w:before="4"/>
        <w:ind w:left="100" w:right="0" w:firstLine="0"/>
        <w:jc w:val="both"/>
        <w:rPr>
          <w:rFonts w:ascii="宋体" w:hAnsi="宋体" w:cs="宋体" w:eastAsia="宋体" w:hint="default"/>
          <w:sz w:val="21"/>
          <w:szCs w:val="21"/>
        </w:rPr>
      </w:pPr>
      <w:r>
        <w:rPr>
          <w:rFonts w:ascii="宋体" w:hAnsi="宋体" w:cs="宋体" w:eastAsia="宋体" w:hint="default"/>
          <w:sz w:val="21"/>
          <w:szCs w:val="21"/>
        </w:rPr>
        <w:t>计入当期损益。</w:t>
      </w:r>
    </w:p>
    <w:p>
      <w:pPr>
        <w:spacing w:line="240" w:lineRule="auto" w:before="5"/>
        <w:rPr>
          <w:rFonts w:ascii="宋体" w:hAnsi="宋体" w:cs="宋体" w:eastAsia="宋体" w:hint="default"/>
          <w:sz w:val="19"/>
          <w:szCs w:val="19"/>
        </w:rPr>
      </w:pPr>
    </w:p>
    <w:p>
      <w:pPr>
        <w:spacing w:line="388" w:lineRule="auto" w:before="0"/>
        <w:ind w:left="519" w:right="4431"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5.</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低值易耗品和包装物的摊销方法</w:t>
      </w:r>
      <w:r>
        <w:rPr>
          <w:rFonts w:ascii="宋体" w:hAnsi="宋体" w:cs="宋体" w:eastAsia="宋体" w:hint="default"/>
          <w:b/>
          <w:bCs/>
          <w:w w:val="99"/>
          <w:sz w:val="21"/>
          <w:szCs w:val="21"/>
        </w:rPr>
        <w:t> </w:t>
      </w:r>
      <w:r>
        <w:rPr>
          <w:rFonts w:ascii="宋体" w:hAnsi="宋体" w:cs="宋体" w:eastAsia="宋体" w:hint="default"/>
          <w:sz w:val="21"/>
          <w:szCs w:val="21"/>
        </w:rPr>
        <w:t>低值易耗品和包装物采用一次转销法摊销。</w:t>
      </w:r>
    </w:p>
    <w:p>
      <w:pPr>
        <w:spacing w:line="410" w:lineRule="auto" w:before="123"/>
        <w:ind w:left="519" w:right="4431" w:firstLine="0"/>
        <w:jc w:val="left"/>
        <w:rPr>
          <w:rFonts w:ascii="宋体" w:hAnsi="宋体" w:cs="宋体" w:eastAsia="宋体" w:hint="default"/>
          <w:sz w:val="21"/>
          <w:szCs w:val="21"/>
        </w:rPr>
      </w:pPr>
      <w:r>
        <w:rPr>
          <w:rFonts w:ascii="宋体" w:hAnsi="宋体" w:cs="宋体" w:eastAsia="宋体" w:hint="default"/>
          <w:b/>
          <w:bCs/>
          <w:sz w:val="21"/>
          <w:szCs w:val="21"/>
        </w:rPr>
        <w:t>（十一）长期股权投资</w:t>
      </w:r>
      <w:r>
        <w:rPr>
          <w:rFonts w:ascii="宋体" w:hAnsi="宋体" w:cs="宋体" w:eastAsia="宋体" w:hint="default"/>
          <w:b/>
          <w:bCs/>
          <w:w w:val="99"/>
          <w:sz w:val="21"/>
          <w:szCs w:val="21"/>
        </w:rPr>
        <w:t> </w:t>
      </w:r>
      <w:r>
        <w:rPr>
          <w:rFonts w:ascii="宋体" w:hAnsi="宋体" w:cs="宋体" w:eastAsia="宋体" w:hint="default"/>
          <w:sz w:val="21"/>
          <w:szCs w:val="21"/>
        </w:rPr>
        <w:t>本公司的长期股权投资系对子公司的投资。 </w:t>
      </w:r>
      <w:r>
        <w:rPr>
          <w:rFonts w:ascii="Arial Narrow" w:hAnsi="Arial Narrow" w:cs="Arial Narrow" w:eastAsia="Arial Narrow" w:hint="default"/>
          <w:b/>
          <w:bCs/>
          <w:sz w:val="21"/>
          <w:szCs w:val="21"/>
        </w:rPr>
        <w:t>1. </w:t>
      </w:r>
      <w:r>
        <w:rPr>
          <w:rFonts w:ascii="Arial Narrow" w:hAnsi="Arial Narrow" w:cs="Arial Narrow" w:eastAsia="Arial Narrow" w:hint="default"/>
          <w:b/>
          <w:bCs/>
          <w:spacing w:val="4"/>
          <w:sz w:val="21"/>
          <w:szCs w:val="21"/>
        </w:rPr>
        <w:t> </w:t>
      </w:r>
      <w:r>
        <w:rPr>
          <w:rFonts w:ascii="宋体" w:hAnsi="宋体" w:cs="宋体" w:eastAsia="宋体" w:hint="default"/>
          <w:b/>
          <w:bCs/>
          <w:sz w:val="21"/>
          <w:szCs w:val="21"/>
        </w:rPr>
        <w:t>初始投资成本的确定</w:t>
      </w:r>
      <w:r>
        <w:rPr>
          <w:rFonts w:ascii="宋体" w:hAnsi="宋体" w:cs="宋体" w:eastAsia="宋体" w:hint="default"/>
          <w:sz w:val="21"/>
          <w:szCs w:val="21"/>
        </w:rPr>
      </w:r>
    </w:p>
    <w:p>
      <w:pPr>
        <w:spacing w:after="0" w:line="410" w:lineRule="auto"/>
        <w:jc w:val="left"/>
        <w:rPr>
          <w:rFonts w:ascii="宋体" w:hAnsi="宋体" w:cs="宋体" w:eastAsia="宋体" w:hint="default"/>
          <w:sz w:val="21"/>
          <w:szCs w:val="21"/>
        </w:rPr>
        <w:sectPr>
          <w:pgSz w:w="12240" w:h="15840"/>
          <w:pgMar w:header="0" w:footer="708" w:top="1400" w:bottom="900" w:left="1700" w:right="1580"/>
        </w:sectPr>
      </w:pPr>
    </w:p>
    <w:p>
      <w:pPr>
        <w:spacing w:before="6"/>
        <w:ind w:left="640" w:right="0" w:firstLine="0"/>
        <w:jc w:val="left"/>
        <w:rPr>
          <w:rFonts w:ascii="宋体" w:hAnsi="宋体" w:cs="宋体" w:eastAsia="宋体" w:hint="default"/>
          <w:sz w:val="21"/>
          <w:szCs w:val="21"/>
        </w:rPr>
      </w:pPr>
      <w:r>
        <w:rPr>
          <w:rFonts w:ascii="宋体" w:hAnsi="宋体" w:cs="宋体" w:eastAsia="宋体" w:hint="default"/>
          <w:sz w:val="21"/>
          <w:szCs w:val="21"/>
        </w:rPr>
        <w:t>本公司对子公司的投资按照初始投资成本计价，追加或收回投资调整长期股权投资的成本。</w:t>
      </w:r>
    </w:p>
    <w:p>
      <w:pPr>
        <w:spacing w:line="240" w:lineRule="auto" w:before="5"/>
        <w:rPr>
          <w:rFonts w:ascii="宋体" w:hAnsi="宋体" w:cs="宋体" w:eastAsia="宋体" w:hint="default"/>
          <w:sz w:val="19"/>
          <w:szCs w:val="19"/>
        </w:rPr>
      </w:pPr>
    </w:p>
    <w:p>
      <w:pPr>
        <w:spacing w:line="388" w:lineRule="auto" w:before="0"/>
        <w:ind w:left="640"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后续计量及损益确认方法</w:t>
      </w:r>
      <w:r>
        <w:rPr>
          <w:rFonts w:ascii="宋体" w:hAnsi="宋体" w:cs="宋体" w:eastAsia="宋体" w:hint="default"/>
          <w:b/>
          <w:bCs/>
          <w:w w:val="99"/>
          <w:sz w:val="21"/>
          <w:szCs w:val="21"/>
        </w:rPr>
        <w:t> </w:t>
      </w:r>
      <w:r>
        <w:rPr>
          <w:rFonts w:ascii="宋体" w:hAnsi="宋体" w:cs="宋体" w:eastAsia="宋体" w:hint="default"/>
          <w:sz w:val="21"/>
          <w:szCs w:val="21"/>
        </w:rPr>
        <w:t>本公司对子公司的投资的后续计量采用成本法核算，编制合并财务报表时按照权益法进行</w:t>
      </w:r>
    </w:p>
    <w:p>
      <w:pPr>
        <w:spacing w:line="357" w:lineRule="auto" w:before="3"/>
        <w:ind w:left="220" w:right="240" w:firstLine="0"/>
        <w:jc w:val="both"/>
        <w:rPr>
          <w:rFonts w:ascii="宋体" w:hAnsi="宋体" w:cs="宋体" w:eastAsia="宋体" w:hint="default"/>
          <w:sz w:val="21"/>
          <w:szCs w:val="21"/>
        </w:rPr>
      </w:pPr>
      <w:r>
        <w:rPr>
          <w:rFonts w:ascii="宋体" w:hAnsi="宋体" w:cs="宋体" w:eastAsia="宋体" w:hint="default"/>
          <w:sz w:val="21"/>
          <w:szCs w:val="21"/>
        </w:rPr>
        <w:t>调整。除取得投资时实际支付的价款或对价中包含的已宣告但尚未发放的现金股利或利润外，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按照享有被投资单位宣告发放的现金股利或利润确认投资收益。</w:t>
      </w:r>
    </w:p>
    <w:p>
      <w:pPr>
        <w:spacing w:line="388" w:lineRule="auto" w:before="90"/>
        <w:ind w:left="640"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减值测试方法及减值准备计提方法</w:t>
      </w:r>
      <w:r>
        <w:rPr>
          <w:rFonts w:ascii="宋体" w:hAnsi="宋体" w:cs="宋体" w:eastAsia="宋体" w:hint="default"/>
          <w:b/>
          <w:bCs/>
          <w:w w:val="99"/>
          <w:sz w:val="21"/>
          <w:szCs w:val="21"/>
        </w:rPr>
        <w:t> </w:t>
      </w:r>
      <w:r>
        <w:rPr>
          <w:rFonts w:ascii="宋体" w:hAnsi="宋体" w:cs="宋体" w:eastAsia="宋体" w:hint="default"/>
          <w:sz w:val="21"/>
          <w:szCs w:val="21"/>
        </w:rPr>
        <w:t>资产负债表日，若因市价持续下跌或被投资单位经营状况恶化等原因使长期股权投资存在</w:t>
      </w:r>
    </w:p>
    <w:p>
      <w:pPr>
        <w:spacing w:line="357" w:lineRule="auto" w:before="3"/>
        <w:ind w:left="220" w:right="240" w:firstLine="0"/>
        <w:jc w:val="both"/>
        <w:rPr>
          <w:rFonts w:ascii="宋体" w:hAnsi="宋体" w:cs="宋体" w:eastAsia="宋体" w:hint="default"/>
          <w:sz w:val="21"/>
          <w:szCs w:val="21"/>
        </w:rPr>
      </w:pPr>
      <w:r>
        <w:rPr>
          <w:rFonts w:ascii="宋体" w:hAnsi="宋体" w:cs="宋体" w:eastAsia="宋体" w:hint="default"/>
          <w:sz w:val="21"/>
          <w:szCs w:val="21"/>
        </w:rPr>
        <w:t>减值迹象时，根据单项长期股权投资的公允价值减去处置费用后的净额与长期股权投资预计未</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来现金流量的现值两者之间较高者确定长期股权投资的可收回金额。长期股权投资的可收回金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额低于账面价值时，将资产的账面价值减记至可收回金额，减记的金额确认为资产减值损失，</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计入当期损益，同时计提相应的资产减值准备。长期股权投资减值损失一经确认，在以后会计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期间不再转回</w:t>
      </w:r>
    </w:p>
    <w:p>
      <w:pPr>
        <w:spacing w:before="90"/>
        <w:ind w:left="640" w:right="0" w:firstLine="0"/>
        <w:jc w:val="left"/>
        <w:rPr>
          <w:rFonts w:ascii="宋体" w:hAnsi="宋体" w:cs="宋体" w:eastAsia="宋体" w:hint="default"/>
          <w:sz w:val="21"/>
          <w:szCs w:val="21"/>
        </w:rPr>
      </w:pPr>
      <w:r>
        <w:rPr>
          <w:rFonts w:ascii="宋体" w:hAnsi="宋体" w:cs="宋体" w:eastAsia="宋体" w:hint="default"/>
          <w:b/>
          <w:bCs/>
          <w:sz w:val="21"/>
          <w:szCs w:val="21"/>
        </w:rPr>
        <w:t>（十二）固定资产</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line="388" w:lineRule="auto" w:before="0"/>
        <w:ind w:left="640" w:right="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固定资产确认条件</w:t>
      </w:r>
      <w:r>
        <w:rPr>
          <w:rFonts w:ascii="宋体" w:hAnsi="宋体" w:cs="宋体" w:eastAsia="宋体" w:hint="default"/>
          <w:b/>
          <w:bCs/>
          <w:spacing w:val="1"/>
          <w:w w:val="99"/>
          <w:sz w:val="21"/>
          <w:szCs w:val="21"/>
        </w:rPr>
        <w:t> </w:t>
      </w:r>
      <w:r>
        <w:rPr>
          <w:rFonts w:ascii="宋体" w:hAnsi="宋体" w:cs="宋体" w:eastAsia="宋体" w:hint="default"/>
          <w:sz w:val="21"/>
          <w:szCs w:val="21"/>
        </w:rPr>
        <w:t>固定资产指同时满足与该固定资产有关的经济利益很可能流入企业和该固定资产的成本能</w:t>
      </w:r>
    </w:p>
    <w:p>
      <w:pPr>
        <w:spacing w:line="357" w:lineRule="auto" w:before="3"/>
        <w:ind w:left="220" w:right="240" w:firstLine="0"/>
        <w:jc w:val="both"/>
        <w:rPr>
          <w:rFonts w:ascii="宋体" w:hAnsi="宋体" w:cs="宋体" w:eastAsia="宋体" w:hint="default"/>
          <w:sz w:val="21"/>
          <w:szCs w:val="21"/>
        </w:rPr>
      </w:pPr>
      <w:r>
        <w:rPr>
          <w:rFonts w:ascii="宋体" w:hAnsi="宋体" w:cs="宋体" w:eastAsia="宋体" w:hint="default"/>
          <w:sz w:val="21"/>
          <w:szCs w:val="21"/>
        </w:rPr>
        <w:t>够可靠地计量条件的，为生产商品、提供劳务、出租或经营管理而持有的使用寿命超过一个会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计年度的有形资产。</w:t>
      </w:r>
    </w:p>
    <w:p>
      <w:pPr>
        <w:spacing w:line="388" w:lineRule="auto" w:before="90"/>
        <w:ind w:left="640" w:right="0"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各类固定资产的折旧方法</w:t>
      </w:r>
      <w:r>
        <w:rPr>
          <w:rFonts w:ascii="宋体" w:hAnsi="宋体" w:cs="宋体" w:eastAsia="宋体" w:hint="default"/>
          <w:b/>
          <w:bCs/>
          <w:w w:val="99"/>
          <w:sz w:val="21"/>
          <w:szCs w:val="21"/>
        </w:rPr>
        <w:t> </w:t>
      </w:r>
      <w:r>
        <w:rPr>
          <w:rFonts w:ascii="宋体" w:hAnsi="宋体" w:cs="宋体" w:eastAsia="宋体" w:hint="default"/>
          <w:sz w:val="21"/>
          <w:szCs w:val="21"/>
        </w:rPr>
        <w:t>除已提足折旧仍继续使用的固定资产之外，本公司对所有固定资产计提折旧。折旧方法采</w:t>
      </w:r>
    </w:p>
    <w:p>
      <w:pPr>
        <w:spacing w:before="3"/>
        <w:ind w:left="220" w:right="0" w:firstLine="0"/>
        <w:jc w:val="both"/>
        <w:rPr>
          <w:rFonts w:ascii="宋体" w:hAnsi="宋体" w:cs="宋体" w:eastAsia="宋体" w:hint="default"/>
          <w:sz w:val="21"/>
          <w:szCs w:val="21"/>
        </w:rPr>
      </w:pPr>
      <w:r>
        <w:rPr>
          <w:rFonts w:ascii="宋体" w:hAnsi="宋体" w:cs="宋体" w:eastAsia="宋体" w:hint="default"/>
          <w:sz w:val="21"/>
          <w:szCs w:val="21"/>
        </w:rPr>
        <w:t>用年限平均法。</w:t>
      </w:r>
    </w:p>
    <w:p>
      <w:pPr>
        <w:spacing w:line="240" w:lineRule="auto" w:before="6"/>
        <w:rPr>
          <w:rFonts w:ascii="宋体" w:hAnsi="宋体" w:cs="宋体" w:eastAsia="宋体" w:hint="default"/>
          <w:sz w:val="19"/>
          <w:szCs w:val="19"/>
        </w:rPr>
      </w:pPr>
    </w:p>
    <w:p>
      <w:pPr>
        <w:spacing w:line="355" w:lineRule="auto" w:before="0"/>
        <w:ind w:left="220" w:right="238" w:firstLine="420"/>
        <w:jc w:val="both"/>
        <w:rPr>
          <w:rFonts w:ascii="宋体" w:hAnsi="宋体" w:cs="宋体" w:eastAsia="宋体" w:hint="default"/>
          <w:sz w:val="21"/>
          <w:szCs w:val="21"/>
        </w:rPr>
      </w:pPr>
      <w:r>
        <w:rPr>
          <w:rFonts w:ascii="宋体" w:hAnsi="宋体" w:cs="宋体" w:eastAsia="宋体" w:hint="default"/>
          <w:sz w:val="21"/>
          <w:szCs w:val="21"/>
        </w:rPr>
        <w:t>本公司根据固定资产的性质和使用情况，确定固定资产的使用寿命和预计净残值。并在年 度终了，对固定资产的使用寿命、预计净残值和折旧方法进行复核，如与原先估计数存在差异</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的，进行相应的调整。</w:t>
      </w:r>
    </w:p>
    <w:p>
      <w:pPr>
        <w:spacing w:before="33"/>
        <w:ind w:left="640" w:right="0" w:firstLine="0"/>
        <w:jc w:val="left"/>
        <w:rPr>
          <w:rFonts w:ascii="宋体" w:hAnsi="宋体" w:cs="宋体" w:eastAsia="宋体" w:hint="default"/>
          <w:sz w:val="21"/>
          <w:szCs w:val="21"/>
        </w:rPr>
      </w:pPr>
      <w:r>
        <w:rPr>
          <w:rFonts w:ascii="宋体" w:hAnsi="宋体" w:cs="宋体" w:eastAsia="宋体" w:hint="default"/>
          <w:sz w:val="21"/>
          <w:szCs w:val="21"/>
        </w:rPr>
        <w:t>本公司的固定资产类别、折旧年限、估计残值率和年折旧率列示如下：</w:t>
      </w:r>
    </w:p>
    <w:p>
      <w:pPr>
        <w:spacing w:line="240" w:lineRule="auto" w:before="10"/>
        <w:rPr>
          <w:rFonts w:ascii="宋体" w:hAnsi="宋体" w:cs="宋体" w:eastAsia="宋体" w:hint="default"/>
          <w:sz w:val="12"/>
          <w:szCs w:val="12"/>
        </w:rPr>
      </w:pPr>
    </w:p>
    <w:tbl>
      <w:tblPr>
        <w:tblW w:w="0" w:type="auto"/>
        <w:jc w:val="left"/>
        <w:tblInd w:w="104" w:type="dxa"/>
        <w:tblLayout w:type="fixed"/>
        <w:tblCellMar>
          <w:top w:w="0" w:type="dxa"/>
          <w:left w:w="0" w:type="dxa"/>
          <w:bottom w:w="0" w:type="dxa"/>
          <w:right w:w="0" w:type="dxa"/>
        </w:tblCellMar>
        <w:tblLook w:val="01E0"/>
      </w:tblPr>
      <w:tblGrid>
        <w:gridCol w:w="2419"/>
        <w:gridCol w:w="2418"/>
        <w:gridCol w:w="1805"/>
        <w:gridCol w:w="2214"/>
      </w:tblGrid>
      <w:tr>
        <w:trPr>
          <w:trHeight w:val="407" w:hRule="exact"/>
        </w:trPr>
        <w:tc>
          <w:tcPr>
            <w:tcW w:w="24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782" w:right="0"/>
              <w:jc w:val="left"/>
              <w:rPr>
                <w:rFonts w:ascii="宋体" w:hAnsi="宋体" w:cs="宋体" w:eastAsia="宋体" w:hint="default"/>
                <w:sz w:val="21"/>
                <w:szCs w:val="21"/>
              </w:rPr>
            </w:pPr>
            <w:r>
              <w:rPr>
                <w:rFonts w:ascii="宋体" w:hAnsi="宋体" w:cs="宋体" w:eastAsia="宋体" w:hint="default"/>
                <w:sz w:val="21"/>
                <w:szCs w:val="21"/>
              </w:rPr>
              <w:t>资产类别</w:t>
            </w:r>
          </w:p>
        </w:tc>
        <w:tc>
          <w:tcPr>
            <w:tcW w:w="24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预计使用寿命（年）</w:t>
            </w:r>
          </w:p>
        </w:tc>
        <w:tc>
          <w:tcPr>
            <w:tcW w:w="18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预计净残值率</w:t>
            </w:r>
          </w:p>
        </w:tc>
        <w:tc>
          <w:tcPr>
            <w:tcW w:w="22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年折旧率</w:t>
            </w:r>
          </w:p>
        </w:tc>
      </w:tr>
      <w:tr>
        <w:trPr>
          <w:trHeight w:val="407" w:hRule="exact"/>
        </w:trPr>
        <w:tc>
          <w:tcPr>
            <w:tcW w:w="24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2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20</w:t>
            </w:r>
          </w:p>
        </w:tc>
        <w:tc>
          <w:tcPr>
            <w:tcW w:w="18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5%</w:t>
            </w:r>
          </w:p>
        </w:tc>
        <w:tc>
          <w:tcPr>
            <w:tcW w:w="2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4.75%</w:t>
            </w:r>
          </w:p>
        </w:tc>
      </w:tr>
      <w:tr>
        <w:trPr>
          <w:trHeight w:val="408" w:hRule="exact"/>
        </w:trPr>
        <w:tc>
          <w:tcPr>
            <w:tcW w:w="24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电子及办公设备</w:t>
            </w:r>
          </w:p>
        </w:tc>
        <w:tc>
          <w:tcPr>
            <w:tcW w:w="2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3-5</w:t>
            </w:r>
          </w:p>
        </w:tc>
        <w:tc>
          <w:tcPr>
            <w:tcW w:w="18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5%</w:t>
            </w:r>
          </w:p>
        </w:tc>
        <w:tc>
          <w:tcPr>
            <w:tcW w:w="2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19%-31.67%</w:t>
            </w:r>
          </w:p>
        </w:tc>
      </w:tr>
      <w:tr>
        <w:trPr>
          <w:trHeight w:val="407" w:hRule="exact"/>
        </w:trPr>
        <w:tc>
          <w:tcPr>
            <w:tcW w:w="24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2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4-5</w:t>
            </w:r>
          </w:p>
        </w:tc>
        <w:tc>
          <w:tcPr>
            <w:tcW w:w="18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5%</w:t>
            </w:r>
          </w:p>
        </w:tc>
        <w:tc>
          <w:tcPr>
            <w:tcW w:w="2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19%-23.75%</w:t>
            </w:r>
          </w:p>
        </w:tc>
      </w:tr>
    </w:tbl>
    <w:p>
      <w:pPr>
        <w:spacing w:before="27"/>
        <w:ind w:left="642" w:right="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Arial Narrow" w:hAnsi="Arial Narrow" w:cs="Arial Narrow" w:eastAsia="Arial Narrow" w:hint="default"/>
          <w:b/>
          <w:bCs/>
          <w:spacing w:val="44"/>
          <w:sz w:val="21"/>
          <w:szCs w:val="21"/>
        </w:rPr>
        <w:t> </w:t>
      </w:r>
      <w:r>
        <w:rPr>
          <w:rFonts w:ascii="宋体" w:hAnsi="宋体" w:cs="宋体" w:eastAsia="宋体" w:hint="default"/>
          <w:b/>
          <w:bCs/>
          <w:sz w:val="21"/>
          <w:szCs w:val="21"/>
        </w:rPr>
        <w:t>固定资产的减值测试方法、减值准备计提方法</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2240" w:h="15840"/>
          <w:pgMar w:header="0" w:footer="708" w:top="1400" w:bottom="900" w:left="1580" w:right="1560"/>
        </w:sectPr>
      </w:pPr>
    </w:p>
    <w:p>
      <w:pPr>
        <w:spacing w:line="357" w:lineRule="auto" w:before="6"/>
        <w:ind w:left="120" w:right="218" w:firstLine="420"/>
        <w:jc w:val="both"/>
        <w:rPr>
          <w:rFonts w:ascii="宋体" w:hAnsi="宋体" w:cs="宋体" w:eastAsia="宋体" w:hint="default"/>
          <w:sz w:val="21"/>
          <w:szCs w:val="21"/>
        </w:rPr>
      </w:pPr>
      <w:r>
        <w:rPr>
          <w:rFonts w:ascii="宋体" w:hAnsi="宋体" w:cs="宋体" w:eastAsia="宋体" w:hint="default"/>
          <w:sz w:val="21"/>
          <w:szCs w:val="21"/>
        </w:rPr>
        <w:t>资产负债表日，固定资产按照账面价值与可收回金额孰低计价。若单项固定资产的可收回 金额低于账面价值，将资产的账面价值减记至可收回金额，减记的金额确认为资产减值损失，</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计入当期损益，同时计提相应的资产减值准备。固定资产减值损失一经确认，在以后会计期间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不再转回。</w:t>
      </w:r>
    </w:p>
    <w:p>
      <w:pPr>
        <w:spacing w:line="388" w:lineRule="auto" w:before="91"/>
        <w:ind w:left="539" w:right="114" w:firstLine="2"/>
        <w:jc w:val="left"/>
        <w:rPr>
          <w:rFonts w:ascii="宋体" w:hAnsi="宋体" w:cs="宋体" w:eastAsia="宋体" w:hint="default"/>
          <w:sz w:val="21"/>
          <w:szCs w:val="21"/>
        </w:rPr>
      </w:pPr>
      <w:r>
        <w:rPr>
          <w:rFonts w:ascii="Arial Narrow" w:hAnsi="Arial Narrow" w:cs="Arial Narrow" w:eastAsia="Arial Narrow" w:hint="default"/>
          <w:b/>
          <w:bCs/>
          <w:sz w:val="21"/>
          <w:szCs w:val="21"/>
        </w:rPr>
        <w:t>4.</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其他说明</w:t>
      </w:r>
      <w:r>
        <w:rPr>
          <w:rFonts w:ascii="宋体" w:hAnsi="宋体" w:cs="宋体" w:eastAsia="宋体" w:hint="default"/>
          <w:b/>
          <w:bCs/>
          <w:w w:val="99"/>
          <w:sz w:val="21"/>
          <w:szCs w:val="21"/>
        </w:rPr>
        <w:t> </w:t>
      </w:r>
      <w:r>
        <w:rPr>
          <w:rFonts w:ascii="宋体" w:hAnsi="宋体" w:cs="宋体" w:eastAsia="宋体" w:hint="default"/>
          <w:sz w:val="21"/>
          <w:szCs w:val="21"/>
        </w:rPr>
        <w:t>本公司固定资产按成本进行初始计量。其中，外购的固定资产的成本包括买价、进口关税</w:t>
      </w:r>
    </w:p>
    <w:p>
      <w:pPr>
        <w:spacing w:line="357" w:lineRule="auto" w:before="4"/>
        <w:ind w:left="119" w:right="105" w:firstLine="0"/>
        <w:jc w:val="left"/>
        <w:rPr>
          <w:rFonts w:ascii="宋体" w:hAnsi="宋体" w:cs="宋体" w:eastAsia="宋体" w:hint="default"/>
          <w:sz w:val="21"/>
          <w:szCs w:val="21"/>
        </w:rPr>
      </w:pPr>
      <w:r>
        <w:rPr>
          <w:rFonts w:ascii="宋体" w:hAnsi="宋体" w:cs="宋体" w:eastAsia="宋体" w:hint="default"/>
          <w:sz w:val="21"/>
          <w:szCs w:val="21"/>
        </w:rPr>
        <w:t>等相关税费，以及为使固定资产达到预定可使用状态前所发生的可直接归属于该资产的其他支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出。自行建造固定资产的成本，由建造该项资产达到预定可使用状态前所发生的必要支出构成。</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投资者投入的固定资产，按投资合同或协议约定的价值作为入账价值，但合同或协议约定价值</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不公允的按公允价值入账。购买固定资产的价款超过正常信用条件延期支付，实质上具有融资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性质的，固定资产的成本以购买价款的现值为基础确定。实际支付的价款与购买价款的现值之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间的差额，除应予资本化的以外，在信用期间内计入当期损益。</w:t>
      </w:r>
    </w:p>
    <w:p>
      <w:pPr>
        <w:spacing w:line="357" w:lineRule="auto" w:before="30"/>
        <w:ind w:left="119" w:right="101" w:firstLine="420"/>
        <w:jc w:val="left"/>
        <w:rPr>
          <w:rFonts w:ascii="宋体" w:hAnsi="宋体" w:cs="宋体" w:eastAsia="宋体" w:hint="default"/>
          <w:sz w:val="21"/>
          <w:szCs w:val="21"/>
        </w:rPr>
      </w:pPr>
      <w:r>
        <w:rPr>
          <w:rFonts w:ascii="宋体" w:hAnsi="宋体" w:cs="宋体" w:eastAsia="宋体" w:hint="default"/>
          <w:spacing w:val="-2"/>
          <w:sz w:val="21"/>
          <w:szCs w:val="21"/>
        </w:rPr>
        <w:t>当固定资产被处置、或者预期通过使用或处置不能产生经济利益时，终止确认该固定资产。</w:t>
      </w:r>
      <w:r>
        <w:rPr>
          <w:rFonts w:ascii="宋体" w:hAnsi="宋体" w:cs="宋体" w:eastAsia="宋体" w:hint="default"/>
          <w:sz w:val="21"/>
          <w:szCs w:val="21"/>
        </w:rPr>
        <w:t> 固定资产出售、转让、报废或毁损的处置收入扣除其账面价值和相关税费后的金额计入当期损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益。</w:t>
      </w:r>
    </w:p>
    <w:p>
      <w:pPr>
        <w:spacing w:line="408" w:lineRule="auto" w:before="90"/>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（十三）在建工程</w:t>
      </w:r>
      <w:r>
        <w:rPr>
          <w:rFonts w:ascii="宋体" w:hAnsi="宋体" w:cs="宋体" w:eastAsia="宋体" w:hint="default"/>
          <w:b/>
          <w:bCs/>
          <w:spacing w:val="1"/>
          <w:w w:val="99"/>
          <w:sz w:val="21"/>
          <w:szCs w:val="21"/>
        </w:rPr>
        <w:t> </w:t>
      </w:r>
      <w:r>
        <w:rPr>
          <w:rFonts w:ascii="宋体" w:hAnsi="宋体" w:cs="宋体" w:eastAsia="宋体" w:hint="default"/>
          <w:sz w:val="21"/>
          <w:szCs w:val="21"/>
        </w:rPr>
        <w:t>本公司自行建造的在建工程按实际成本计价，实际成本由建造该项资产达到预定可使用状</w:t>
      </w:r>
    </w:p>
    <w:p>
      <w:pPr>
        <w:spacing w:line="235" w:lineRule="exact" w:before="0"/>
        <w:ind w:left="119" w:right="114" w:firstLine="0"/>
        <w:jc w:val="left"/>
        <w:rPr>
          <w:rFonts w:ascii="宋体" w:hAnsi="宋体" w:cs="宋体" w:eastAsia="宋体" w:hint="default"/>
          <w:sz w:val="21"/>
          <w:szCs w:val="21"/>
        </w:rPr>
      </w:pPr>
      <w:r>
        <w:rPr>
          <w:rFonts w:ascii="宋体" w:hAnsi="宋体" w:cs="宋体" w:eastAsia="宋体" w:hint="default"/>
          <w:sz w:val="21"/>
          <w:szCs w:val="21"/>
        </w:rPr>
        <w:t>态前所发生的必要支出构成。本公司的在建工程主要为装修工程。</w:t>
      </w:r>
    </w:p>
    <w:p>
      <w:pPr>
        <w:spacing w:line="333" w:lineRule="auto" w:before="105"/>
        <w:ind w:left="119" w:right="105" w:firstLine="420"/>
        <w:jc w:val="left"/>
        <w:rPr>
          <w:rFonts w:ascii="宋体" w:hAnsi="宋体" w:cs="宋体" w:eastAsia="宋体" w:hint="default"/>
          <w:sz w:val="21"/>
          <w:szCs w:val="21"/>
        </w:rPr>
      </w:pPr>
      <w:r>
        <w:rPr>
          <w:rFonts w:ascii="宋体" w:hAnsi="宋体" w:cs="宋体" w:eastAsia="宋体" w:hint="default"/>
          <w:sz w:val="21"/>
          <w:szCs w:val="21"/>
        </w:rPr>
        <w:t>已达到预定可使用状态但尚未办理竣工决算的固定资产，按照估计价值确定其成本，并计 </w:t>
      </w:r>
      <w:r>
        <w:rPr>
          <w:rFonts w:ascii="宋体" w:hAnsi="宋体" w:cs="宋体" w:eastAsia="宋体" w:hint="default"/>
          <w:spacing w:val="-2"/>
          <w:sz w:val="21"/>
          <w:szCs w:val="21"/>
        </w:rPr>
        <w:t>提折旧；待办理竣工决算后，再按实际成本调整原来的暂估价值，但不调整原已计提的折旧额。</w:t>
      </w:r>
    </w:p>
    <w:p>
      <w:pPr>
        <w:spacing w:line="357" w:lineRule="auto" w:before="26"/>
        <w:ind w:left="119" w:right="218" w:firstLine="420"/>
        <w:jc w:val="both"/>
        <w:rPr>
          <w:rFonts w:ascii="宋体" w:hAnsi="宋体" w:cs="宋体" w:eastAsia="宋体" w:hint="default"/>
          <w:sz w:val="21"/>
          <w:szCs w:val="21"/>
        </w:rPr>
      </w:pPr>
      <w:r>
        <w:rPr>
          <w:rFonts w:ascii="宋体" w:hAnsi="宋体" w:cs="宋体" w:eastAsia="宋体" w:hint="default"/>
          <w:sz w:val="21"/>
          <w:szCs w:val="21"/>
        </w:rPr>
        <w:t>资产负债表日，本公司对在建工程按照账面价值与可收回金额孰低计量，按单项工程可收 回金额低于账面价值的差额，确认为资产减值损失，计入当期损益，同时计提相应的资产减值</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准备。在建工程减值损失一经确认，在以后会计期间不再转回。</w:t>
      </w:r>
    </w:p>
    <w:p>
      <w:pPr>
        <w:spacing w:line="410" w:lineRule="auto" w:before="90"/>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（十四）借款费用</w:t>
      </w:r>
      <w:r>
        <w:rPr>
          <w:rFonts w:ascii="宋体" w:hAnsi="宋体" w:cs="宋体" w:eastAsia="宋体" w:hint="default"/>
          <w:b/>
          <w:bCs/>
          <w:spacing w:val="1"/>
          <w:w w:val="99"/>
          <w:sz w:val="21"/>
          <w:szCs w:val="21"/>
        </w:rPr>
        <w:t> </w:t>
      </w:r>
      <w:r>
        <w:rPr>
          <w:rFonts w:ascii="宋体" w:hAnsi="宋体" w:cs="宋体" w:eastAsia="宋体" w:hint="default"/>
          <w:sz w:val="21"/>
          <w:szCs w:val="21"/>
        </w:rPr>
        <w:t>本公司发生的借款费用，可直接归属于符合资本化条件的资产的购建或者生产的，予以资</w:t>
      </w:r>
    </w:p>
    <w:p>
      <w:pPr>
        <w:spacing w:line="259" w:lineRule="exact" w:before="0"/>
        <w:ind w:left="119" w:right="0" w:firstLine="0"/>
        <w:jc w:val="left"/>
        <w:rPr>
          <w:rFonts w:ascii="宋体" w:hAnsi="宋体" w:cs="宋体" w:eastAsia="宋体" w:hint="default"/>
          <w:sz w:val="21"/>
          <w:szCs w:val="21"/>
        </w:rPr>
      </w:pPr>
      <w:r>
        <w:rPr>
          <w:rFonts w:ascii="宋体" w:hAnsi="宋体" w:cs="宋体" w:eastAsia="宋体" w:hint="default"/>
          <w:sz w:val="21"/>
          <w:szCs w:val="21"/>
        </w:rPr>
        <w:t>本化，计入相关资产成本；其他借款费用，在发生时根据其发生额确认为费用，计入当期损益。</w:t>
      </w:r>
    </w:p>
    <w:p>
      <w:pPr>
        <w:spacing w:line="357" w:lineRule="auto" w:before="133"/>
        <w:ind w:left="119" w:right="114" w:firstLine="0"/>
        <w:jc w:val="left"/>
        <w:rPr>
          <w:rFonts w:ascii="宋体" w:hAnsi="宋体" w:cs="宋体" w:eastAsia="宋体" w:hint="default"/>
          <w:sz w:val="21"/>
          <w:szCs w:val="21"/>
        </w:rPr>
      </w:pPr>
      <w:r>
        <w:rPr>
          <w:rFonts w:ascii="宋体" w:hAnsi="宋体" w:cs="宋体" w:eastAsia="宋体" w:hint="default"/>
          <w:sz w:val="21"/>
          <w:szCs w:val="21"/>
        </w:rPr>
        <w:t>符合资本化条件的资产，是指需要经过相当长时间的购建或者生产活动才能达到预定可使用或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者可销售状态的固定资产、投资性房地产和存货等资产。</w:t>
      </w:r>
    </w:p>
    <w:p>
      <w:pPr>
        <w:spacing w:line="348" w:lineRule="auto" w:before="30"/>
        <w:ind w:left="119" w:right="215" w:firstLine="420"/>
        <w:jc w:val="both"/>
        <w:rPr>
          <w:rFonts w:ascii="宋体" w:hAnsi="宋体" w:cs="宋体" w:eastAsia="宋体" w:hint="default"/>
          <w:sz w:val="21"/>
          <w:szCs w:val="21"/>
        </w:rPr>
      </w:pPr>
      <w:r>
        <w:rPr>
          <w:rFonts w:ascii="宋体" w:hAnsi="宋体" w:cs="宋体" w:eastAsia="宋体" w:hint="default"/>
          <w:spacing w:val="-2"/>
          <w:w w:val="99"/>
          <w:sz w:val="21"/>
          <w:szCs w:val="21"/>
        </w:rPr>
        <w:t>同时满足下列条件时，借款费用开始资本化：（</w:t>
      </w:r>
      <w:r>
        <w:rPr>
          <w:rFonts w:ascii="Arial Narrow" w:hAnsi="Arial Narrow" w:cs="Arial Narrow" w:eastAsia="Arial Narrow" w:hint="default"/>
          <w:spacing w:val="-2"/>
          <w:w w:val="99"/>
          <w:sz w:val="21"/>
          <w:szCs w:val="21"/>
        </w:rPr>
        <w:t>1</w:t>
      </w:r>
      <w:r>
        <w:rPr>
          <w:rFonts w:ascii="宋体" w:hAnsi="宋体" w:cs="宋体" w:eastAsia="宋体" w:hint="default"/>
          <w:spacing w:val="-2"/>
          <w:w w:val="99"/>
          <w:sz w:val="21"/>
          <w:szCs w:val="21"/>
        </w:rPr>
        <w:t>）资产支出已经发生，资产支出包括为购</w:t>
      </w:r>
      <w:r>
        <w:rPr>
          <w:rFonts w:ascii="宋体" w:hAnsi="宋体" w:cs="宋体" w:eastAsia="宋体" w:hint="default"/>
          <w:spacing w:val="1"/>
          <w:sz w:val="21"/>
          <w:szCs w:val="21"/>
        </w:rPr>
        <w:t> </w:t>
      </w:r>
      <w:r>
        <w:rPr>
          <w:rFonts w:ascii="宋体" w:hAnsi="宋体" w:cs="宋体" w:eastAsia="宋体" w:hint="default"/>
          <w:sz w:val="21"/>
          <w:szCs w:val="21"/>
        </w:rPr>
        <w:t>建或者生产符合资本化条件的资产而以支付现金、转移非现金资产或者承担带息债务形式发生</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4"/>
          <w:w w:val="99"/>
          <w:sz w:val="21"/>
          <w:szCs w:val="21"/>
        </w:rPr>
        <w:t>的支出；（</w:t>
      </w:r>
      <w:r>
        <w:rPr>
          <w:rFonts w:ascii="Arial Narrow" w:hAnsi="Arial Narrow" w:cs="Arial Narrow" w:eastAsia="Arial Narrow" w:hint="default"/>
          <w:spacing w:val="-4"/>
          <w:w w:val="99"/>
          <w:sz w:val="21"/>
          <w:szCs w:val="21"/>
        </w:rPr>
        <w:t>2</w:t>
      </w:r>
      <w:r>
        <w:rPr>
          <w:rFonts w:ascii="宋体" w:hAnsi="宋体" w:cs="宋体" w:eastAsia="宋体" w:hint="default"/>
          <w:spacing w:val="-4"/>
          <w:w w:val="99"/>
          <w:sz w:val="21"/>
          <w:szCs w:val="21"/>
        </w:rPr>
        <w:t>）借款费用已经发生；（</w:t>
      </w:r>
      <w:r>
        <w:rPr>
          <w:rFonts w:ascii="Arial Narrow" w:hAnsi="Arial Narrow" w:cs="Arial Narrow" w:eastAsia="Arial Narrow" w:hint="default"/>
          <w:spacing w:val="-4"/>
          <w:w w:val="99"/>
          <w:sz w:val="21"/>
          <w:szCs w:val="21"/>
        </w:rPr>
        <w:t>3</w:t>
      </w:r>
      <w:r>
        <w:rPr>
          <w:rFonts w:ascii="宋体" w:hAnsi="宋体" w:cs="宋体" w:eastAsia="宋体" w:hint="default"/>
          <w:spacing w:val="-4"/>
          <w:w w:val="99"/>
          <w:sz w:val="21"/>
          <w:szCs w:val="21"/>
        </w:rPr>
        <w:t>）为使资产达到预定可使用或者可销售状态所必要的购建</w:t>
      </w:r>
      <w:r>
        <w:rPr>
          <w:rFonts w:ascii="宋体" w:hAnsi="宋体" w:cs="宋体" w:eastAsia="宋体" w:hint="default"/>
          <w:w w:val="99"/>
          <w:sz w:val="21"/>
          <w:szCs w:val="21"/>
        </w:rPr>
      </w:r>
    </w:p>
    <w:p>
      <w:pPr>
        <w:spacing w:after="0" w:line="348" w:lineRule="auto"/>
        <w:jc w:val="both"/>
        <w:rPr>
          <w:rFonts w:ascii="宋体" w:hAnsi="宋体" w:cs="宋体" w:eastAsia="宋体" w:hint="default"/>
          <w:sz w:val="21"/>
          <w:szCs w:val="21"/>
        </w:rPr>
        <w:sectPr>
          <w:footerReference w:type="default" r:id="rId68"/>
          <w:pgSz w:w="12240" w:h="15840"/>
          <w:pgMar w:footer="708" w:header="0" w:top="1400" w:bottom="900" w:left="1680" w:right="1580"/>
          <w:pgNumType w:start="110"/>
        </w:sectPr>
      </w:pPr>
    </w:p>
    <w:p>
      <w:pPr>
        <w:spacing w:line="355" w:lineRule="auto" w:before="6"/>
        <w:ind w:left="640" w:right="0" w:hanging="420"/>
        <w:jc w:val="left"/>
        <w:rPr>
          <w:rFonts w:ascii="宋体" w:hAnsi="宋体" w:cs="宋体" w:eastAsia="宋体" w:hint="default"/>
          <w:sz w:val="21"/>
          <w:szCs w:val="21"/>
        </w:rPr>
      </w:pPr>
      <w:r>
        <w:rPr>
          <w:rFonts w:ascii="宋体" w:hAnsi="宋体" w:cs="宋体" w:eastAsia="宋体" w:hint="default"/>
          <w:sz w:val="21"/>
          <w:szCs w:val="21"/>
        </w:rPr>
        <w:t>或者生产活动已经开始。 在资本化期间内，每一会计期间的资本化金额，为购建或者生产符合资本化条件的资产而</w:t>
      </w:r>
    </w:p>
    <w:p>
      <w:pPr>
        <w:spacing w:line="357" w:lineRule="auto" w:before="33"/>
        <w:ind w:left="0" w:right="237" w:firstLine="0"/>
        <w:jc w:val="right"/>
        <w:rPr>
          <w:rFonts w:ascii="宋体" w:hAnsi="宋体" w:cs="宋体" w:eastAsia="宋体" w:hint="default"/>
          <w:sz w:val="21"/>
          <w:szCs w:val="21"/>
        </w:rPr>
      </w:pPr>
      <w:r>
        <w:rPr>
          <w:rFonts w:ascii="宋体" w:hAnsi="宋体" w:cs="宋体" w:eastAsia="宋体" w:hint="default"/>
          <w:sz w:val="21"/>
          <w:szCs w:val="21"/>
        </w:rPr>
        <w:t>借入专门借款的，以专门借款当期实际发生的利息费用，减去将尚未动用的借款资金存入银行 取得的利息收入或进行暂时性投资取得的投资收益后的金额确定。为购建或者生产符合资本化 条件的资产而占用了一般借款的，根据累计资产支出超过专门借款部分的资产支出加权平均数 乘以所占用一般借款的资本化率，计算确定一般借款应予资本化的利息金额。资本化率根据一 般借款加权平均利率计算确定。利息资本化金额，不超过当期相关借款实际发生的利息金额。</w:t>
      </w:r>
    </w:p>
    <w:p>
      <w:pPr>
        <w:spacing w:line="350" w:lineRule="auto" w:before="150"/>
        <w:ind w:left="220" w:right="237" w:firstLine="420"/>
        <w:jc w:val="both"/>
        <w:rPr>
          <w:rFonts w:ascii="宋体" w:hAnsi="宋体" w:cs="宋体" w:eastAsia="宋体" w:hint="default"/>
          <w:sz w:val="21"/>
          <w:szCs w:val="21"/>
        </w:rPr>
      </w:pPr>
      <w:r>
        <w:rPr>
          <w:rFonts w:ascii="宋体" w:hAnsi="宋体" w:cs="宋体" w:eastAsia="宋体" w:hint="default"/>
          <w:sz w:val="21"/>
          <w:szCs w:val="21"/>
        </w:rPr>
        <w:t>符合资本化条件的资产在购建或者生产过程中发生非正常中断、且中断时间连续超过 </w:t>
      </w:r>
      <w:r>
        <w:rPr>
          <w:rFonts w:ascii="Arial Narrow" w:hAnsi="Arial Narrow" w:cs="Arial Narrow" w:eastAsia="Arial Narrow" w:hint="default"/>
          <w:sz w:val="21"/>
          <w:szCs w:val="21"/>
        </w:rPr>
        <w:t>3</w:t>
      </w:r>
      <w:r>
        <w:rPr>
          <w:rFonts w:ascii="Arial Narrow" w:hAnsi="Arial Narrow" w:cs="Arial Narrow" w:eastAsia="Arial Narrow" w:hint="default"/>
          <w:spacing w:val="-10"/>
          <w:sz w:val="21"/>
          <w:szCs w:val="21"/>
        </w:rPr>
        <w:t> </w:t>
      </w:r>
      <w:r>
        <w:rPr>
          <w:rFonts w:ascii="宋体" w:hAnsi="宋体" w:cs="宋体" w:eastAsia="宋体" w:hint="default"/>
          <w:sz w:val="21"/>
          <w:szCs w:val="21"/>
        </w:rPr>
        <w:t>个 月的，暂停借款费用的资本化。在中断期间发生的借款费用确认为费用，计入当期损益，直至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资产的购建或者生产活动重新开始。如果中断是所购建或者生产的符合资本化条件的资产达到</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预定可使用或者可销售状态必要的程序，借款费用继续资本化。</w:t>
      </w:r>
    </w:p>
    <w:p>
      <w:pPr>
        <w:spacing w:line="355" w:lineRule="auto" w:before="38"/>
        <w:ind w:left="220" w:right="238" w:firstLine="420"/>
        <w:jc w:val="both"/>
        <w:rPr>
          <w:rFonts w:ascii="宋体" w:hAnsi="宋体" w:cs="宋体" w:eastAsia="宋体" w:hint="default"/>
          <w:sz w:val="21"/>
          <w:szCs w:val="21"/>
        </w:rPr>
      </w:pPr>
      <w:r>
        <w:rPr>
          <w:rFonts w:ascii="宋体" w:hAnsi="宋体" w:cs="宋体" w:eastAsia="宋体" w:hint="default"/>
          <w:sz w:val="21"/>
          <w:szCs w:val="21"/>
        </w:rPr>
        <w:t>购建或者生产符合资本化条件的资产达到预定可使用或者可销售状态时，停止借款费用资 本化。</w:t>
      </w:r>
    </w:p>
    <w:p>
      <w:pPr>
        <w:spacing w:line="408" w:lineRule="auto" w:before="93"/>
        <w:ind w:left="640" w:right="0" w:firstLine="0"/>
        <w:jc w:val="left"/>
        <w:rPr>
          <w:rFonts w:ascii="宋体" w:hAnsi="宋体" w:cs="宋体" w:eastAsia="宋体" w:hint="default"/>
          <w:sz w:val="21"/>
          <w:szCs w:val="21"/>
        </w:rPr>
      </w:pPr>
      <w:r>
        <w:rPr>
          <w:rFonts w:ascii="宋体" w:hAnsi="宋体" w:cs="宋体" w:eastAsia="宋体" w:hint="default"/>
          <w:b/>
          <w:bCs/>
          <w:sz w:val="21"/>
          <w:szCs w:val="21"/>
        </w:rPr>
        <w:t>（十五）无形资产与开发支出</w:t>
      </w:r>
      <w:r>
        <w:rPr>
          <w:rFonts w:ascii="宋体" w:hAnsi="宋体" w:cs="宋体" w:eastAsia="宋体" w:hint="default"/>
          <w:b/>
          <w:bCs/>
          <w:spacing w:val="1"/>
          <w:w w:val="99"/>
          <w:sz w:val="21"/>
          <w:szCs w:val="21"/>
        </w:rPr>
        <w:t> </w:t>
      </w:r>
      <w:r>
        <w:rPr>
          <w:rFonts w:ascii="宋体" w:hAnsi="宋体" w:cs="宋体" w:eastAsia="宋体" w:hint="default"/>
          <w:sz w:val="21"/>
          <w:szCs w:val="21"/>
        </w:rPr>
        <w:t>无形资产是指本公司拥有或者控制的没有实物形态的可辨认非货币性资产，主要为计算机</w:t>
      </w:r>
    </w:p>
    <w:p>
      <w:pPr>
        <w:spacing w:line="261" w:lineRule="exact" w:before="0"/>
        <w:ind w:left="220" w:right="0" w:firstLine="0"/>
        <w:jc w:val="left"/>
        <w:rPr>
          <w:rFonts w:ascii="宋体" w:hAnsi="宋体" w:cs="宋体" w:eastAsia="宋体" w:hint="default"/>
          <w:sz w:val="21"/>
          <w:szCs w:val="21"/>
        </w:rPr>
      </w:pPr>
      <w:r>
        <w:rPr>
          <w:rFonts w:ascii="宋体" w:hAnsi="宋体" w:cs="宋体" w:eastAsia="宋体" w:hint="default"/>
          <w:sz w:val="21"/>
          <w:szCs w:val="21"/>
        </w:rPr>
        <w:t>软件和商标权。</w:t>
      </w:r>
    </w:p>
    <w:p>
      <w:pPr>
        <w:spacing w:line="240" w:lineRule="auto" w:before="6"/>
        <w:rPr>
          <w:rFonts w:ascii="宋体" w:hAnsi="宋体" w:cs="宋体" w:eastAsia="宋体" w:hint="default"/>
          <w:sz w:val="19"/>
          <w:szCs w:val="19"/>
        </w:rPr>
      </w:pPr>
    </w:p>
    <w:p>
      <w:pPr>
        <w:spacing w:line="357" w:lineRule="auto" w:before="0"/>
        <w:ind w:left="220" w:right="238" w:firstLine="420"/>
        <w:jc w:val="both"/>
        <w:rPr>
          <w:rFonts w:ascii="宋体" w:hAnsi="宋体" w:cs="宋体" w:eastAsia="宋体" w:hint="default"/>
          <w:sz w:val="21"/>
          <w:szCs w:val="21"/>
        </w:rPr>
      </w:pPr>
      <w:r>
        <w:rPr>
          <w:rFonts w:ascii="宋体" w:hAnsi="宋体" w:cs="宋体" w:eastAsia="宋体" w:hint="default"/>
          <w:sz w:val="21"/>
          <w:szCs w:val="21"/>
        </w:rPr>
        <w:t>无形资产按照成本进行初始计量。购入的无形资产，按实际支付的价款和相关支出作为实 际成本。投资者投入的无形资产，按投资合同或协议约定的价值确定实际成本，但合同或协议</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约定价值不公允的，按公允价值确定实际成本。</w:t>
      </w:r>
    </w:p>
    <w:p>
      <w:pPr>
        <w:spacing w:line="357" w:lineRule="auto" w:before="30"/>
        <w:ind w:left="220" w:right="238" w:firstLine="420"/>
        <w:jc w:val="both"/>
        <w:rPr>
          <w:rFonts w:ascii="宋体" w:hAnsi="宋体" w:cs="宋体" w:eastAsia="宋体" w:hint="default"/>
          <w:sz w:val="21"/>
          <w:szCs w:val="21"/>
        </w:rPr>
      </w:pPr>
      <w:r>
        <w:rPr>
          <w:rFonts w:ascii="宋体" w:hAnsi="宋体" w:cs="宋体" w:eastAsia="宋体" w:hint="default"/>
          <w:sz w:val="21"/>
          <w:szCs w:val="21"/>
        </w:rPr>
        <w:t>本公司在取得无形资产时分析判断其使用寿命，划分为使用寿命有限和使用寿命不确定的 无形资产。</w:t>
      </w:r>
    </w:p>
    <w:p>
      <w:pPr>
        <w:spacing w:line="357" w:lineRule="auto" w:before="30"/>
        <w:ind w:left="220" w:right="238" w:firstLine="420"/>
        <w:jc w:val="both"/>
        <w:rPr>
          <w:rFonts w:ascii="宋体" w:hAnsi="宋体" w:cs="宋体" w:eastAsia="宋体" w:hint="default"/>
          <w:sz w:val="21"/>
          <w:szCs w:val="21"/>
        </w:rPr>
      </w:pPr>
      <w:r>
        <w:rPr>
          <w:rFonts w:ascii="宋体" w:hAnsi="宋体" w:cs="宋体" w:eastAsia="宋体" w:hint="default"/>
          <w:sz w:val="21"/>
          <w:szCs w:val="21"/>
        </w:rPr>
        <w:t>使用寿命有限的无形资产，在使用寿命内采用直线法摊销，并在年度终了，对无形资产的 使用寿命和摊销方法进行复核，如与原先估计数存在差异的，进行相应的调整。使用寿命有限</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的无形资产摊销方法列示如下：</w:t>
      </w:r>
    </w:p>
    <w:p>
      <w:pPr>
        <w:spacing w:line="240" w:lineRule="auto" w:before="12"/>
        <w:rPr>
          <w:rFonts w:ascii="宋体" w:hAnsi="宋体" w:cs="宋体" w:eastAsia="宋体" w:hint="default"/>
          <w:sz w:val="4"/>
          <w:szCs w:val="4"/>
        </w:rPr>
      </w:pPr>
    </w:p>
    <w:tbl>
      <w:tblPr>
        <w:tblW w:w="0" w:type="auto"/>
        <w:jc w:val="left"/>
        <w:tblInd w:w="104" w:type="dxa"/>
        <w:tblLayout w:type="fixed"/>
        <w:tblCellMar>
          <w:top w:w="0" w:type="dxa"/>
          <w:left w:w="0" w:type="dxa"/>
          <w:bottom w:w="0" w:type="dxa"/>
          <w:right w:w="0" w:type="dxa"/>
        </w:tblCellMar>
        <w:tblLook w:val="01E0"/>
      </w:tblPr>
      <w:tblGrid>
        <w:gridCol w:w="3629"/>
        <w:gridCol w:w="2407"/>
        <w:gridCol w:w="2820"/>
      </w:tblGrid>
      <w:tr>
        <w:trPr>
          <w:trHeight w:val="407" w:hRule="exact"/>
        </w:trPr>
        <w:tc>
          <w:tcPr>
            <w:tcW w:w="362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使用寿命</w:t>
            </w:r>
          </w:p>
        </w:tc>
        <w:tc>
          <w:tcPr>
            <w:tcW w:w="28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摊销方法</w:t>
            </w:r>
          </w:p>
        </w:tc>
      </w:tr>
      <w:tr>
        <w:trPr>
          <w:trHeight w:val="407" w:hRule="exact"/>
        </w:trPr>
        <w:tc>
          <w:tcPr>
            <w:tcW w:w="36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计算机软件</w:t>
            </w:r>
          </w:p>
        </w:tc>
        <w:tc>
          <w:tcPr>
            <w:tcW w:w="240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5 </w:t>
            </w:r>
            <w:r>
              <w:rPr>
                <w:rFonts w:ascii="宋体" w:hAnsi="宋体" w:cs="宋体" w:eastAsia="宋体" w:hint="default"/>
                <w:sz w:val="21"/>
                <w:szCs w:val="21"/>
              </w:rPr>
              <w:t>年</w:t>
            </w:r>
          </w:p>
        </w:tc>
        <w:tc>
          <w:tcPr>
            <w:tcW w:w="28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年限平均法</w:t>
            </w:r>
          </w:p>
        </w:tc>
      </w:tr>
      <w:tr>
        <w:trPr>
          <w:trHeight w:val="408" w:hRule="exact"/>
        </w:trPr>
        <w:tc>
          <w:tcPr>
            <w:tcW w:w="36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240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年</w:t>
            </w:r>
          </w:p>
        </w:tc>
        <w:tc>
          <w:tcPr>
            <w:tcW w:w="28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年限平均法</w:t>
            </w:r>
          </w:p>
        </w:tc>
      </w:tr>
      <w:tr>
        <w:trPr>
          <w:trHeight w:val="407" w:hRule="exact"/>
        </w:trPr>
        <w:tc>
          <w:tcPr>
            <w:tcW w:w="36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240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年</w:t>
            </w:r>
          </w:p>
        </w:tc>
        <w:tc>
          <w:tcPr>
            <w:tcW w:w="28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年限平均法</w:t>
            </w:r>
          </w:p>
        </w:tc>
      </w:tr>
    </w:tbl>
    <w:p>
      <w:pPr>
        <w:spacing w:line="242" w:lineRule="exact" w:before="0"/>
        <w:ind w:left="220" w:right="0" w:firstLine="420"/>
        <w:jc w:val="left"/>
        <w:rPr>
          <w:rFonts w:ascii="宋体" w:hAnsi="宋体" w:cs="宋体" w:eastAsia="宋体" w:hint="default"/>
          <w:sz w:val="21"/>
          <w:szCs w:val="21"/>
        </w:rPr>
      </w:pPr>
      <w:r>
        <w:rPr>
          <w:rFonts w:ascii="宋体" w:hAnsi="宋体" w:cs="宋体" w:eastAsia="宋体" w:hint="default"/>
          <w:sz w:val="21"/>
          <w:szCs w:val="21"/>
        </w:rPr>
        <w:t>资产负债表日，本公司对无形资产按照其账面价值与可收回金额孰低计量，按单项资产可</w:t>
      </w:r>
    </w:p>
    <w:p>
      <w:pPr>
        <w:spacing w:line="355" w:lineRule="auto" w:before="133"/>
        <w:ind w:left="220" w:right="0" w:firstLine="0"/>
        <w:jc w:val="left"/>
        <w:rPr>
          <w:rFonts w:ascii="宋体" w:hAnsi="宋体" w:cs="宋体" w:eastAsia="宋体" w:hint="default"/>
          <w:sz w:val="21"/>
          <w:szCs w:val="21"/>
        </w:rPr>
      </w:pPr>
      <w:r>
        <w:rPr>
          <w:rFonts w:ascii="宋体" w:hAnsi="宋体" w:cs="宋体" w:eastAsia="宋体" w:hint="default"/>
          <w:sz w:val="21"/>
          <w:szCs w:val="21"/>
        </w:rPr>
        <w:t>收回金额低于账面价值的差额计提无形资产减值准备，相应的资产减值损失计入当期损益。无</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形资产减值损失一经确认，在以后会计期间不再转回。</w:t>
      </w:r>
    </w:p>
    <w:p>
      <w:pPr>
        <w:spacing w:after="0" w:line="355" w:lineRule="auto"/>
        <w:jc w:val="left"/>
        <w:rPr>
          <w:rFonts w:ascii="宋体" w:hAnsi="宋体" w:cs="宋体" w:eastAsia="宋体" w:hint="default"/>
          <w:sz w:val="21"/>
          <w:szCs w:val="21"/>
        </w:rPr>
        <w:sectPr>
          <w:pgSz w:w="12240" w:h="15840"/>
          <w:pgMar w:header="0" w:footer="708" w:top="1400" w:bottom="900" w:left="1580" w:right="1560"/>
        </w:sectPr>
      </w:pPr>
    </w:p>
    <w:p>
      <w:pPr>
        <w:spacing w:line="357" w:lineRule="auto" w:before="6"/>
        <w:ind w:left="220" w:right="216" w:firstLine="420"/>
        <w:jc w:val="both"/>
        <w:rPr>
          <w:rFonts w:ascii="宋体" w:hAnsi="宋体" w:cs="宋体" w:eastAsia="宋体" w:hint="default"/>
          <w:sz w:val="21"/>
          <w:szCs w:val="21"/>
        </w:rPr>
      </w:pPr>
      <w:r>
        <w:rPr>
          <w:rFonts w:ascii="宋体" w:hAnsi="宋体" w:cs="宋体" w:eastAsia="宋体" w:hint="default"/>
          <w:sz w:val="21"/>
          <w:szCs w:val="21"/>
        </w:rPr>
        <w:t>本公司内部研究开发项目的支出，区分研究阶段支出与开发阶段支出进行相应处理。将为 </w:t>
      </w:r>
      <w:r>
        <w:rPr>
          <w:rFonts w:ascii="宋体" w:hAnsi="宋体" w:cs="宋体" w:eastAsia="宋体" w:hint="default"/>
          <w:spacing w:val="5"/>
          <w:sz w:val="21"/>
          <w:szCs w:val="21"/>
        </w:rPr>
        <w:t>获取并理解新的技术知识及项目可行性论证而进行的独创性的有计划调查期间确认为研究阶</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段；将进行产品商业性生产（或使用）前，将研究成果或其他知识应用于产品设计及研发，以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生产出新的或具有实质性改进的产品期间确认为开发阶段。</w:t>
      </w:r>
    </w:p>
    <w:p>
      <w:pPr>
        <w:spacing w:line="345" w:lineRule="auto" w:before="31"/>
        <w:ind w:left="219" w:right="217" w:firstLine="420"/>
        <w:jc w:val="both"/>
        <w:rPr>
          <w:rFonts w:ascii="宋体" w:hAnsi="宋体" w:cs="宋体" w:eastAsia="宋体" w:hint="default"/>
          <w:sz w:val="21"/>
          <w:szCs w:val="21"/>
        </w:rPr>
      </w:pPr>
      <w:r>
        <w:rPr>
          <w:rFonts w:ascii="宋体" w:hAnsi="宋体" w:cs="宋体" w:eastAsia="宋体" w:hint="default"/>
          <w:sz w:val="21"/>
          <w:szCs w:val="21"/>
        </w:rPr>
        <w:t>内部研究开发项目研究阶段的支出，于发生时计入当期损益；内部研究开发项目开发阶段 </w:t>
      </w:r>
      <w:r>
        <w:rPr>
          <w:rFonts w:ascii="宋体" w:hAnsi="宋体" w:cs="宋体" w:eastAsia="宋体" w:hint="default"/>
          <w:spacing w:val="-2"/>
          <w:w w:val="99"/>
          <w:sz w:val="21"/>
          <w:szCs w:val="21"/>
        </w:rPr>
        <w:t>的支出，同时满足下列条件的确认为无形资产，否则于发生时计入当期损益：（</w:t>
      </w:r>
      <w:r>
        <w:rPr>
          <w:rFonts w:ascii="Arial Narrow" w:hAnsi="Arial Narrow" w:cs="Arial Narrow" w:eastAsia="Arial Narrow" w:hint="default"/>
          <w:spacing w:val="-2"/>
          <w:w w:val="99"/>
          <w:sz w:val="21"/>
          <w:szCs w:val="21"/>
        </w:rPr>
        <w:t>1</w:t>
      </w:r>
      <w:r>
        <w:rPr>
          <w:rFonts w:ascii="宋体" w:hAnsi="宋体" w:cs="宋体" w:eastAsia="宋体" w:hint="default"/>
          <w:spacing w:val="-2"/>
          <w:w w:val="99"/>
          <w:sz w:val="21"/>
          <w:szCs w:val="21"/>
        </w:rPr>
        <w:t>）完成该无形</w:t>
      </w:r>
      <w:r>
        <w:rPr>
          <w:rFonts w:ascii="宋体" w:hAnsi="宋体" w:cs="宋体" w:eastAsia="宋体" w:hint="default"/>
          <w:spacing w:val="-101"/>
          <w:w w:val="99"/>
          <w:sz w:val="21"/>
          <w:szCs w:val="21"/>
        </w:rPr>
        <w:t> </w:t>
      </w:r>
      <w:r>
        <w:rPr>
          <w:rFonts w:ascii="宋体" w:hAnsi="宋体" w:cs="宋体" w:eastAsia="宋体" w:hint="default"/>
          <w:spacing w:val="-101"/>
          <w:w w:val="99"/>
          <w:sz w:val="21"/>
          <w:szCs w:val="21"/>
        </w:rPr>
      </w:r>
      <w:r>
        <w:rPr>
          <w:rFonts w:ascii="宋体" w:hAnsi="宋体" w:cs="宋体" w:eastAsia="宋体" w:hint="default"/>
          <w:spacing w:val="-2"/>
          <w:w w:val="99"/>
          <w:sz w:val="21"/>
          <w:szCs w:val="21"/>
        </w:rPr>
        <w:t>资产以使其能够使用或出售在技术上具有可行性；（</w:t>
      </w:r>
      <w:r>
        <w:rPr>
          <w:rFonts w:ascii="Arial Narrow" w:hAnsi="Arial Narrow" w:cs="Arial Narrow" w:eastAsia="Arial Narrow" w:hint="default"/>
          <w:spacing w:val="-2"/>
          <w:w w:val="99"/>
          <w:sz w:val="21"/>
          <w:szCs w:val="21"/>
        </w:rPr>
        <w:t>2</w:t>
      </w:r>
      <w:r>
        <w:rPr>
          <w:rFonts w:ascii="宋体" w:hAnsi="宋体" w:cs="宋体" w:eastAsia="宋体" w:hint="default"/>
          <w:spacing w:val="-2"/>
          <w:w w:val="99"/>
          <w:sz w:val="21"/>
          <w:szCs w:val="21"/>
        </w:rPr>
        <w:t>）具有完成该无形资产并使用或出售的意</w:t>
      </w:r>
      <w:r>
        <w:rPr>
          <w:rFonts w:ascii="宋体" w:hAnsi="宋体" w:cs="宋体" w:eastAsia="宋体" w:hint="default"/>
          <w:spacing w:val="-103"/>
          <w:w w:val="99"/>
          <w:sz w:val="21"/>
          <w:szCs w:val="21"/>
        </w:rPr>
        <w:t> </w:t>
      </w:r>
      <w:r>
        <w:rPr>
          <w:rFonts w:ascii="宋体" w:hAnsi="宋体" w:cs="宋体" w:eastAsia="宋体" w:hint="default"/>
          <w:spacing w:val="-103"/>
          <w:w w:val="99"/>
          <w:sz w:val="21"/>
          <w:szCs w:val="21"/>
        </w:rPr>
      </w:r>
      <w:r>
        <w:rPr>
          <w:rFonts w:ascii="宋体" w:hAnsi="宋体" w:cs="宋体" w:eastAsia="宋体" w:hint="default"/>
          <w:spacing w:val="-2"/>
          <w:w w:val="99"/>
          <w:sz w:val="21"/>
          <w:szCs w:val="21"/>
        </w:rPr>
        <w:t>图；（</w:t>
      </w:r>
      <w:r>
        <w:rPr>
          <w:rFonts w:ascii="Arial Narrow" w:hAnsi="Arial Narrow" w:cs="Arial Narrow" w:eastAsia="Arial Narrow" w:hint="default"/>
          <w:spacing w:val="-2"/>
          <w:w w:val="99"/>
          <w:sz w:val="21"/>
          <w:szCs w:val="21"/>
        </w:rPr>
        <w:t>3</w:t>
      </w:r>
      <w:r>
        <w:rPr>
          <w:rFonts w:ascii="宋体" w:hAnsi="宋体" w:cs="宋体" w:eastAsia="宋体" w:hint="default"/>
          <w:spacing w:val="-2"/>
          <w:w w:val="99"/>
          <w:sz w:val="21"/>
          <w:szCs w:val="21"/>
        </w:rPr>
        <w:t>）无形资产产生经济利益的方式，包括能够证明运用该无形资产生产的产品存在市场或</w:t>
      </w:r>
      <w:r>
        <w:rPr>
          <w:rFonts w:ascii="宋体" w:hAnsi="宋体" w:cs="宋体" w:eastAsia="宋体" w:hint="default"/>
          <w:spacing w:val="-103"/>
          <w:w w:val="99"/>
          <w:sz w:val="21"/>
          <w:szCs w:val="21"/>
        </w:rPr>
        <w:t> </w:t>
      </w:r>
      <w:r>
        <w:rPr>
          <w:rFonts w:ascii="宋体" w:hAnsi="宋体" w:cs="宋体" w:eastAsia="宋体" w:hint="default"/>
          <w:spacing w:val="-103"/>
          <w:w w:val="99"/>
          <w:sz w:val="21"/>
          <w:szCs w:val="21"/>
        </w:rPr>
      </w:r>
      <w:r>
        <w:rPr>
          <w:rFonts w:ascii="宋体" w:hAnsi="宋体" w:cs="宋体" w:eastAsia="宋体" w:hint="default"/>
          <w:spacing w:val="-2"/>
          <w:w w:val="99"/>
          <w:sz w:val="21"/>
          <w:szCs w:val="21"/>
        </w:rPr>
        <w:t>无形资产自身存在市场，无形资产将在内部使用的，应当证明其有用性；（</w:t>
      </w:r>
      <w:r>
        <w:rPr>
          <w:rFonts w:ascii="Arial Narrow" w:hAnsi="Arial Narrow" w:cs="Arial Narrow" w:eastAsia="Arial Narrow" w:hint="default"/>
          <w:spacing w:val="-2"/>
          <w:w w:val="99"/>
          <w:sz w:val="21"/>
          <w:szCs w:val="21"/>
        </w:rPr>
        <w:t>4</w:t>
      </w:r>
      <w:r>
        <w:rPr>
          <w:rFonts w:ascii="宋体" w:hAnsi="宋体" w:cs="宋体" w:eastAsia="宋体" w:hint="default"/>
          <w:spacing w:val="-2"/>
          <w:w w:val="99"/>
          <w:sz w:val="21"/>
          <w:szCs w:val="21"/>
        </w:rPr>
        <w:t>）有足够的技术、</w:t>
      </w:r>
      <w:r>
        <w:rPr>
          <w:rFonts w:ascii="宋体" w:hAnsi="宋体" w:cs="宋体" w:eastAsia="宋体" w:hint="default"/>
          <w:spacing w:val="-102"/>
          <w:w w:val="99"/>
          <w:sz w:val="21"/>
          <w:szCs w:val="21"/>
        </w:rPr>
        <w:t> </w:t>
      </w:r>
      <w:r>
        <w:rPr>
          <w:rFonts w:ascii="宋体" w:hAnsi="宋体" w:cs="宋体" w:eastAsia="宋体" w:hint="default"/>
          <w:spacing w:val="-102"/>
          <w:w w:val="99"/>
          <w:sz w:val="21"/>
          <w:szCs w:val="21"/>
        </w:rPr>
      </w:r>
      <w:r>
        <w:rPr>
          <w:rFonts w:ascii="宋体" w:hAnsi="宋体" w:cs="宋体" w:eastAsia="宋体" w:hint="default"/>
          <w:spacing w:val="-2"/>
          <w:w w:val="99"/>
          <w:sz w:val="21"/>
          <w:szCs w:val="21"/>
        </w:rPr>
        <w:t>财务资源和其他资源支持，以完成该无形资产的开发，并有能力使用或出售该无形资产；（</w:t>
      </w:r>
      <w:r>
        <w:rPr>
          <w:rFonts w:ascii="Arial Narrow" w:hAnsi="Arial Narrow" w:cs="Arial Narrow" w:eastAsia="Arial Narrow" w:hint="default"/>
          <w:spacing w:val="-2"/>
          <w:w w:val="99"/>
          <w:sz w:val="21"/>
          <w:szCs w:val="21"/>
        </w:rPr>
        <w:t>5</w:t>
      </w:r>
      <w:r>
        <w:rPr>
          <w:rFonts w:ascii="宋体" w:hAnsi="宋体" w:cs="宋体" w:eastAsia="宋体" w:hint="default"/>
          <w:spacing w:val="-2"/>
          <w:w w:val="99"/>
          <w:sz w:val="21"/>
          <w:szCs w:val="21"/>
        </w:rPr>
        <w:t>）</w:t>
      </w:r>
      <w:r>
        <w:rPr>
          <w:rFonts w:ascii="宋体" w:hAnsi="宋体" w:cs="宋体" w:eastAsia="宋体" w:hint="default"/>
          <w:spacing w:val="-101"/>
          <w:w w:val="99"/>
          <w:sz w:val="21"/>
          <w:szCs w:val="21"/>
        </w:rPr>
        <w:t> </w:t>
      </w:r>
      <w:r>
        <w:rPr>
          <w:rFonts w:ascii="宋体" w:hAnsi="宋体" w:cs="宋体" w:eastAsia="宋体" w:hint="default"/>
          <w:sz w:val="21"/>
          <w:szCs w:val="21"/>
        </w:rPr>
        <w:t>归属于该无形资产开发阶段的支出能够可靠地计量。前期已计入损益的开发支出不在以后期间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确认为资产。已资本化的开发阶段的支出在资产负债表上列示为开发支出，自该项目达到预定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可使用状态之日起转为无形资产。</w:t>
      </w:r>
    </w:p>
    <w:p>
      <w:pPr>
        <w:spacing w:before="102"/>
        <w:ind w:left="640" w:right="180" w:firstLine="0"/>
        <w:jc w:val="left"/>
        <w:rPr>
          <w:rFonts w:ascii="宋体" w:hAnsi="宋体" w:cs="宋体" w:eastAsia="宋体" w:hint="default"/>
          <w:sz w:val="21"/>
          <w:szCs w:val="21"/>
        </w:rPr>
      </w:pPr>
      <w:r>
        <w:rPr>
          <w:rFonts w:ascii="宋体" w:hAnsi="宋体" w:cs="宋体" w:eastAsia="宋体" w:hint="default"/>
          <w:b/>
          <w:bCs/>
          <w:sz w:val="21"/>
          <w:szCs w:val="21"/>
        </w:rPr>
        <w:t>（十六）长期待摊费用</w:t>
      </w:r>
      <w:r>
        <w:rPr>
          <w:rFonts w:ascii="宋体" w:hAnsi="宋体" w:cs="宋体" w:eastAsia="宋体" w:hint="default"/>
          <w:sz w:val="21"/>
          <w:szCs w:val="21"/>
        </w:rPr>
      </w:r>
    </w:p>
    <w:p>
      <w:pPr>
        <w:spacing w:line="240" w:lineRule="auto" w:before="9"/>
        <w:rPr>
          <w:rFonts w:ascii="宋体" w:hAnsi="宋体" w:cs="宋体" w:eastAsia="宋体" w:hint="default"/>
          <w:b/>
          <w:bCs/>
          <w:sz w:val="14"/>
          <w:szCs w:val="14"/>
        </w:rPr>
      </w:pPr>
    </w:p>
    <w:p>
      <w:pPr>
        <w:spacing w:line="297" w:lineRule="auto" w:before="0"/>
        <w:ind w:left="220" w:right="218" w:firstLine="420"/>
        <w:jc w:val="both"/>
        <w:rPr>
          <w:rFonts w:ascii="宋体" w:hAnsi="宋体" w:cs="宋体" w:eastAsia="宋体" w:hint="default"/>
          <w:sz w:val="21"/>
          <w:szCs w:val="21"/>
        </w:rPr>
      </w:pPr>
      <w:r>
        <w:rPr>
          <w:rFonts w:ascii="宋体" w:hAnsi="宋体" w:cs="宋体" w:eastAsia="宋体" w:hint="default"/>
          <w:sz w:val="21"/>
          <w:szCs w:val="21"/>
        </w:rPr>
        <w:t>本公司长期待摊费用是指已经支出，但受益期限在一年以上（不含一年）的各项费用，包 括：经营租入固定资产改良支出等，其摊销方法列示如下：</w:t>
      </w:r>
    </w:p>
    <w:p>
      <w:pPr>
        <w:spacing w:line="240" w:lineRule="auto" w:before="5"/>
        <w:rPr>
          <w:rFonts w:ascii="宋体" w:hAnsi="宋体" w:cs="宋体" w:eastAsia="宋体" w:hint="default"/>
          <w:sz w:val="8"/>
          <w:szCs w:val="8"/>
        </w:rPr>
      </w:pPr>
    </w:p>
    <w:tbl>
      <w:tblPr>
        <w:tblW w:w="0" w:type="auto"/>
        <w:jc w:val="left"/>
        <w:tblInd w:w="110" w:type="dxa"/>
        <w:tblLayout w:type="fixed"/>
        <w:tblCellMar>
          <w:top w:w="0" w:type="dxa"/>
          <w:left w:w="0" w:type="dxa"/>
          <w:bottom w:w="0" w:type="dxa"/>
          <w:right w:w="0" w:type="dxa"/>
        </w:tblCellMar>
        <w:tblLook w:val="01E0"/>
      </w:tblPr>
      <w:tblGrid>
        <w:gridCol w:w="4250"/>
        <w:gridCol w:w="1967"/>
        <w:gridCol w:w="1640"/>
        <w:gridCol w:w="986"/>
      </w:tblGrid>
      <w:tr>
        <w:trPr>
          <w:trHeight w:val="407" w:hRule="exact"/>
        </w:trPr>
        <w:tc>
          <w:tcPr>
            <w:tcW w:w="425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96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摊销方法</w:t>
            </w:r>
          </w:p>
        </w:tc>
        <w:tc>
          <w:tcPr>
            <w:tcW w:w="16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摊销年限</w:t>
            </w:r>
          </w:p>
        </w:tc>
        <w:tc>
          <w:tcPr>
            <w:tcW w:w="98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275"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407" w:hRule="exact"/>
        </w:trPr>
        <w:tc>
          <w:tcPr>
            <w:tcW w:w="42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经营租入固定资产改良支出</w:t>
            </w:r>
          </w:p>
        </w:tc>
        <w:tc>
          <w:tcPr>
            <w:tcW w:w="19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年限平均法</w:t>
            </w:r>
          </w:p>
        </w:tc>
        <w:tc>
          <w:tcPr>
            <w:tcW w:w="1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5</w:t>
            </w:r>
          </w:p>
        </w:tc>
        <w:tc>
          <w:tcPr>
            <w:tcW w:w="986" w:type="dxa"/>
            <w:tcBorders>
              <w:top w:val="single" w:sz="6" w:space="0" w:color="000000"/>
              <w:left w:val="single" w:sz="6" w:space="0" w:color="000000"/>
              <w:bottom w:val="single" w:sz="6" w:space="0" w:color="000000"/>
              <w:right w:val="single" w:sz="6" w:space="0" w:color="000000"/>
            </w:tcBorders>
          </w:tcPr>
          <w:p>
            <w:pPr/>
          </w:p>
        </w:tc>
      </w:tr>
    </w:tbl>
    <w:p>
      <w:pPr>
        <w:spacing w:before="27"/>
        <w:ind w:left="640" w:right="180" w:firstLine="0"/>
        <w:jc w:val="left"/>
        <w:rPr>
          <w:rFonts w:ascii="宋体" w:hAnsi="宋体" w:cs="宋体" w:eastAsia="宋体" w:hint="default"/>
          <w:sz w:val="21"/>
          <w:szCs w:val="21"/>
        </w:rPr>
      </w:pPr>
      <w:r>
        <w:rPr>
          <w:rFonts w:ascii="宋体" w:hAnsi="宋体" w:cs="宋体" w:eastAsia="宋体" w:hint="default"/>
          <w:b/>
          <w:bCs/>
          <w:sz w:val="21"/>
          <w:szCs w:val="21"/>
        </w:rPr>
        <w:t>（十七）收入</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宋体" w:hAnsi="宋体" w:cs="宋体" w:eastAsia="宋体" w:hint="default"/>
          <w:b/>
          <w:bCs/>
          <w:sz w:val="21"/>
          <w:szCs w:val="21"/>
        </w:rPr>
        <w:t>、收入确认的一般原则</w:t>
      </w:r>
      <w:r>
        <w:rPr>
          <w:rFonts w:ascii="宋体" w:hAnsi="宋体" w:cs="宋体" w:eastAsia="宋体" w:hint="default"/>
          <w:sz w:val="21"/>
          <w:szCs w:val="21"/>
        </w:rPr>
      </w:r>
    </w:p>
    <w:p>
      <w:pPr>
        <w:spacing w:before="179"/>
        <w:ind w:left="642" w:right="18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1</w:t>
      </w:r>
      <w:r>
        <w:rPr>
          <w:rFonts w:ascii="宋体" w:hAnsi="宋体" w:cs="宋体" w:eastAsia="宋体" w:hint="default"/>
          <w:b/>
          <w:bCs/>
          <w:sz w:val="21"/>
          <w:szCs w:val="21"/>
        </w:rPr>
        <w:t>）本公司销售商品在满足以下条件时确认收入实现：</w:t>
      </w:r>
      <w:r>
        <w:rPr>
          <w:rFonts w:ascii="宋体" w:hAnsi="宋体" w:cs="宋体" w:eastAsia="宋体" w:hint="default"/>
          <w:sz w:val="21"/>
          <w:szCs w:val="21"/>
        </w:rPr>
      </w:r>
    </w:p>
    <w:p>
      <w:pPr>
        <w:spacing w:before="178"/>
        <w:ind w:left="640" w:right="180" w:firstLine="0"/>
        <w:jc w:val="left"/>
        <w:rPr>
          <w:rFonts w:ascii="宋体" w:hAnsi="宋体" w:cs="宋体" w:eastAsia="宋体" w:hint="default"/>
          <w:sz w:val="21"/>
          <w:szCs w:val="21"/>
        </w:rPr>
      </w:pPr>
      <w:r>
        <w:rPr>
          <w:rFonts w:ascii="新宋体" w:hAnsi="新宋体" w:cs="新宋体" w:eastAsia="新宋体" w:hint="default"/>
          <w:sz w:val="21"/>
          <w:szCs w:val="21"/>
        </w:rPr>
        <w:t>①</w:t>
      </w:r>
      <w:r>
        <w:rPr>
          <w:rFonts w:ascii="宋体" w:hAnsi="宋体" w:cs="宋体" w:eastAsia="宋体" w:hint="default"/>
          <w:sz w:val="21"/>
          <w:szCs w:val="21"/>
        </w:rPr>
        <w:t>已将商品所有权上的主要风险和报酬转移给购货方；</w:t>
      </w:r>
    </w:p>
    <w:p>
      <w:pPr>
        <w:spacing w:line="240" w:lineRule="auto" w:before="6"/>
        <w:rPr>
          <w:rFonts w:ascii="宋体" w:hAnsi="宋体" w:cs="宋体" w:eastAsia="宋体" w:hint="default"/>
          <w:sz w:val="19"/>
          <w:szCs w:val="19"/>
        </w:rPr>
      </w:pPr>
    </w:p>
    <w:p>
      <w:pPr>
        <w:spacing w:before="0"/>
        <w:ind w:left="640" w:right="180" w:firstLine="0"/>
        <w:jc w:val="left"/>
        <w:rPr>
          <w:rFonts w:ascii="宋体" w:hAnsi="宋体" w:cs="宋体" w:eastAsia="宋体" w:hint="default"/>
          <w:sz w:val="21"/>
          <w:szCs w:val="21"/>
        </w:rPr>
      </w:pPr>
      <w:r>
        <w:rPr>
          <w:rFonts w:ascii="新宋体" w:hAnsi="新宋体" w:cs="新宋体" w:eastAsia="新宋体" w:hint="default"/>
          <w:sz w:val="21"/>
          <w:szCs w:val="21"/>
        </w:rPr>
        <w:t>②</w:t>
      </w:r>
      <w:r>
        <w:rPr>
          <w:rFonts w:ascii="宋体" w:hAnsi="宋体" w:cs="宋体" w:eastAsia="宋体" w:hint="default"/>
          <w:sz w:val="21"/>
          <w:szCs w:val="21"/>
        </w:rPr>
        <w:t>既没有保留通常与所有权相联系的继续管理权，也没有对已售出的商品实施有效控制；</w:t>
      </w:r>
    </w:p>
    <w:p>
      <w:pPr>
        <w:spacing w:line="240" w:lineRule="auto" w:before="5"/>
        <w:rPr>
          <w:rFonts w:ascii="宋体" w:hAnsi="宋体" w:cs="宋体" w:eastAsia="宋体" w:hint="default"/>
          <w:sz w:val="19"/>
          <w:szCs w:val="19"/>
        </w:rPr>
      </w:pPr>
    </w:p>
    <w:p>
      <w:pPr>
        <w:spacing w:before="0"/>
        <w:ind w:left="640" w:right="180" w:firstLine="0"/>
        <w:jc w:val="left"/>
        <w:rPr>
          <w:rFonts w:ascii="宋体" w:hAnsi="宋体" w:cs="宋体" w:eastAsia="宋体" w:hint="default"/>
          <w:sz w:val="21"/>
          <w:szCs w:val="21"/>
        </w:rPr>
      </w:pPr>
      <w:r>
        <w:rPr>
          <w:rFonts w:ascii="新宋体" w:hAnsi="新宋体" w:cs="新宋体" w:eastAsia="新宋体" w:hint="default"/>
          <w:sz w:val="21"/>
          <w:szCs w:val="21"/>
        </w:rPr>
        <w:t>③</w:t>
      </w:r>
      <w:r>
        <w:rPr>
          <w:rFonts w:ascii="宋体" w:hAnsi="宋体" w:cs="宋体" w:eastAsia="宋体" w:hint="default"/>
          <w:sz w:val="21"/>
          <w:szCs w:val="21"/>
        </w:rPr>
        <w:t>收入的金额能够可靠地计量；</w:t>
      </w:r>
    </w:p>
    <w:p>
      <w:pPr>
        <w:spacing w:line="240" w:lineRule="auto" w:before="5"/>
        <w:rPr>
          <w:rFonts w:ascii="宋体" w:hAnsi="宋体" w:cs="宋体" w:eastAsia="宋体" w:hint="default"/>
          <w:sz w:val="19"/>
          <w:szCs w:val="19"/>
        </w:rPr>
      </w:pPr>
    </w:p>
    <w:p>
      <w:pPr>
        <w:spacing w:before="0"/>
        <w:ind w:left="640" w:right="180" w:firstLine="0"/>
        <w:jc w:val="left"/>
        <w:rPr>
          <w:rFonts w:ascii="宋体" w:hAnsi="宋体" w:cs="宋体" w:eastAsia="宋体" w:hint="default"/>
          <w:sz w:val="21"/>
          <w:szCs w:val="21"/>
        </w:rPr>
      </w:pPr>
      <w:r>
        <w:rPr>
          <w:rFonts w:ascii="新宋体" w:hAnsi="新宋体" w:cs="新宋体" w:eastAsia="新宋体" w:hint="default"/>
          <w:sz w:val="21"/>
          <w:szCs w:val="21"/>
        </w:rPr>
        <w:t>④</w:t>
      </w:r>
      <w:r>
        <w:rPr>
          <w:rFonts w:ascii="宋体" w:hAnsi="宋体" w:cs="宋体" w:eastAsia="宋体" w:hint="default"/>
          <w:sz w:val="21"/>
          <w:szCs w:val="21"/>
        </w:rPr>
        <w:t>相关的经济利益很可能流入企业；</w:t>
      </w:r>
    </w:p>
    <w:p>
      <w:pPr>
        <w:spacing w:line="240" w:lineRule="auto" w:before="6"/>
        <w:rPr>
          <w:rFonts w:ascii="宋体" w:hAnsi="宋体" w:cs="宋体" w:eastAsia="宋体" w:hint="default"/>
          <w:sz w:val="19"/>
          <w:szCs w:val="19"/>
        </w:rPr>
      </w:pPr>
    </w:p>
    <w:p>
      <w:pPr>
        <w:spacing w:before="0"/>
        <w:ind w:left="640" w:right="180" w:firstLine="0"/>
        <w:jc w:val="left"/>
        <w:rPr>
          <w:rFonts w:ascii="宋体" w:hAnsi="宋体" w:cs="宋体" w:eastAsia="宋体" w:hint="default"/>
          <w:sz w:val="21"/>
          <w:szCs w:val="21"/>
        </w:rPr>
      </w:pPr>
      <w:r>
        <w:rPr>
          <w:rFonts w:ascii="新宋体" w:hAnsi="新宋体" w:cs="新宋体" w:eastAsia="新宋体" w:hint="default"/>
          <w:sz w:val="21"/>
          <w:szCs w:val="21"/>
        </w:rPr>
        <w:t>⑤</w:t>
      </w:r>
      <w:r>
        <w:rPr>
          <w:rFonts w:ascii="宋体" w:hAnsi="宋体" w:cs="宋体" w:eastAsia="宋体" w:hint="default"/>
          <w:sz w:val="21"/>
          <w:szCs w:val="21"/>
        </w:rPr>
        <w:t>相关的已发生或将发生的成本能够可靠地计量。</w:t>
      </w:r>
    </w:p>
    <w:p>
      <w:pPr>
        <w:spacing w:line="240" w:lineRule="auto" w:before="5"/>
        <w:rPr>
          <w:rFonts w:ascii="宋体" w:hAnsi="宋体" w:cs="宋体" w:eastAsia="宋体" w:hint="default"/>
          <w:sz w:val="19"/>
          <w:szCs w:val="19"/>
        </w:rPr>
      </w:pPr>
    </w:p>
    <w:p>
      <w:pPr>
        <w:spacing w:line="388" w:lineRule="auto" w:before="0"/>
        <w:ind w:left="745" w:right="203" w:hanging="104"/>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2</w:t>
      </w:r>
      <w:r>
        <w:rPr>
          <w:rFonts w:ascii="宋体" w:hAnsi="宋体" w:cs="宋体" w:eastAsia="宋体" w:hint="default"/>
          <w:b/>
          <w:bCs/>
          <w:sz w:val="21"/>
          <w:szCs w:val="21"/>
        </w:rPr>
        <w:t>）技术服务收入</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本公司在已根据合同约定提供了相应服务，取得明确的收款证据，相关成本能够可靠地计</w:t>
      </w:r>
    </w:p>
    <w:p>
      <w:pPr>
        <w:spacing w:before="3"/>
        <w:ind w:left="220" w:right="180" w:firstLine="0"/>
        <w:jc w:val="left"/>
        <w:rPr>
          <w:rFonts w:ascii="宋体" w:hAnsi="宋体" w:cs="宋体" w:eastAsia="宋体" w:hint="default"/>
          <w:sz w:val="21"/>
          <w:szCs w:val="21"/>
        </w:rPr>
      </w:pPr>
      <w:r>
        <w:rPr>
          <w:rFonts w:ascii="宋体" w:hAnsi="宋体" w:cs="宋体" w:eastAsia="宋体" w:hint="default"/>
          <w:sz w:val="21"/>
          <w:szCs w:val="21"/>
        </w:rPr>
        <w:t>量时，确认收入。</w:t>
      </w:r>
    </w:p>
    <w:p>
      <w:pPr>
        <w:spacing w:after="0"/>
        <w:jc w:val="left"/>
        <w:rPr>
          <w:rFonts w:ascii="宋体" w:hAnsi="宋体" w:cs="宋体" w:eastAsia="宋体" w:hint="default"/>
          <w:sz w:val="21"/>
          <w:szCs w:val="21"/>
        </w:rPr>
        <w:sectPr>
          <w:pgSz w:w="12240" w:h="15840"/>
          <w:pgMar w:header="0" w:footer="708" w:top="1400" w:bottom="900" w:left="1580" w:right="1580"/>
        </w:sectPr>
      </w:pPr>
    </w:p>
    <w:p>
      <w:pPr>
        <w:spacing w:line="388" w:lineRule="auto" w:before="6"/>
        <w:ind w:left="540" w:right="114"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3</w:t>
      </w:r>
      <w:r>
        <w:rPr>
          <w:rFonts w:ascii="宋体" w:hAnsi="宋体" w:cs="宋体" w:eastAsia="宋体" w:hint="default"/>
          <w:b/>
          <w:bCs/>
          <w:sz w:val="21"/>
          <w:szCs w:val="21"/>
        </w:rPr>
        <w:t>）让渡资产使用权</w:t>
      </w:r>
      <w:r>
        <w:rPr>
          <w:rFonts w:ascii="宋体" w:hAnsi="宋体" w:cs="宋体" w:eastAsia="宋体" w:hint="default"/>
          <w:b/>
          <w:bCs/>
          <w:spacing w:val="1"/>
          <w:w w:val="99"/>
          <w:sz w:val="21"/>
          <w:szCs w:val="21"/>
        </w:rPr>
        <w:t> </w:t>
      </w:r>
      <w:r>
        <w:rPr>
          <w:rFonts w:ascii="宋体" w:hAnsi="宋体" w:cs="宋体" w:eastAsia="宋体" w:hint="default"/>
          <w:sz w:val="21"/>
          <w:szCs w:val="21"/>
        </w:rPr>
        <w:t>本公司在与让渡资产使用权相关的经济利益能够流入和收入的金额能够可靠的计量时确认</w:t>
      </w:r>
    </w:p>
    <w:p>
      <w:pPr>
        <w:spacing w:before="4"/>
        <w:ind w:left="120" w:right="114" w:firstLine="0"/>
        <w:jc w:val="left"/>
        <w:rPr>
          <w:rFonts w:ascii="宋体" w:hAnsi="宋体" w:cs="宋体" w:eastAsia="宋体" w:hint="default"/>
          <w:sz w:val="21"/>
          <w:szCs w:val="21"/>
        </w:rPr>
      </w:pPr>
      <w:r>
        <w:rPr>
          <w:rFonts w:ascii="宋体" w:hAnsi="宋体" w:cs="宋体" w:eastAsia="宋体" w:hint="default"/>
          <w:sz w:val="21"/>
          <w:szCs w:val="21"/>
        </w:rPr>
        <w:t>让渡资产使用权收入。</w:t>
      </w:r>
    </w:p>
    <w:p>
      <w:pPr>
        <w:spacing w:line="240" w:lineRule="auto" w:before="5"/>
        <w:rPr>
          <w:rFonts w:ascii="宋体" w:hAnsi="宋体" w:cs="宋体" w:eastAsia="宋体" w:hint="default"/>
          <w:sz w:val="19"/>
          <w:szCs w:val="19"/>
        </w:rPr>
      </w:pPr>
    </w:p>
    <w:p>
      <w:pPr>
        <w:spacing w:line="357" w:lineRule="auto" w:before="0"/>
        <w:ind w:left="120" w:right="218" w:firstLine="420"/>
        <w:jc w:val="both"/>
        <w:rPr>
          <w:rFonts w:ascii="宋体" w:hAnsi="宋体" w:cs="宋体" w:eastAsia="宋体" w:hint="default"/>
          <w:sz w:val="21"/>
          <w:szCs w:val="21"/>
        </w:rPr>
      </w:pPr>
      <w:r>
        <w:rPr>
          <w:rFonts w:ascii="宋体" w:hAnsi="宋体" w:cs="宋体" w:eastAsia="宋体" w:hint="default"/>
          <w:sz w:val="21"/>
          <w:szCs w:val="21"/>
        </w:rPr>
        <w:t>利息收入按使用货币资金的使用时间和适用利率计算确定。使用费收入金额，按照有关合 同或协议约定的收费时间和方法计算确定。</w:t>
      </w:r>
    </w:p>
    <w:p>
      <w:pPr>
        <w:spacing w:before="150"/>
        <w:ind w:left="542" w:right="114"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宋体" w:hAnsi="宋体" w:cs="宋体" w:eastAsia="宋体" w:hint="default"/>
          <w:b/>
          <w:bCs/>
          <w:sz w:val="21"/>
          <w:szCs w:val="21"/>
        </w:rPr>
        <w:t>、收入确认的具体标准</w:t>
      </w:r>
      <w:r>
        <w:rPr>
          <w:rFonts w:ascii="宋体" w:hAnsi="宋体" w:cs="宋体" w:eastAsia="宋体" w:hint="default"/>
          <w:sz w:val="21"/>
          <w:szCs w:val="21"/>
        </w:rPr>
      </w:r>
    </w:p>
    <w:p>
      <w:pPr>
        <w:spacing w:line="388" w:lineRule="auto" w:before="179"/>
        <w:ind w:left="540" w:right="114"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1</w:t>
      </w:r>
      <w:r>
        <w:rPr>
          <w:rFonts w:ascii="宋体" w:hAnsi="宋体" w:cs="宋体" w:eastAsia="宋体" w:hint="default"/>
          <w:b/>
          <w:bCs/>
          <w:sz w:val="21"/>
          <w:szCs w:val="21"/>
        </w:rPr>
        <w:t>）软硬件开发与销售</w:t>
      </w:r>
      <w:r>
        <w:rPr>
          <w:rFonts w:ascii="宋体" w:hAnsi="宋体" w:cs="宋体" w:eastAsia="宋体" w:hint="default"/>
          <w:b/>
          <w:bCs/>
          <w:w w:val="99"/>
          <w:sz w:val="21"/>
          <w:szCs w:val="21"/>
        </w:rPr>
        <w:t> </w:t>
      </w:r>
      <w:r>
        <w:rPr>
          <w:rFonts w:ascii="宋体" w:hAnsi="宋体" w:cs="宋体" w:eastAsia="宋体" w:hint="default"/>
          <w:spacing w:val="-3"/>
          <w:sz w:val="21"/>
          <w:szCs w:val="21"/>
        </w:rPr>
        <w:t>本公司软硬件开发与销售（以下统称</w:t>
      </w:r>
      <w:r>
        <w:rPr>
          <w:rFonts w:ascii="Arial Narrow" w:hAnsi="Arial Narrow" w:cs="Arial Narrow" w:eastAsia="Arial Narrow" w:hint="default"/>
          <w:spacing w:val="-3"/>
          <w:sz w:val="21"/>
          <w:szCs w:val="21"/>
        </w:rPr>
        <w:t>“</w:t>
      </w:r>
      <w:r>
        <w:rPr>
          <w:rFonts w:ascii="宋体" w:hAnsi="宋体" w:cs="宋体" w:eastAsia="宋体" w:hint="default"/>
          <w:spacing w:val="-3"/>
          <w:sz w:val="21"/>
          <w:szCs w:val="21"/>
        </w:rPr>
        <w:t>产品销售</w:t>
      </w:r>
      <w:r>
        <w:rPr>
          <w:rFonts w:ascii="Arial Narrow" w:hAnsi="Arial Narrow" w:cs="Arial Narrow" w:eastAsia="Arial Narrow" w:hint="default"/>
          <w:spacing w:val="-3"/>
          <w:sz w:val="21"/>
          <w:szCs w:val="21"/>
        </w:rPr>
        <w:t>”</w:t>
      </w:r>
      <w:r>
        <w:rPr>
          <w:rFonts w:ascii="宋体" w:hAnsi="宋体" w:cs="宋体" w:eastAsia="宋体" w:hint="default"/>
          <w:spacing w:val="-3"/>
          <w:sz w:val="21"/>
          <w:szCs w:val="21"/>
        </w:rPr>
        <w:t>）包括销售电子数据取证产品系列和网络信</w:t>
      </w:r>
    </w:p>
    <w:p>
      <w:pPr>
        <w:spacing w:line="246" w:lineRule="exact" w:before="0"/>
        <w:ind w:left="119" w:right="0" w:firstLine="0"/>
        <w:jc w:val="left"/>
        <w:rPr>
          <w:rFonts w:ascii="宋体" w:hAnsi="宋体" w:cs="宋体" w:eastAsia="宋体" w:hint="default"/>
          <w:sz w:val="21"/>
          <w:szCs w:val="21"/>
        </w:rPr>
      </w:pPr>
      <w:r>
        <w:rPr>
          <w:rFonts w:ascii="宋体" w:hAnsi="宋体" w:cs="宋体" w:eastAsia="宋体" w:hint="default"/>
          <w:sz w:val="21"/>
          <w:szCs w:val="21"/>
        </w:rPr>
        <w:t>息安全产品系列的硬件产品及软件产品，其中硬件产品包括自主开发硬件产品及外购配件商品，</w:t>
      </w:r>
    </w:p>
    <w:p>
      <w:pPr>
        <w:spacing w:line="357" w:lineRule="auto" w:before="134"/>
        <w:ind w:left="119" w:right="105" w:firstLine="0"/>
        <w:jc w:val="left"/>
        <w:rPr>
          <w:rFonts w:ascii="宋体" w:hAnsi="宋体" w:cs="宋体" w:eastAsia="宋体" w:hint="default"/>
          <w:sz w:val="21"/>
          <w:szCs w:val="21"/>
        </w:rPr>
      </w:pPr>
      <w:r>
        <w:rPr>
          <w:rFonts w:ascii="宋体" w:hAnsi="宋体" w:cs="宋体" w:eastAsia="宋体" w:hint="default"/>
          <w:sz w:val="21"/>
          <w:szCs w:val="21"/>
        </w:rPr>
        <w:t>软件产品包括自主开发标准软件产品和自主开发客户定制软件产品。自主开发标准软件产品指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公司自行开发研制的销售时不转让著作权的软件产品，由此开发出来的软件具有自主知识产权、</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无差异化、可批量复制的特性；自主开发客户定制软件产品指公司根据客户的实际需求进行定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制、开发的软件产品，由此开发出来的软件不具有通用性。</w:t>
      </w:r>
    </w:p>
    <w:p>
      <w:pPr>
        <w:spacing w:line="357" w:lineRule="auto" w:before="151"/>
        <w:ind w:left="119" w:right="219" w:firstLine="420"/>
        <w:jc w:val="both"/>
        <w:rPr>
          <w:rFonts w:ascii="宋体" w:hAnsi="宋体" w:cs="宋体" w:eastAsia="宋体" w:hint="default"/>
          <w:sz w:val="21"/>
          <w:szCs w:val="21"/>
        </w:rPr>
      </w:pPr>
      <w:r>
        <w:rPr>
          <w:rFonts w:ascii="宋体" w:hAnsi="宋体" w:cs="宋体" w:eastAsia="宋体" w:hint="default"/>
          <w:sz w:val="21"/>
          <w:szCs w:val="21"/>
        </w:rPr>
        <w:t>本公司向客户销售软件产品的同时，为其提供软件应用所需的设备配件及安装服务，如果 软件收入与设备配件及安装服务收入能明确区分，则分别作为软件产品销售、硬件产品销售及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技术服务进行核算；如果软件收入与设备配件及安装服务收入不能明确区分，则将其一并作为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硬件产品销售进行核算。</w:t>
      </w:r>
    </w:p>
    <w:p>
      <w:pPr>
        <w:spacing w:line="357" w:lineRule="auto" w:before="150"/>
        <w:ind w:left="119" w:right="105" w:firstLine="420"/>
        <w:jc w:val="left"/>
        <w:rPr>
          <w:rFonts w:ascii="宋体" w:hAnsi="宋体" w:cs="宋体" w:eastAsia="宋体" w:hint="default"/>
          <w:sz w:val="21"/>
          <w:szCs w:val="21"/>
        </w:rPr>
      </w:pPr>
      <w:r>
        <w:rPr>
          <w:rFonts w:ascii="宋体" w:hAnsi="宋体" w:cs="宋体" w:eastAsia="宋体" w:hint="default"/>
          <w:sz w:val="21"/>
          <w:szCs w:val="21"/>
        </w:rPr>
        <w:t>本公司产品销售收入确认的具体标准：无需安装调试的产品在交付并经客户签收后确认收 </w:t>
      </w:r>
      <w:r>
        <w:rPr>
          <w:rFonts w:ascii="宋体" w:hAnsi="宋体" w:cs="宋体" w:eastAsia="宋体" w:hint="default"/>
          <w:spacing w:val="-2"/>
          <w:sz w:val="21"/>
          <w:szCs w:val="21"/>
        </w:rPr>
        <w:t>入；需安装调试的产品在项目实施完成并经客户验收合格取得对方签字的验收报告后确认收入；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对需要分次交付验收的，在分次取得验收报告后确认收入。</w:t>
      </w:r>
    </w:p>
    <w:p>
      <w:pPr>
        <w:spacing w:line="388" w:lineRule="auto" w:before="151"/>
        <w:ind w:left="539" w:right="114"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Arial Narrow" w:hAnsi="Arial Narrow" w:cs="Arial Narrow" w:eastAsia="Arial Narrow" w:hint="default"/>
          <w:b/>
          <w:bCs/>
          <w:sz w:val="21"/>
          <w:szCs w:val="21"/>
        </w:rPr>
        <w:t>2</w:t>
      </w:r>
      <w:r>
        <w:rPr>
          <w:rFonts w:ascii="宋体" w:hAnsi="宋体" w:cs="宋体" w:eastAsia="宋体" w:hint="default"/>
          <w:b/>
          <w:bCs/>
          <w:sz w:val="21"/>
          <w:szCs w:val="21"/>
        </w:rPr>
        <w:t>）技术服务</w:t>
      </w:r>
      <w:r>
        <w:rPr>
          <w:rFonts w:ascii="宋体" w:hAnsi="宋体" w:cs="宋体" w:eastAsia="宋体" w:hint="default"/>
          <w:b/>
          <w:bCs/>
          <w:w w:val="99"/>
          <w:sz w:val="21"/>
          <w:szCs w:val="21"/>
        </w:rPr>
        <w:t> </w:t>
      </w:r>
      <w:r>
        <w:rPr>
          <w:rFonts w:ascii="宋体" w:hAnsi="宋体" w:cs="宋体" w:eastAsia="宋体" w:hint="default"/>
          <w:sz w:val="21"/>
          <w:szCs w:val="21"/>
        </w:rPr>
        <w:t>技术服务收入包括向客户提供的技术支持、技术咨询以及技术培训服务收入等。</w:t>
      </w:r>
    </w:p>
    <w:p>
      <w:pPr>
        <w:spacing w:line="357" w:lineRule="auto" w:before="123"/>
        <w:ind w:left="119" w:right="219" w:firstLine="420"/>
        <w:jc w:val="both"/>
        <w:rPr>
          <w:rFonts w:ascii="宋体" w:hAnsi="宋体" w:cs="宋体" w:eastAsia="宋体" w:hint="default"/>
          <w:sz w:val="21"/>
          <w:szCs w:val="21"/>
        </w:rPr>
      </w:pPr>
      <w:r>
        <w:rPr>
          <w:rFonts w:ascii="宋体" w:hAnsi="宋体" w:cs="宋体" w:eastAsia="宋体" w:hint="default"/>
          <w:sz w:val="21"/>
          <w:szCs w:val="21"/>
        </w:rPr>
        <w:t>合同明确约定服务期限的，在合同约定的服务期限内，按进度确认收入；合同明确约定服 务成果需经客户验收确认的，在本公司提交了相应的服务成果并通过验收，取得客户的验收报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告，获得明确的收款证据，相关成本能够可靠地计量时，确认收入；其他服务在本公司提供了</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相应服务，取得明确的收款证据，相关成本能够可靠地计量时，确认收入。同一合同中，既约</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定了产品销售金额又约定了服务费金额的，分别按照产品销售收入和服务收入确认原则确认相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应的收入；如果产品销售收入和服务收入不能区分，则将其一并作为产品销售进行核算。</w:t>
      </w:r>
    </w:p>
    <w:p>
      <w:pPr>
        <w:spacing w:before="150"/>
        <w:ind w:left="539" w:right="114" w:firstLine="0"/>
        <w:jc w:val="left"/>
        <w:rPr>
          <w:rFonts w:ascii="宋体" w:hAnsi="宋体" w:cs="宋体" w:eastAsia="宋体" w:hint="default"/>
          <w:sz w:val="21"/>
          <w:szCs w:val="21"/>
        </w:rPr>
      </w:pPr>
      <w:r>
        <w:rPr>
          <w:rFonts w:ascii="宋体" w:hAnsi="宋体" w:cs="宋体" w:eastAsia="宋体" w:hint="default"/>
          <w:b/>
          <w:bCs/>
          <w:sz w:val="21"/>
          <w:szCs w:val="21"/>
        </w:rPr>
        <w:t>（十八）政府补助</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2240" w:h="15840"/>
          <w:pgMar w:header="0" w:footer="708" w:top="1400" w:bottom="900" w:left="1680" w:right="1580"/>
        </w:sectPr>
      </w:pPr>
    </w:p>
    <w:p>
      <w:pPr>
        <w:spacing w:line="355" w:lineRule="auto" w:before="6"/>
        <w:ind w:left="100" w:right="218" w:firstLine="420"/>
        <w:jc w:val="both"/>
        <w:rPr>
          <w:rFonts w:ascii="宋体" w:hAnsi="宋体" w:cs="宋体" w:eastAsia="宋体" w:hint="default"/>
          <w:sz w:val="21"/>
          <w:szCs w:val="21"/>
        </w:rPr>
      </w:pPr>
      <w:r>
        <w:rPr>
          <w:rFonts w:ascii="宋体" w:hAnsi="宋体" w:cs="宋体" w:eastAsia="宋体" w:hint="default"/>
          <w:sz w:val="21"/>
          <w:szCs w:val="21"/>
        </w:rPr>
        <w:t>政府补助，是指本公司从政府无偿取得货币性资产或非货币性资产，但不包括政府作为企 业所有者投入的资本。</w:t>
      </w:r>
    </w:p>
    <w:p>
      <w:pPr>
        <w:spacing w:line="355" w:lineRule="auto" w:before="33"/>
        <w:ind w:left="100" w:right="218" w:firstLine="420"/>
        <w:jc w:val="both"/>
        <w:rPr>
          <w:rFonts w:ascii="宋体" w:hAnsi="宋体" w:cs="宋体" w:eastAsia="宋体" w:hint="default"/>
          <w:sz w:val="21"/>
          <w:szCs w:val="21"/>
        </w:rPr>
      </w:pPr>
      <w:r>
        <w:rPr>
          <w:rFonts w:ascii="宋体" w:hAnsi="宋体" w:cs="宋体" w:eastAsia="宋体" w:hint="default"/>
          <w:sz w:val="21"/>
          <w:szCs w:val="21"/>
        </w:rPr>
        <w:t>政府补助为货币性资产的，按照收到或应收的金额计量；政府补助为非货币性资产的，按 照公允价值计量；公允价值不能可靠取得的，按照名义金额（人民币</w:t>
      </w:r>
      <w:r>
        <w:rPr>
          <w:rFonts w:ascii="宋体" w:hAnsi="宋体" w:cs="宋体" w:eastAsia="宋体" w:hint="default"/>
          <w:spacing w:val="-53"/>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元）计量。</w:t>
      </w:r>
    </w:p>
    <w:p>
      <w:pPr>
        <w:spacing w:line="355" w:lineRule="auto" w:before="5"/>
        <w:ind w:left="100" w:right="218" w:firstLine="420"/>
        <w:jc w:val="both"/>
        <w:rPr>
          <w:rFonts w:ascii="宋体" w:hAnsi="宋体" w:cs="宋体" w:eastAsia="宋体" w:hint="default"/>
          <w:sz w:val="21"/>
          <w:szCs w:val="21"/>
        </w:rPr>
      </w:pPr>
      <w:r>
        <w:rPr>
          <w:rFonts w:ascii="宋体" w:hAnsi="宋体" w:cs="宋体" w:eastAsia="宋体" w:hint="default"/>
          <w:sz w:val="21"/>
          <w:szCs w:val="21"/>
        </w:rPr>
        <w:t>与资产相关的政府补助，本公司确认为递延收益，并在相关资产使用寿命内平均分配，计 入当期损益。但是，按照名义金额计量的政府补助，直接计入当期损益。</w:t>
      </w:r>
    </w:p>
    <w:p>
      <w:pPr>
        <w:spacing w:line="355" w:lineRule="auto" w:before="33"/>
        <w:ind w:left="100" w:right="100" w:firstLine="420"/>
        <w:jc w:val="left"/>
        <w:rPr>
          <w:rFonts w:ascii="宋体" w:hAnsi="宋体" w:cs="宋体" w:eastAsia="宋体" w:hint="default"/>
          <w:sz w:val="21"/>
          <w:szCs w:val="21"/>
        </w:rPr>
      </w:pPr>
      <w:r>
        <w:rPr>
          <w:rFonts w:ascii="宋体" w:hAnsi="宋体" w:cs="宋体" w:eastAsia="宋体" w:hint="default"/>
          <w:spacing w:val="-2"/>
          <w:sz w:val="21"/>
          <w:szCs w:val="21"/>
        </w:rPr>
        <w:t>与收益相关的政府补助，用于补偿本公司以后期间的相关费用或损失的，确认为递延收益，</w:t>
      </w:r>
      <w:r>
        <w:rPr>
          <w:rFonts w:ascii="宋体" w:hAnsi="宋体" w:cs="宋体" w:eastAsia="宋体" w:hint="default"/>
          <w:sz w:val="21"/>
          <w:szCs w:val="21"/>
        </w:rPr>
        <w:t> 并在确认相关费用的期间，计入当期损益；用于补偿本公司已发生的相关费用或损失的，直接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计入当期损益。</w:t>
      </w:r>
    </w:p>
    <w:p>
      <w:pPr>
        <w:spacing w:line="355" w:lineRule="auto" w:before="33"/>
        <w:ind w:left="100" w:right="218" w:firstLine="420"/>
        <w:jc w:val="both"/>
        <w:rPr>
          <w:rFonts w:ascii="宋体" w:hAnsi="宋体" w:cs="宋体" w:eastAsia="宋体" w:hint="default"/>
          <w:sz w:val="21"/>
          <w:szCs w:val="21"/>
        </w:rPr>
      </w:pPr>
      <w:r>
        <w:rPr>
          <w:rFonts w:ascii="宋体" w:hAnsi="宋体" w:cs="宋体" w:eastAsia="宋体" w:hint="default"/>
          <w:sz w:val="21"/>
          <w:szCs w:val="21"/>
        </w:rPr>
        <w:t>已确认的政府补助需要返还的，存在相关递延收益的，冲减相关递延收益账面余额，超出 部分计入当期损益；不存在相关递延收益的，直接计入当期损益。</w:t>
      </w:r>
    </w:p>
    <w:p>
      <w:pPr>
        <w:spacing w:line="386" w:lineRule="auto" w:before="93"/>
        <w:ind w:left="520" w:right="140" w:firstLine="0"/>
        <w:jc w:val="left"/>
        <w:rPr>
          <w:rFonts w:ascii="宋体" w:hAnsi="宋体" w:cs="宋体" w:eastAsia="宋体" w:hint="default"/>
          <w:sz w:val="21"/>
          <w:szCs w:val="21"/>
        </w:rPr>
      </w:pPr>
      <w:r>
        <w:rPr>
          <w:rFonts w:ascii="宋体" w:hAnsi="宋体" w:cs="宋体" w:eastAsia="宋体" w:hint="default"/>
          <w:b/>
          <w:bCs/>
          <w:sz w:val="21"/>
          <w:szCs w:val="21"/>
        </w:rPr>
        <w:t>（十九）递延所得税资产</w:t>
      </w:r>
      <w:r>
        <w:rPr>
          <w:rFonts w:ascii="Arial Narrow" w:hAnsi="Arial Narrow" w:cs="Arial Narrow" w:eastAsia="Arial Narrow"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本公司的所得税采用资产负债表债务法核算。资产、负债的账面价值与其计税基础存在差</w:t>
      </w:r>
    </w:p>
    <w:p>
      <w:pPr>
        <w:spacing w:line="253" w:lineRule="exact" w:before="0"/>
        <w:ind w:left="100" w:right="140" w:firstLine="0"/>
        <w:jc w:val="left"/>
        <w:rPr>
          <w:rFonts w:ascii="宋体" w:hAnsi="宋体" w:cs="宋体" w:eastAsia="宋体" w:hint="default"/>
          <w:sz w:val="21"/>
          <w:szCs w:val="21"/>
        </w:rPr>
      </w:pPr>
      <w:r>
        <w:rPr>
          <w:rFonts w:ascii="宋体" w:hAnsi="宋体" w:cs="宋体" w:eastAsia="宋体" w:hint="default"/>
          <w:sz w:val="21"/>
          <w:szCs w:val="21"/>
        </w:rPr>
        <w:t>异的，按照规定确认所产生的递延所得税资产和递延所得税负债。</w:t>
      </w:r>
    </w:p>
    <w:p>
      <w:pPr>
        <w:spacing w:line="333" w:lineRule="auto" w:before="106"/>
        <w:ind w:left="100" w:right="217" w:firstLine="420"/>
        <w:jc w:val="both"/>
        <w:rPr>
          <w:rFonts w:ascii="宋体" w:hAnsi="宋体" w:cs="宋体" w:eastAsia="宋体" w:hint="default"/>
          <w:sz w:val="21"/>
          <w:szCs w:val="21"/>
        </w:rPr>
      </w:pPr>
      <w:r>
        <w:rPr>
          <w:rFonts w:ascii="宋体" w:hAnsi="宋体" w:cs="宋体" w:eastAsia="宋体" w:hint="default"/>
          <w:spacing w:val="-5"/>
          <w:sz w:val="21"/>
          <w:szCs w:val="21"/>
        </w:rPr>
        <w:t>在资产负债表日，对于当期和以前期间形成的当期所得税负债（或资产），按照税法规定计</w:t>
      </w:r>
      <w:r>
        <w:rPr>
          <w:rFonts w:ascii="宋体" w:hAnsi="宋体" w:cs="宋体" w:eastAsia="宋体" w:hint="default"/>
          <w:sz w:val="21"/>
          <w:szCs w:val="21"/>
        </w:rPr>
        <w:t> 算的预期应交纳（或返还）的所得税金额计量；对于递延所得税资产和递延所得税负债，根据</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税法规定，按照预期收回该资产或清偿该负债期间的适用税率计量。</w:t>
      </w:r>
    </w:p>
    <w:p>
      <w:pPr>
        <w:spacing w:line="333" w:lineRule="auto" w:before="25"/>
        <w:ind w:left="100" w:right="218" w:firstLine="420"/>
        <w:jc w:val="both"/>
        <w:rPr>
          <w:rFonts w:ascii="宋体" w:hAnsi="宋体" w:cs="宋体" w:eastAsia="宋体" w:hint="default"/>
          <w:sz w:val="21"/>
          <w:szCs w:val="21"/>
        </w:rPr>
      </w:pPr>
      <w:r>
        <w:rPr>
          <w:rFonts w:ascii="宋体" w:hAnsi="宋体" w:cs="宋体" w:eastAsia="宋体" w:hint="default"/>
          <w:sz w:val="21"/>
          <w:szCs w:val="21"/>
        </w:rPr>
        <w:t>递延所得税资产的确认以本公司很可能取得用来抵扣可抵扣暂时性差异、可抵扣亏损和税 款抵减的应纳税所得额为限。在无法明确估计可抵扣暂时性差异预期转回期间可能取得的应纳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税所得额时，不确认与可抵扣暂时性差异相关的递延所得税资产。对子公司投资相关的应纳税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暂时性差异产生的递延所得税负债，予以确认，但同时满足能够控制应纳税暂时性差异转回的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时间且该暂时性差异在可预见的未来很可能不会转回的，不予确认；对投资相关的可抵扣暂时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性差异产生的递延所得税资产，该可抵扣暂时性差异同时满足在可预见的未来很可能转回即在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可预见的将来有处置该项投资的明确计划，且预计在处置该项投资时，除了有足够的应纳税所</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得以外，还有足够的投资收益用以抵扣可抵扣暂时性差异时，予以确认。</w:t>
      </w:r>
    </w:p>
    <w:p>
      <w:pPr>
        <w:spacing w:line="333" w:lineRule="auto" w:before="25"/>
        <w:ind w:left="100" w:right="218" w:firstLine="420"/>
        <w:jc w:val="both"/>
        <w:rPr>
          <w:rFonts w:ascii="宋体" w:hAnsi="宋体" w:cs="宋体" w:eastAsia="宋体" w:hint="default"/>
          <w:sz w:val="21"/>
          <w:szCs w:val="21"/>
        </w:rPr>
      </w:pPr>
      <w:r>
        <w:rPr>
          <w:rFonts w:ascii="宋体" w:hAnsi="宋体" w:cs="宋体" w:eastAsia="宋体" w:hint="default"/>
          <w:sz w:val="21"/>
          <w:szCs w:val="21"/>
        </w:rPr>
        <w:t>资产负债表日，对递延所得税资产的账面价值进行复核。除企业合并、直接在所有者权益 中确认的交易或者事项产生的所得税外，本公司将当期所得税和递延所得税作为所得税费用或</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收益计入当期损益。</w:t>
      </w:r>
    </w:p>
    <w:p>
      <w:pPr>
        <w:spacing w:line="408" w:lineRule="auto" w:before="86"/>
        <w:ind w:left="520" w:right="140" w:firstLine="0"/>
        <w:jc w:val="left"/>
        <w:rPr>
          <w:rFonts w:ascii="宋体" w:hAnsi="宋体" w:cs="宋体" w:eastAsia="宋体" w:hint="default"/>
          <w:sz w:val="21"/>
          <w:szCs w:val="21"/>
        </w:rPr>
      </w:pPr>
      <w:r>
        <w:rPr>
          <w:rFonts w:ascii="宋体" w:hAnsi="宋体" w:cs="宋体" w:eastAsia="宋体" w:hint="default"/>
          <w:b/>
          <w:bCs/>
          <w:sz w:val="21"/>
          <w:szCs w:val="21"/>
        </w:rPr>
        <w:t>（二十）经营租赁、融资租赁</w:t>
      </w:r>
      <w:r>
        <w:rPr>
          <w:rFonts w:ascii="宋体" w:hAnsi="宋体" w:cs="宋体" w:eastAsia="宋体" w:hint="default"/>
          <w:b/>
          <w:bCs/>
          <w:spacing w:val="1"/>
          <w:w w:val="99"/>
          <w:sz w:val="21"/>
          <w:szCs w:val="21"/>
        </w:rPr>
        <w:t> </w:t>
      </w:r>
      <w:r>
        <w:rPr>
          <w:rFonts w:ascii="宋体" w:hAnsi="宋体" w:cs="宋体" w:eastAsia="宋体" w:hint="default"/>
          <w:sz w:val="21"/>
          <w:szCs w:val="21"/>
        </w:rPr>
        <w:t>如果租赁条款在实质上将与租赁资产所有权有关的全部风险和报酬转移给承租人，该租赁</w:t>
      </w:r>
    </w:p>
    <w:p>
      <w:pPr>
        <w:spacing w:line="262" w:lineRule="exact" w:before="0"/>
        <w:ind w:left="100" w:right="140" w:firstLine="0"/>
        <w:jc w:val="left"/>
        <w:rPr>
          <w:rFonts w:ascii="宋体" w:hAnsi="宋体" w:cs="宋体" w:eastAsia="宋体" w:hint="default"/>
          <w:sz w:val="21"/>
          <w:szCs w:val="21"/>
        </w:rPr>
      </w:pPr>
      <w:r>
        <w:rPr>
          <w:rFonts w:ascii="宋体" w:hAnsi="宋体" w:cs="宋体" w:eastAsia="宋体" w:hint="default"/>
          <w:sz w:val="21"/>
          <w:szCs w:val="21"/>
        </w:rPr>
        <w:t>为融资租赁，其他租赁则为经营租赁。</w:t>
      </w:r>
    </w:p>
    <w:p>
      <w:pPr>
        <w:spacing w:line="240" w:lineRule="auto" w:before="10"/>
        <w:rPr>
          <w:rFonts w:ascii="宋体" w:hAnsi="宋体" w:cs="宋体" w:eastAsia="宋体" w:hint="default"/>
          <w:sz w:val="14"/>
          <w:szCs w:val="14"/>
        </w:rPr>
      </w:pPr>
    </w:p>
    <w:p>
      <w:pPr>
        <w:spacing w:before="0"/>
        <w:ind w:left="520" w:right="14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 </w:t>
      </w:r>
      <w:r>
        <w:rPr>
          <w:rFonts w:ascii="Arial Narrow" w:hAnsi="Arial Narrow" w:cs="Arial Narrow" w:eastAsia="Arial Narrow" w:hint="default"/>
          <w:b/>
          <w:bCs/>
          <w:spacing w:val="7"/>
          <w:sz w:val="21"/>
          <w:szCs w:val="21"/>
        </w:rPr>
        <w:t> </w:t>
      </w:r>
      <w:r>
        <w:rPr>
          <w:rFonts w:ascii="宋体" w:hAnsi="宋体" w:cs="宋体" w:eastAsia="宋体" w:hint="default"/>
          <w:b/>
          <w:bCs/>
          <w:sz w:val="21"/>
          <w:szCs w:val="21"/>
        </w:rPr>
        <w:t>本公司作为出租人</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2240" w:h="15840"/>
          <w:pgMar w:header="0" w:footer="708" w:top="1400" w:bottom="900" w:left="1700" w:right="1580"/>
        </w:sectPr>
      </w:pPr>
    </w:p>
    <w:p>
      <w:pPr>
        <w:spacing w:line="355" w:lineRule="auto" w:before="6"/>
        <w:ind w:left="220" w:right="180" w:firstLine="420"/>
        <w:jc w:val="left"/>
        <w:rPr>
          <w:rFonts w:ascii="宋体" w:hAnsi="宋体" w:cs="宋体" w:eastAsia="宋体" w:hint="default"/>
          <w:sz w:val="21"/>
          <w:szCs w:val="21"/>
        </w:rPr>
      </w:pPr>
      <w:r>
        <w:rPr>
          <w:rFonts w:ascii="宋体" w:hAnsi="宋体" w:cs="宋体" w:eastAsia="宋体" w:hint="default"/>
          <w:sz w:val="21"/>
          <w:szCs w:val="21"/>
        </w:rPr>
        <w:t>经营租赁中的租金，本公司在租赁期内各个期间按照直线法确认当期损益。发生的初始直 接费用，计入当期损益。</w:t>
      </w:r>
    </w:p>
    <w:p>
      <w:pPr>
        <w:spacing w:line="388" w:lineRule="auto" w:before="93"/>
        <w:ind w:left="640" w:right="10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本公司作为承租人</w:t>
      </w:r>
      <w:r>
        <w:rPr>
          <w:rFonts w:ascii="宋体" w:hAnsi="宋体" w:cs="宋体" w:eastAsia="宋体" w:hint="default"/>
          <w:b/>
          <w:bCs/>
          <w:spacing w:val="1"/>
          <w:w w:val="99"/>
          <w:sz w:val="21"/>
          <w:szCs w:val="21"/>
        </w:rPr>
        <w:t> </w:t>
      </w:r>
      <w:r>
        <w:rPr>
          <w:rFonts w:ascii="宋体" w:hAnsi="宋体" w:cs="宋体" w:eastAsia="宋体" w:hint="default"/>
          <w:spacing w:val="-2"/>
          <w:sz w:val="21"/>
          <w:szCs w:val="21"/>
        </w:rPr>
        <w:t>经营租赁中的租金，本公司在租赁期内各个期间按照直线法计入相关资产成本或当期损益；</w:t>
      </w:r>
    </w:p>
    <w:p>
      <w:pPr>
        <w:spacing w:before="4"/>
        <w:ind w:left="220" w:right="180" w:firstLine="0"/>
        <w:jc w:val="left"/>
        <w:rPr>
          <w:rFonts w:ascii="宋体" w:hAnsi="宋体" w:cs="宋体" w:eastAsia="宋体" w:hint="default"/>
          <w:sz w:val="21"/>
          <w:szCs w:val="21"/>
        </w:rPr>
      </w:pPr>
      <w:r>
        <w:rPr>
          <w:rFonts w:ascii="宋体" w:hAnsi="宋体" w:cs="宋体" w:eastAsia="宋体" w:hint="default"/>
          <w:sz w:val="21"/>
          <w:szCs w:val="21"/>
        </w:rPr>
        <w:t>发生的初始直接费用，计入当期损益。</w:t>
      </w:r>
    </w:p>
    <w:p>
      <w:pPr>
        <w:spacing w:line="240" w:lineRule="auto" w:before="5"/>
        <w:rPr>
          <w:rFonts w:ascii="宋体" w:hAnsi="宋体" w:cs="宋体" w:eastAsia="宋体" w:hint="default"/>
          <w:sz w:val="19"/>
          <w:szCs w:val="19"/>
        </w:rPr>
      </w:pPr>
    </w:p>
    <w:p>
      <w:pPr>
        <w:spacing w:line="398" w:lineRule="auto" w:before="0"/>
        <w:ind w:left="640" w:right="4491" w:firstLine="0"/>
        <w:jc w:val="left"/>
        <w:rPr>
          <w:rFonts w:ascii="宋体" w:hAnsi="宋体" w:cs="宋体" w:eastAsia="宋体" w:hint="default"/>
          <w:sz w:val="21"/>
          <w:szCs w:val="21"/>
        </w:rPr>
      </w:pPr>
      <w:r>
        <w:rPr>
          <w:rFonts w:ascii="宋体" w:hAnsi="宋体" w:cs="宋体" w:eastAsia="宋体" w:hint="default"/>
          <w:b/>
          <w:bCs/>
          <w:w w:val="95"/>
          <w:sz w:val="21"/>
          <w:szCs w:val="21"/>
        </w:rPr>
        <w:t>（二十一）主要会计政策、会计估计的变更</w:t>
      </w:r>
      <w:r>
        <w:rPr>
          <w:rFonts w:ascii="宋体" w:hAnsi="宋体" w:cs="宋体" w:eastAsia="宋体" w:hint="default"/>
          <w:b/>
          <w:bCs/>
          <w:spacing w:val="91"/>
          <w:w w:val="95"/>
          <w:sz w:val="21"/>
          <w:szCs w:val="21"/>
        </w:rPr>
        <w:t> </w:t>
      </w:r>
      <w:r>
        <w:rPr>
          <w:rFonts w:ascii="宋体" w:hAnsi="宋体" w:cs="宋体" w:eastAsia="宋体" w:hint="default"/>
          <w:b/>
          <w:bCs/>
          <w:spacing w:val="91"/>
          <w:w w:val="95"/>
          <w:sz w:val="21"/>
          <w:szCs w:val="21"/>
        </w:rPr>
      </w:r>
      <w:r>
        <w:rPr>
          <w:rFonts w:ascii="Arial Narrow" w:hAnsi="Arial Narrow" w:cs="Arial Narrow" w:eastAsia="Arial Narrow" w:hint="default"/>
          <w:b/>
          <w:bCs/>
          <w:sz w:val="21"/>
          <w:szCs w:val="21"/>
        </w:rPr>
        <w:t>1.</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会计政策变更</w:t>
      </w:r>
      <w:r>
        <w:rPr>
          <w:rFonts w:ascii="宋体" w:hAnsi="宋体" w:cs="宋体" w:eastAsia="宋体" w:hint="default"/>
          <w:b/>
          <w:bCs/>
          <w:w w:val="99"/>
          <w:sz w:val="21"/>
          <w:szCs w:val="21"/>
        </w:rPr>
        <w:t> </w:t>
      </w:r>
      <w:r>
        <w:rPr>
          <w:rFonts w:ascii="宋体" w:hAnsi="宋体" w:cs="宋体" w:eastAsia="宋体" w:hint="default"/>
          <w:sz w:val="21"/>
          <w:szCs w:val="21"/>
        </w:rPr>
        <w:t>本报告期会计政策未发生重大变更。</w:t>
      </w:r>
    </w:p>
    <w:p>
      <w:pPr>
        <w:spacing w:line="386" w:lineRule="auto" w:before="29"/>
        <w:ind w:left="640" w:right="5060" w:hanging="1"/>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会计估计变更</w:t>
      </w:r>
      <w:r>
        <w:rPr>
          <w:rFonts w:ascii="宋体" w:hAnsi="宋体" w:cs="宋体" w:eastAsia="宋体" w:hint="default"/>
          <w:b/>
          <w:bCs/>
          <w:w w:val="99"/>
          <w:sz w:val="21"/>
          <w:szCs w:val="21"/>
        </w:rPr>
        <w:t> </w:t>
      </w:r>
      <w:r>
        <w:rPr>
          <w:rFonts w:ascii="宋体" w:hAnsi="宋体" w:cs="宋体" w:eastAsia="宋体" w:hint="default"/>
          <w:sz w:val="21"/>
          <w:szCs w:val="21"/>
        </w:rPr>
        <w:t>本报告期会计估计未发生重大变更。</w:t>
      </w:r>
    </w:p>
    <w:p>
      <w:pPr>
        <w:spacing w:line="408" w:lineRule="auto" w:before="40"/>
        <w:ind w:left="640" w:right="4640" w:firstLine="0"/>
        <w:jc w:val="left"/>
        <w:rPr>
          <w:rFonts w:ascii="宋体" w:hAnsi="宋体" w:cs="宋体" w:eastAsia="宋体" w:hint="default"/>
          <w:sz w:val="21"/>
          <w:szCs w:val="21"/>
        </w:rPr>
      </w:pPr>
      <w:r>
        <w:rPr>
          <w:rFonts w:ascii="宋体" w:hAnsi="宋体" w:cs="宋体" w:eastAsia="宋体" w:hint="default"/>
          <w:b/>
          <w:bCs/>
          <w:sz w:val="21"/>
          <w:szCs w:val="21"/>
        </w:rPr>
        <w:t>（二十二）前期会计差错更正</w:t>
      </w:r>
      <w:r>
        <w:rPr>
          <w:rFonts w:ascii="宋体" w:hAnsi="宋体" w:cs="宋体" w:eastAsia="宋体" w:hint="default"/>
          <w:b/>
          <w:bCs/>
          <w:spacing w:val="1"/>
          <w:w w:val="99"/>
          <w:sz w:val="21"/>
          <w:szCs w:val="21"/>
        </w:rPr>
        <w:t> </w:t>
      </w:r>
      <w:r>
        <w:rPr>
          <w:rFonts w:ascii="宋体" w:hAnsi="宋体" w:cs="宋体" w:eastAsia="宋体" w:hint="default"/>
          <w:sz w:val="21"/>
          <w:szCs w:val="21"/>
        </w:rPr>
        <w:t>本报告期未发生重大前期会计差错更正。</w:t>
      </w:r>
    </w:p>
    <w:p>
      <w:pPr>
        <w:spacing w:line="240" w:lineRule="auto" w:before="12"/>
        <w:rPr>
          <w:rFonts w:ascii="宋体" w:hAnsi="宋体" w:cs="宋体" w:eastAsia="宋体" w:hint="default"/>
          <w:sz w:val="14"/>
          <w:szCs w:val="14"/>
        </w:rPr>
      </w:pPr>
    </w:p>
    <w:p>
      <w:pPr>
        <w:pStyle w:val="BodyText"/>
        <w:spacing w:line="240" w:lineRule="auto"/>
        <w:ind w:left="930" w:right="180"/>
        <w:jc w:val="left"/>
        <w:rPr>
          <w:rFonts w:ascii="黑体" w:hAnsi="黑体" w:cs="黑体" w:eastAsia="黑体" w:hint="default"/>
        </w:rPr>
      </w:pPr>
      <w:r>
        <w:rPr>
          <w:rFonts w:ascii="黑体" w:hAnsi="黑体" w:cs="黑体" w:eastAsia="黑体" w:hint="default"/>
        </w:rPr>
        <w:t>三、税项</w:t>
      </w:r>
    </w:p>
    <w:p>
      <w:pPr>
        <w:spacing w:line="240" w:lineRule="auto" w:before="3"/>
        <w:rPr>
          <w:rFonts w:ascii="黑体" w:hAnsi="黑体" w:cs="黑体" w:eastAsia="黑体" w:hint="default"/>
          <w:sz w:val="21"/>
          <w:szCs w:val="21"/>
        </w:rPr>
      </w:pPr>
    </w:p>
    <w:p>
      <w:pPr>
        <w:spacing w:before="0"/>
        <w:ind w:left="640" w:right="180" w:firstLine="0"/>
        <w:jc w:val="left"/>
        <w:rPr>
          <w:rFonts w:ascii="宋体" w:hAnsi="宋体" w:cs="宋体" w:eastAsia="宋体" w:hint="default"/>
          <w:sz w:val="21"/>
          <w:szCs w:val="21"/>
        </w:rPr>
      </w:pPr>
      <w:r>
        <w:rPr>
          <w:rFonts w:ascii="宋体" w:hAnsi="宋体" w:cs="宋体" w:eastAsia="宋体" w:hint="default"/>
          <w:b/>
          <w:bCs/>
          <w:sz w:val="21"/>
          <w:szCs w:val="21"/>
        </w:rPr>
        <w:t>（一）主要税种及税率</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 </w:t>
      </w:r>
      <w:r>
        <w:rPr>
          <w:rFonts w:ascii="Arial Narrow" w:hAnsi="Arial Narrow" w:cs="Arial Narrow" w:eastAsia="Arial Narrow" w:hint="default"/>
          <w:b/>
          <w:bCs/>
          <w:spacing w:val="7"/>
          <w:sz w:val="21"/>
          <w:szCs w:val="21"/>
        </w:rPr>
        <w:t> </w:t>
      </w:r>
      <w:r>
        <w:rPr>
          <w:rFonts w:ascii="宋体" w:hAnsi="宋体" w:cs="宋体" w:eastAsia="宋体" w:hint="default"/>
          <w:b/>
          <w:bCs/>
          <w:sz w:val="21"/>
          <w:szCs w:val="21"/>
        </w:rPr>
        <w:t>流转税及附加税费</w:t>
      </w:r>
      <w:r>
        <w:rPr>
          <w:rFonts w:ascii="宋体" w:hAnsi="宋体" w:cs="宋体" w:eastAsia="宋体" w:hint="default"/>
          <w:sz w:val="21"/>
          <w:szCs w:val="21"/>
        </w:rPr>
      </w:r>
    </w:p>
    <w:p>
      <w:pPr>
        <w:spacing w:line="240" w:lineRule="auto" w:before="3"/>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1967"/>
        <w:gridCol w:w="4728"/>
        <w:gridCol w:w="2149"/>
      </w:tblGrid>
      <w:tr>
        <w:trPr>
          <w:trHeight w:val="309" w:hRule="exact"/>
        </w:trPr>
        <w:tc>
          <w:tcPr>
            <w:tcW w:w="196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税目</w:t>
            </w:r>
          </w:p>
        </w:tc>
        <w:tc>
          <w:tcPr>
            <w:tcW w:w="472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1622" w:right="0"/>
              <w:jc w:val="left"/>
              <w:rPr>
                <w:rFonts w:ascii="宋体" w:hAnsi="宋体" w:cs="宋体" w:eastAsia="宋体" w:hint="default"/>
                <w:sz w:val="21"/>
                <w:szCs w:val="21"/>
              </w:rPr>
            </w:pPr>
            <w:r>
              <w:rPr>
                <w:rFonts w:ascii="宋体" w:hAnsi="宋体" w:cs="宋体" w:eastAsia="宋体" w:hint="default"/>
                <w:sz w:val="21"/>
                <w:szCs w:val="21"/>
              </w:rPr>
              <w:t>纳税（费）基础</w:t>
            </w:r>
          </w:p>
        </w:tc>
        <w:tc>
          <w:tcPr>
            <w:tcW w:w="214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税（费）率</w:t>
            </w:r>
          </w:p>
        </w:tc>
      </w:tr>
      <w:tr>
        <w:trPr>
          <w:trHeight w:val="345" w:hRule="exact"/>
        </w:trPr>
        <w:tc>
          <w:tcPr>
            <w:tcW w:w="1967" w:type="dxa"/>
            <w:tcBorders>
              <w:top w:val="single" w:sz="13" w:space="0" w:color="C0C0C0"/>
              <w:left w:val="single" w:sz="6" w:space="0" w:color="000000"/>
              <w:bottom w:val="single" w:sz="6" w:space="0" w:color="000000"/>
              <w:right w:val="single" w:sz="6" w:space="0" w:color="000000"/>
            </w:tcBorders>
          </w:tcPr>
          <w:p>
            <w:pPr>
              <w:pStyle w:val="TableParagraph"/>
              <w:spacing w:line="268" w:lineRule="exact"/>
              <w:ind w:left="20"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728" w:type="dxa"/>
            <w:tcBorders>
              <w:top w:val="single" w:sz="13" w:space="0" w:color="C0C0C0"/>
              <w:left w:val="single" w:sz="6" w:space="0" w:color="000000"/>
              <w:bottom w:val="single" w:sz="6" w:space="0" w:color="000000"/>
              <w:right w:val="single" w:sz="6" w:space="0" w:color="000000"/>
            </w:tcBorders>
          </w:tcPr>
          <w:p>
            <w:pPr>
              <w:pStyle w:val="TableParagraph"/>
              <w:spacing w:line="268" w:lineRule="exact"/>
              <w:ind w:right="146"/>
              <w:jc w:val="center"/>
              <w:rPr>
                <w:rFonts w:ascii="宋体" w:hAnsi="宋体" w:cs="宋体" w:eastAsia="宋体" w:hint="default"/>
                <w:sz w:val="21"/>
                <w:szCs w:val="21"/>
              </w:rPr>
            </w:pPr>
            <w:r>
              <w:rPr>
                <w:rFonts w:ascii="宋体" w:hAnsi="宋体" w:cs="宋体" w:eastAsia="宋体" w:hint="default"/>
                <w:sz w:val="21"/>
                <w:szCs w:val="21"/>
              </w:rPr>
              <w:t>服务收入</w:t>
            </w:r>
          </w:p>
        </w:tc>
        <w:tc>
          <w:tcPr>
            <w:tcW w:w="2149" w:type="dxa"/>
            <w:tcBorders>
              <w:top w:val="single" w:sz="8" w:space="0" w:color="C0C0C0"/>
              <w:left w:val="single" w:sz="6" w:space="0" w:color="000000"/>
              <w:bottom w:val="single" w:sz="6" w:space="0" w:color="000000"/>
              <w:right w:val="single" w:sz="6" w:space="0" w:color="000000"/>
            </w:tcBorders>
          </w:tcPr>
          <w:p>
            <w:pPr>
              <w:pStyle w:val="TableParagraph"/>
              <w:spacing w:line="289" w:lineRule="exact"/>
              <w:ind w:left="2" w:right="0"/>
              <w:jc w:val="center"/>
              <w:rPr>
                <w:rFonts w:ascii="Arial Narrow" w:hAnsi="Arial Narrow" w:cs="Arial Narrow" w:eastAsia="Arial Narrow"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Arial Narrow" w:hAnsi="Arial Narrow" w:cs="Arial Narrow" w:eastAsia="Arial Narrow" w:hint="default"/>
                <w:sz w:val="21"/>
                <w:szCs w:val="21"/>
              </w:rPr>
              <w:t>5%</w:t>
            </w:r>
          </w:p>
        </w:tc>
      </w:tr>
      <w:tr>
        <w:trPr>
          <w:trHeight w:val="326" w:hRule="exact"/>
        </w:trPr>
        <w:tc>
          <w:tcPr>
            <w:tcW w:w="196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7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46"/>
              <w:jc w:val="center"/>
              <w:rPr>
                <w:rFonts w:ascii="宋体" w:hAnsi="宋体" w:cs="宋体" w:eastAsia="宋体" w:hint="default"/>
                <w:sz w:val="21"/>
                <w:szCs w:val="21"/>
              </w:rPr>
            </w:pPr>
            <w:r>
              <w:rPr>
                <w:rFonts w:ascii="宋体" w:hAnsi="宋体" w:cs="宋体" w:eastAsia="宋体" w:hint="default"/>
                <w:sz w:val="21"/>
                <w:szCs w:val="21"/>
              </w:rPr>
              <w:t>境内销售</w:t>
            </w:r>
          </w:p>
        </w:tc>
        <w:tc>
          <w:tcPr>
            <w:tcW w:w="21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3" w:right="0"/>
              <w:jc w:val="center"/>
              <w:rPr>
                <w:rFonts w:ascii="Arial Narrow" w:hAnsi="Arial Narrow" w:cs="Arial Narrow" w:eastAsia="Arial Narrow" w:hint="default"/>
                <w:sz w:val="21"/>
                <w:szCs w:val="21"/>
              </w:rPr>
            </w:pPr>
            <w:r>
              <w:rPr>
                <w:rFonts w:ascii="Arial Narrow"/>
                <w:sz w:val="21"/>
              </w:rPr>
              <w:t>17%</w:t>
            </w:r>
          </w:p>
        </w:tc>
      </w:tr>
      <w:tr>
        <w:trPr>
          <w:trHeight w:val="328" w:hRule="exact"/>
        </w:trPr>
        <w:tc>
          <w:tcPr>
            <w:tcW w:w="196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47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652" w:right="0"/>
              <w:jc w:val="left"/>
              <w:rPr>
                <w:rFonts w:ascii="宋体" w:hAnsi="宋体" w:cs="宋体" w:eastAsia="宋体" w:hint="default"/>
                <w:sz w:val="21"/>
                <w:szCs w:val="21"/>
              </w:rPr>
            </w:pPr>
            <w:r>
              <w:rPr>
                <w:rFonts w:ascii="宋体" w:hAnsi="宋体" w:cs="宋体" w:eastAsia="宋体" w:hint="default"/>
                <w:sz w:val="21"/>
                <w:szCs w:val="21"/>
              </w:rPr>
              <w:t>应交流转税额</w:t>
            </w:r>
          </w:p>
        </w:tc>
        <w:tc>
          <w:tcPr>
            <w:tcW w:w="21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3" w:right="0"/>
              <w:jc w:val="center"/>
              <w:rPr>
                <w:rFonts w:ascii="Arial Narrow" w:hAnsi="Arial Narrow" w:cs="Arial Narrow" w:eastAsia="Arial Narrow" w:hint="default"/>
                <w:sz w:val="21"/>
                <w:szCs w:val="21"/>
              </w:rPr>
            </w:pPr>
            <w:r>
              <w:rPr>
                <w:rFonts w:ascii="Arial Narrow"/>
                <w:sz w:val="21"/>
              </w:rPr>
              <w:t>7%</w:t>
            </w:r>
          </w:p>
        </w:tc>
      </w:tr>
      <w:tr>
        <w:trPr>
          <w:trHeight w:val="326" w:hRule="exact"/>
        </w:trPr>
        <w:tc>
          <w:tcPr>
            <w:tcW w:w="196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7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652" w:right="0"/>
              <w:jc w:val="left"/>
              <w:rPr>
                <w:rFonts w:ascii="宋体" w:hAnsi="宋体" w:cs="宋体" w:eastAsia="宋体" w:hint="default"/>
                <w:sz w:val="21"/>
                <w:szCs w:val="21"/>
              </w:rPr>
            </w:pPr>
            <w:r>
              <w:rPr>
                <w:rFonts w:ascii="宋体" w:hAnsi="宋体" w:cs="宋体" w:eastAsia="宋体" w:hint="default"/>
                <w:sz w:val="21"/>
                <w:szCs w:val="21"/>
              </w:rPr>
              <w:t>应交流转税额</w:t>
            </w:r>
          </w:p>
        </w:tc>
        <w:tc>
          <w:tcPr>
            <w:tcW w:w="21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3" w:right="0"/>
              <w:jc w:val="center"/>
              <w:rPr>
                <w:rFonts w:ascii="Arial Narrow" w:hAnsi="Arial Narrow" w:cs="Arial Narrow" w:eastAsia="Arial Narrow" w:hint="default"/>
                <w:sz w:val="21"/>
                <w:szCs w:val="21"/>
              </w:rPr>
            </w:pPr>
            <w:r>
              <w:rPr>
                <w:rFonts w:ascii="Arial Narrow"/>
                <w:sz w:val="21"/>
              </w:rPr>
              <w:t>3%</w:t>
            </w:r>
          </w:p>
        </w:tc>
      </w:tr>
      <w:tr>
        <w:trPr>
          <w:trHeight w:val="326" w:hRule="exact"/>
        </w:trPr>
        <w:tc>
          <w:tcPr>
            <w:tcW w:w="196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472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652" w:right="0"/>
              <w:jc w:val="left"/>
              <w:rPr>
                <w:rFonts w:ascii="宋体" w:hAnsi="宋体" w:cs="宋体" w:eastAsia="宋体" w:hint="default"/>
                <w:sz w:val="21"/>
                <w:szCs w:val="21"/>
              </w:rPr>
            </w:pPr>
            <w:r>
              <w:rPr>
                <w:rFonts w:ascii="宋体" w:hAnsi="宋体" w:cs="宋体" w:eastAsia="宋体" w:hint="default"/>
                <w:sz w:val="21"/>
                <w:szCs w:val="21"/>
              </w:rPr>
              <w:t>应交流转税额</w:t>
            </w:r>
          </w:p>
        </w:tc>
        <w:tc>
          <w:tcPr>
            <w:tcW w:w="21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3" w:right="0"/>
              <w:jc w:val="center"/>
              <w:rPr>
                <w:rFonts w:ascii="Arial Narrow" w:hAnsi="Arial Narrow" w:cs="Arial Narrow" w:eastAsia="Arial Narrow" w:hint="default"/>
                <w:sz w:val="21"/>
                <w:szCs w:val="21"/>
              </w:rPr>
            </w:pPr>
            <w:r>
              <w:rPr>
                <w:rFonts w:ascii="Arial Narrow"/>
                <w:sz w:val="21"/>
              </w:rPr>
              <w:t>2%</w:t>
            </w:r>
          </w:p>
        </w:tc>
      </w:tr>
    </w:tbl>
    <w:p>
      <w:pPr>
        <w:spacing w:line="255" w:lineRule="exact" w:before="0"/>
        <w:ind w:left="219" w:right="180"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Arial Narrow" w:hAnsi="Arial Narrow" w:cs="Arial Narrow" w:eastAsia="Arial Narrow" w:hint="default"/>
          <w:sz w:val="21"/>
          <w:szCs w:val="21"/>
        </w:rPr>
        <w:t>2001</w:t>
      </w:r>
      <w:r>
        <w:rPr>
          <w:rFonts w:ascii="Arial Narrow" w:hAnsi="Arial Narrow" w:cs="Arial Narrow" w:eastAsia="Arial Narrow"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4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Arial Narrow" w:hAnsi="Arial Narrow" w:cs="Arial Narrow" w:eastAsia="Arial Narrow" w:hint="default"/>
          <w:sz w:val="21"/>
          <w:szCs w:val="21"/>
        </w:rPr>
        <w:t>24</w:t>
      </w:r>
      <w:r>
        <w:rPr>
          <w:rFonts w:ascii="Arial Narrow" w:hAnsi="Arial Narrow" w:cs="Arial Narrow" w:eastAsia="Arial Narrow" w:hint="default"/>
          <w:spacing w:val="13"/>
          <w:sz w:val="21"/>
          <w:szCs w:val="21"/>
        </w:rPr>
        <w:t> </w:t>
      </w:r>
      <w:r>
        <w:rPr>
          <w:rFonts w:ascii="宋体" w:hAnsi="宋体" w:cs="宋体" w:eastAsia="宋体" w:hint="default"/>
          <w:sz w:val="21"/>
          <w:szCs w:val="21"/>
        </w:rPr>
        <w:t>日，本公司通过取得厦门市科学技术委员会软件企业认证，取得“厦</w:t>
      </w:r>
    </w:p>
    <w:p>
      <w:pPr>
        <w:spacing w:line="319" w:lineRule="auto" w:before="92"/>
        <w:ind w:left="220" w:right="99" w:hanging="1"/>
        <w:jc w:val="left"/>
        <w:rPr>
          <w:rFonts w:ascii="宋体" w:hAnsi="宋体" w:cs="宋体" w:eastAsia="宋体" w:hint="default"/>
          <w:sz w:val="21"/>
          <w:szCs w:val="21"/>
        </w:rPr>
      </w:pPr>
      <w:r>
        <w:rPr>
          <w:rFonts w:ascii="Arial Narrow" w:hAnsi="Arial Narrow" w:cs="Arial Narrow" w:eastAsia="Arial Narrow" w:hint="default"/>
          <w:spacing w:val="-1"/>
          <w:w w:val="99"/>
          <w:sz w:val="21"/>
          <w:szCs w:val="21"/>
        </w:rPr>
        <w:t>R-2001-0044</w:t>
      </w:r>
      <w:r>
        <w:rPr>
          <w:rFonts w:ascii="Arial Narrow" w:hAnsi="Arial Narrow" w:cs="Arial Narrow" w:eastAsia="Arial Narrow" w:hint="default"/>
          <w:spacing w:val="15"/>
          <w:w w:val="99"/>
          <w:sz w:val="21"/>
          <w:szCs w:val="21"/>
        </w:rPr>
        <w:t> </w:t>
      </w:r>
      <w:r>
        <w:rPr>
          <w:rFonts w:ascii="宋体" w:hAnsi="宋体" w:cs="宋体" w:eastAsia="宋体" w:hint="default"/>
          <w:spacing w:val="-13"/>
          <w:w w:val="99"/>
          <w:sz w:val="21"/>
          <w:szCs w:val="21"/>
        </w:rPr>
        <w:t>号”《软件企业认定证书》。</w:t>
      </w:r>
      <w:r>
        <w:rPr>
          <w:rFonts w:ascii="Arial Narrow" w:hAnsi="Arial Narrow" w:cs="Arial Narrow" w:eastAsia="Arial Narrow" w:hint="default"/>
          <w:spacing w:val="-13"/>
          <w:w w:val="99"/>
          <w:sz w:val="21"/>
          <w:szCs w:val="21"/>
        </w:rPr>
        <w:t>2009</w:t>
      </w:r>
      <w:r>
        <w:rPr>
          <w:rFonts w:ascii="Arial Narrow" w:hAnsi="Arial Narrow" w:cs="Arial Narrow" w:eastAsia="Arial Narrow" w:hint="default"/>
          <w:spacing w:val="16"/>
          <w:w w:val="99"/>
          <w:sz w:val="21"/>
          <w:szCs w:val="21"/>
        </w:rPr>
        <w:t> </w:t>
      </w:r>
      <w:r>
        <w:rPr>
          <w:rFonts w:ascii="宋体" w:hAnsi="宋体" w:cs="宋体" w:eastAsia="宋体" w:hint="default"/>
          <w:w w:val="99"/>
          <w:sz w:val="21"/>
          <w:szCs w:val="21"/>
        </w:rPr>
        <w:t>年</w:t>
      </w:r>
      <w:r>
        <w:rPr>
          <w:rFonts w:ascii="宋体" w:hAnsi="宋体" w:cs="宋体" w:eastAsia="宋体" w:hint="default"/>
          <w:spacing w:val="-41"/>
          <w:w w:val="99"/>
          <w:sz w:val="21"/>
          <w:szCs w:val="21"/>
        </w:rPr>
        <w:t> </w:t>
      </w:r>
      <w:r>
        <w:rPr>
          <w:rFonts w:ascii="Arial Narrow" w:hAnsi="Arial Narrow" w:cs="Arial Narrow" w:eastAsia="Arial Narrow" w:hint="default"/>
          <w:spacing w:val="-1"/>
          <w:w w:val="99"/>
          <w:sz w:val="21"/>
          <w:szCs w:val="21"/>
        </w:rPr>
        <w:t>12</w:t>
      </w:r>
      <w:r>
        <w:rPr>
          <w:rFonts w:ascii="Arial Narrow" w:hAnsi="Arial Narrow" w:cs="Arial Narrow" w:eastAsia="Arial Narrow" w:hint="default"/>
          <w:spacing w:val="15"/>
          <w:w w:val="99"/>
          <w:sz w:val="21"/>
          <w:szCs w:val="21"/>
        </w:rPr>
        <w:t> </w:t>
      </w:r>
      <w:r>
        <w:rPr>
          <w:rFonts w:ascii="宋体" w:hAnsi="宋体" w:cs="宋体" w:eastAsia="宋体" w:hint="default"/>
          <w:w w:val="99"/>
          <w:sz w:val="21"/>
          <w:szCs w:val="21"/>
        </w:rPr>
        <w:t>月</w:t>
      </w:r>
      <w:r>
        <w:rPr>
          <w:rFonts w:ascii="宋体" w:hAnsi="宋体" w:cs="宋体" w:eastAsia="宋体" w:hint="default"/>
          <w:spacing w:val="-41"/>
          <w:w w:val="99"/>
          <w:sz w:val="21"/>
          <w:szCs w:val="21"/>
        </w:rPr>
        <w:t> </w:t>
      </w:r>
      <w:r>
        <w:rPr>
          <w:rFonts w:ascii="Arial Narrow" w:hAnsi="Arial Narrow" w:cs="Arial Narrow" w:eastAsia="Arial Narrow" w:hint="default"/>
          <w:w w:val="99"/>
          <w:sz w:val="21"/>
          <w:szCs w:val="21"/>
        </w:rPr>
        <w:t>20</w:t>
      </w:r>
      <w:r>
        <w:rPr>
          <w:rFonts w:ascii="Arial Narrow" w:hAnsi="Arial Narrow" w:cs="Arial Narrow" w:eastAsia="Arial Narrow" w:hint="default"/>
          <w:spacing w:val="16"/>
          <w:w w:val="99"/>
          <w:sz w:val="21"/>
          <w:szCs w:val="21"/>
        </w:rPr>
        <w:t> </w:t>
      </w:r>
      <w:r>
        <w:rPr>
          <w:rFonts w:ascii="宋体" w:hAnsi="宋体" w:cs="宋体" w:eastAsia="宋体" w:hint="default"/>
          <w:spacing w:val="-1"/>
          <w:w w:val="99"/>
          <w:sz w:val="21"/>
          <w:szCs w:val="21"/>
        </w:rPr>
        <w:t>日，</w:t>
      </w:r>
      <w:r>
        <w:rPr>
          <w:rFonts w:ascii="宋体" w:hAnsi="宋体" w:cs="宋体" w:eastAsia="宋体" w:hint="default"/>
          <w:color w:val="323232"/>
          <w:spacing w:val="-1"/>
          <w:w w:val="99"/>
          <w:sz w:val="21"/>
          <w:szCs w:val="21"/>
        </w:rPr>
        <w:t>股份制改制变更后</w:t>
      </w:r>
      <w:r>
        <w:rPr>
          <w:rFonts w:ascii="宋体" w:hAnsi="宋体" w:cs="宋体" w:eastAsia="宋体" w:hint="default"/>
          <w:spacing w:val="-1"/>
          <w:w w:val="99"/>
          <w:sz w:val="21"/>
          <w:szCs w:val="21"/>
        </w:rPr>
        <w:t>被厦门市软件行</w:t>
      </w:r>
      <w:r>
        <w:rPr>
          <w:rFonts w:ascii="宋体" w:hAnsi="宋体" w:cs="宋体" w:eastAsia="宋体" w:hint="default"/>
          <w:spacing w:val="-97"/>
          <w:w w:val="99"/>
          <w:sz w:val="21"/>
          <w:szCs w:val="21"/>
        </w:rPr>
        <w:t> </w:t>
      </w:r>
      <w:r>
        <w:rPr>
          <w:rFonts w:ascii="宋体" w:hAnsi="宋体" w:cs="宋体" w:eastAsia="宋体" w:hint="default"/>
          <w:spacing w:val="-97"/>
          <w:w w:val="99"/>
          <w:sz w:val="21"/>
          <w:szCs w:val="21"/>
        </w:rPr>
      </w:r>
      <w:r>
        <w:rPr>
          <w:rFonts w:ascii="宋体" w:hAnsi="宋体" w:cs="宋体" w:eastAsia="宋体" w:hint="default"/>
          <w:spacing w:val="-5"/>
          <w:w w:val="99"/>
          <w:sz w:val="21"/>
          <w:szCs w:val="21"/>
        </w:rPr>
        <w:t>业协会重新授予《软件企业认定证书》。根据《国务院关于印发进一步鼓励软件产业和集成电路</w:t>
      </w:r>
      <w:r>
        <w:rPr>
          <w:rFonts w:ascii="宋体" w:hAnsi="宋体" w:cs="宋体" w:eastAsia="宋体" w:hint="default"/>
          <w:spacing w:val="-79"/>
          <w:w w:val="99"/>
          <w:sz w:val="21"/>
          <w:szCs w:val="21"/>
        </w:rPr>
        <w:t> </w:t>
      </w:r>
      <w:r>
        <w:rPr>
          <w:rFonts w:ascii="宋体" w:hAnsi="宋体" w:cs="宋体" w:eastAsia="宋体" w:hint="default"/>
          <w:spacing w:val="-79"/>
          <w:w w:val="99"/>
          <w:sz w:val="21"/>
          <w:szCs w:val="21"/>
        </w:rPr>
      </w:r>
      <w:r>
        <w:rPr>
          <w:rFonts w:ascii="宋体" w:hAnsi="宋体" w:cs="宋体" w:eastAsia="宋体" w:hint="default"/>
          <w:spacing w:val="-17"/>
          <w:w w:val="99"/>
          <w:sz w:val="21"/>
          <w:szCs w:val="21"/>
        </w:rPr>
        <w:t>产业发展若干政策的通知》（国发〔</w:t>
      </w:r>
      <w:r>
        <w:rPr>
          <w:rFonts w:ascii="Arial Narrow" w:hAnsi="Arial Narrow" w:cs="Arial Narrow" w:eastAsia="Arial Narrow" w:hint="default"/>
          <w:spacing w:val="-17"/>
          <w:w w:val="99"/>
          <w:sz w:val="21"/>
          <w:szCs w:val="21"/>
        </w:rPr>
        <w:t>2011</w:t>
      </w:r>
      <w:r>
        <w:rPr>
          <w:rFonts w:ascii="宋体" w:hAnsi="宋体" w:cs="宋体" w:eastAsia="宋体" w:hint="default"/>
          <w:spacing w:val="-17"/>
          <w:w w:val="99"/>
          <w:sz w:val="21"/>
          <w:szCs w:val="21"/>
        </w:rPr>
        <w:t>〕</w:t>
      </w:r>
      <w:r>
        <w:rPr>
          <w:rFonts w:ascii="Arial Narrow" w:hAnsi="Arial Narrow" w:cs="Arial Narrow" w:eastAsia="Arial Narrow" w:hint="default"/>
          <w:spacing w:val="-17"/>
          <w:w w:val="99"/>
          <w:sz w:val="21"/>
          <w:szCs w:val="21"/>
        </w:rPr>
        <w:t>4</w:t>
      </w:r>
      <w:r>
        <w:rPr>
          <w:rFonts w:ascii="Arial Narrow" w:hAnsi="Arial Narrow" w:cs="Arial Narrow" w:eastAsia="Arial Narrow" w:hint="default"/>
          <w:w w:val="99"/>
          <w:sz w:val="21"/>
          <w:szCs w:val="21"/>
        </w:rPr>
        <w:t> </w:t>
      </w:r>
      <w:r>
        <w:rPr>
          <w:rFonts w:ascii="宋体" w:hAnsi="宋体" w:cs="宋体" w:eastAsia="宋体" w:hint="default"/>
          <w:spacing w:val="-16"/>
          <w:w w:val="99"/>
          <w:sz w:val="21"/>
          <w:szCs w:val="21"/>
        </w:rPr>
        <w:t>号）、《关于软件产品增值税政策的通知》（财税</w:t>
      </w:r>
      <w:r>
        <w:rPr>
          <w:rFonts w:ascii="Arial Narrow" w:hAnsi="Arial Narrow" w:cs="Arial Narrow" w:eastAsia="Arial Narrow" w:hint="default"/>
          <w:spacing w:val="-16"/>
          <w:w w:val="99"/>
          <w:sz w:val="21"/>
          <w:szCs w:val="21"/>
        </w:rPr>
        <w:t>[2011]100</w:t>
      </w:r>
      <w:r>
        <w:rPr>
          <w:rFonts w:ascii="Arial Narrow" w:hAnsi="Arial Narrow" w:cs="Arial Narrow" w:eastAsia="Arial Narrow" w:hint="default"/>
          <w:spacing w:val="-28"/>
          <w:w w:val="99"/>
          <w:sz w:val="21"/>
          <w:szCs w:val="21"/>
        </w:rPr>
        <w:t> </w:t>
      </w:r>
      <w:r>
        <w:rPr>
          <w:rFonts w:ascii="Arial Narrow" w:hAnsi="Arial Narrow" w:cs="Arial Narrow" w:eastAsia="Arial Narrow" w:hint="default"/>
          <w:spacing w:val="-28"/>
          <w:w w:val="99"/>
          <w:sz w:val="21"/>
          <w:szCs w:val="21"/>
        </w:rPr>
      </w:r>
      <w:r>
        <w:rPr>
          <w:rFonts w:ascii="宋体" w:hAnsi="宋体" w:cs="宋体" w:eastAsia="宋体" w:hint="default"/>
          <w:spacing w:val="-4"/>
          <w:sz w:val="21"/>
          <w:szCs w:val="21"/>
        </w:rPr>
        <w:t>号）规定，对增值税一般纳税人销售其自行开发生产的软件产品，按</w:t>
      </w:r>
      <w:r>
        <w:rPr>
          <w:rFonts w:ascii="宋体" w:hAnsi="宋体" w:cs="宋体" w:eastAsia="宋体" w:hint="default"/>
          <w:spacing w:val="-46"/>
          <w:sz w:val="21"/>
          <w:szCs w:val="21"/>
        </w:rPr>
        <w:t> </w:t>
      </w:r>
      <w:r>
        <w:rPr>
          <w:rFonts w:ascii="Arial Narrow" w:hAnsi="Arial Narrow" w:cs="Arial Narrow" w:eastAsia="Arial Narrow" w:hint="default"/>
          <w:sz w:val="21"/>
          <w:szCs w:val="21"/>
        </w:rPr>
        <w:t>17</w:t>
      </w:r>
      <w:r>
        <w:rPr>
          <w:rFonts w:ascii="宋体" w:hAnsi="宋体" w:cs="宋体" w:eastAsia="宋体" w:hint="default"/>
          <w:sz w:val="21"/>
          <w:szCs w:val="21"/>
        </w:rPr>
        <w:t>％定税率征收增值税后，</w:t>
      </w:r>
      <w:r>
        <w:rPr>
          <w:rFonts w:ascii="宋体" w:hAnsi="宋体" w:cs="宋体" w:eastAsia="宋体" w:hint="default"/>
          <w:w w:val="99"/>
          <w:sz w:val="21"/>
          <w:szCs w:val="21"/>
        </w:rPr>
        <w:t> </w:t>
      </w:r>
      <w:r>
        <w:rPr>
          <w:rFonts w:ascii="宋体" w:hAnsi="宋体" w:cs="宋体" w:eastAsia="宋体" w:hint="default"/>
          <w:sz w:val="21"/>
          <w:szCs w:val="21"/>
        </w:rPr>
        <w:t>对其增值税实际税负超过</w:t>
      </w:r>
      <w:r>
        <w:rPr>
          <w:rFonts w:ascii="宋体" w:hAnsi="宋体" w:cs="宋体" w:eastAsia="宋体" w:hint="default"/>
          <w:spacing w:val="-54"/>
          <w:sz w:val="21"/>
          <w:szCs w:val="21"/>
        </w:rPr>
        <w:t> </w:t>
      </w:r>
      <w:r>
        <w:rPr>
          <w:rFonts w:ascii="Arial Narrow" w:hAnsi="Arial Narrow" w:cs="Arial Narrow" w:eastAsia="Arial Narrow" w:hint="default"/>
          <w:sz w:val="21"/>
          <w:szCs w:val="21"/>
        </w:rPr>
        <w:t>3</w:t>
      </w:r>
      <w:r>
        <w:rPr>
          <w:rFonts w:ascii="宋体" w:hAnsi="宋体" w:cs="宋体" w:eastAsia="宋体" w:hint="default"/>
          <w:sz w:val="21"/>
          <w:szCs w:val="21"/>
        </w:rPr>
        <w:t>％的部分实行即征即退政策。</w:t>
      </w:r>
    </w:p>
    <w:p>
      <w:pPr>
        <w:spacing w:before="135"/>
        <w:ind w:left="639"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 </w:t>
      </w:r>
      <w:r>
        <w:rPr>
          <w:rFonts w:ascii="Arial Narrow" w:hAnsi="Arial Narrow" w:cs="Arial Narrow" w:eastAsia="Arial Narrow" w:hint="default"/>
          <w:b/>
          <w:bCs/>
          <w:spacing w:val="7"/>
          <w:sz w:val="21"/>
          <w:szCs w:val="21"/>
        </w:rPr>
        <w:t> </w:t>
      </w:r>
      <w:r>
        <w:rPr>
          <w:rFonts w:ascii="宋体" w:hAnsi="宋体" w:cs="宋体" w:eastAsia="宋体" w:hint="default"/>
          <w:b/>
          <w:bCs/>
          <w:sz w:val="21"/>
          <w:szCs w:val="21"/>
        </w:rPr>
        <w:t>企业所得税</w:t>
      </w:r>
      <w:r>
        <w:rPr>
          <w:rFonts w:ascii="宋体" w:hAnsi="宋体" w:cs="宋体" w:eastAsia="宋体" w:hint="default"/>
          <w:sz w:val="21"/>
          <w:szCs w:val="21"/>
        </w:rPr>
      </w:r>
    </w:p>
    <w:p>
      <w:pPr>
        <w:spacing w:line="240" w:lineRule="auto" w:before="5"/>
        <w:rPr>
          <w:rFonts w:ascii="宋体" w:hAnsi="宋体" w:cs="宋体" w:eastAsia="宋体" w:hint="default"/>
          <w:b/>
          <w:bCs/>
          <w:sz w:val="18"/>
          <w:szCs w:val="18"/>
        </w:rPr>
      </w:pPr>
    </w:p>
    <w:tbl>
      <w:tblPr>
        <w:tblW w:w="0" w:type="auto"/>
        <w:jc w:val="left"/>
        <w:tblInd w:w="110" w:type="dxa"/>
        <w:tblLayout w:type="fixed"/>
        <w:tblCellMar>
          <w:top w:w="0" w:type="dxa"/>
          <w:left w:w="0" w:type="dxa"/>
          <w:bottom w:w="0" w:type="dxa"/>
          <w:right w:w="0" w:type="dxa"/>
        </w:tblCellMar>
        <w:tblLook w:val="01E0"/>
      </w:tblPr>
      <w:tblGrid>
        <w:gridCol w:w="4111"/>
        <w:gridCol w:w="2162"/>
        <w:gridCol w:w="2570"/>
      </w:tblGrid>
      <w:tr>
        <w:trPr>
          <w:trHeight w:val="272" w:hRule="exact"/>
        </w:trPr>
        <w:tc>
          <w:tcPr>
            <w:tcW w:w="411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216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left="863" w:right="0"/>
              <w:jc w:val="left"/>
              <w:rPr>
                <w:rFonts w:ascii="宋体" w:hAnsi="宋体" w:cs="宋体" w:eastAsia="宋体" w:hint="default"/>
                <w:sz w:val="21"/>
                <w:szCs w:val="21"/>
              </w:rPr>
            </w:pPr>
            <w:r>
              <w:rPr>
                <w:rFonts w:ascii="宋体" w:hAnsi="宋体" w:cs="宋体" w:eastAsia="宋体" w:hint="default"/>
                <w:sz w:val="21"/>
                <w:szCs w:val="21"/>
              </w:rPr>
              <w:t>税率</w:t>
            </w:r>
          </w:p>
        </w:tc>
        <w:tc>
          <w:tcPr>
            <w:tcW w:w="257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54" w:hRule="exact"/>
        </w:trPr>
        <w:tc>
          <w:tcPr>
            <w:tcW w:w="4111" w:type="dxa"/>
            <w:tcBorders>
              <w:top w:val="single" w:sz="14" w:space="0" w:color="C0C0C0"/>
              <w:left w:val="single" w:sz="6" w:space="0" w:color="000000"/>
              <w:bottom w:val="single" w:sz="6" w:space="0" w:color="000000"/>
              <w:right w:val="single" w:sz="6" w:space="0" w:color="000000"/>
            </w:tcBorders>
          </w:tcPr>
          <w:p>
            <w:pPr>
              <w:pStyle w:val="TableParagraph"/>
              <w:spacing w:line="295" w:lineRule="exact"/>
              <w:ind w:left="20" w:right="0"/>
              <w:jc w:val="left"/>
              <w:rPr>
                <w:rFonts w:ascii="宋体" w:hAnsi="宋体" w:cs="宋体" w:eastAsia="宋体" w:hint="default"/>
                <w:sz w:val="24"/>
                <w:szCs w:val="24"/>
              </w:rPr>
            </w:pPr>
            <w:r>
              <w:rPr>
                <w:rFonts w:ascii="宋体" w:hAnsi="宋体" w:cs="宋体" w:eastAsia="宋体" w:hint="default"/>
                <w:sz w:val="24"/>
                <w:szCs w:val="24"/>
              </w:rPr>
              <w:t>本公司</w:t>
            </w:r>
          </w:p>
        </w:tc>
        <w:tc>
          <w:tcPr>
            <w:tcW w:w="216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left="902" w:right="0"/>
              <w:jc w:val="left"/>
              <w:rPr>
                <w:rFonts w:ascii="Arial Narrow" w:hAnsi="Arial Narrow" w:cs="Arial Narrow" w:eastAsia="Arial Narrow" w:hint="default"/>
                <w:sz w:val="21"/>
                <w:szCs w:val="21"/>
              </w:rPr>
            </w:pPr>
            <w:r>
              <w:rPr>
                <w:rFonts w:ascii="Arial Narrow"/>
                <w:sz w:val="21"/>
              </w:rPr>
              <w:t>15%</w:t>
            </w:r>
          </w:p>
        </w:tc>
        <w:tc>
          <w:tcPr>
            <w:tcW w:w="257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2"/>
              <w:ind w:right="0"/>
              <w:jc w:val="center"/>
              <w:rPr>
                <w:rFonts w:ascii="Arial Narrow" w:hAnsi="Arial Narrow" w:cs="Arial Narrow" w:eastAsia="Arial Narrow"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3</w:t>
            </w:r>
          </w:p>
        </w:tc>
      </w:tr>
    </w:tbl>
    <w:p>
      <w:pPr>
        <w:spacing w:after="0" w:line="240" w:lineRule="auto"/>
        <w:jc w:val="center"/>
        <w:rPr>
          <w:rFonts w:ascii="Arial Narrow" w:hAnsi="Arial Narrow" w:cs="Arial Narrow" w:eastAsia="Arial Narrow" w:hint="default"/>
          <w:sz w:val="21"/>
          <w:szCs w:val="21"/>
        </w:rPr>
        <w:sectPr>
          <w:pgSz w:w="12240" w:h="15840"/>
          <w:pgMar w:header="0" w:footer="708" w:top="1400" w:bottom="900" w:left="1580" w:right="1580"/>
        </w:sectPr>
      </w:pPr>
    </w:p>
    <w:p>
      <w:pPr>
        <w:spacing w:line="240" w:lineRule="auto" w:before="8"/>
        <w:rPr>
          <w:rFonts w:ascii="宋体" w:hAnsi="宋体" w:cs="宋体" w:eastAsia="宋体" w:hint="default"/>
          <w:b/>
          <w:bCs/>
          <w:sz w:val="6"/>
          <w:szCs w:val="6"/>
        </w:rPr>
      </w:pPr>
    </w:p>
    <w:tbl>
      <w:tblPr>
        <w:tblW w:w="0" w:type="auto"/>
        <w:jc w:val="left"/>
        <w:tblInd w:w="110" w:type="dxa"/>
        <w:tblLayout w:type="fixed"/>
        <w:tblCellMar>
          <w:top w:w="0" w:type="dxa"/>
          <w:left w:w="0" w:type="dxa"/>
          <w:bottom w:w="0" w:type="dxa"/>
          <w:right w:w="0" w:type="dxa"/>
        </w:tblCellMar>
        <w:tblLook w:val="01E0"/>
      </w:tblPr>
      <w:tblGrid>
        <w:gridCol w:w="4111"/>
        <w:gridCol w:w="2162"/>
        <w:gridCol w:w="2570"/>
      </w:tblGrid>
      <w:tr>
        <w:trPr>
          <w:trHeight w:val="274" w:hRule="exact"/>
        </w:trPr>
        <w:tc>
          <w:tcPr>
            <w:tcW w:w="411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3" w:lineRule="exact"/>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216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3" w:lineRule="exact"/>
              <w:ind w:right="861"/>
              <w:jc w:val="right"/>
              <w:rPr>
                <w:rFonts w:ascii="宋体" w:hAnsi="宋体" w:cs="宋体" w:eastAsia="宋体" w:hint="default"/>
                <w:sz w:val="21"/>
                <w:szCs w:val="21"/>
              </w:rPr>
            </w:pPr>
            <w:r>
              <w:rPr>
                <w:rFonts w:ascii="宋体" w:hAnsi="宋体" w:cs="宋体" w:eastAsia="宋体" w:hint="default"/>
                <w:sz w:val="21"/>
                <w:szCs w:val="21"/>
              </w:rPr>
              <w:t>税率</w:t>
            </w:r>
          </w:p>
        </w:tc>
        <w:tc>
          <w:tcPr>
            <w:tcW w:w="257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3" w:lineRule="exact"/>
              <w:ind w:left="1068"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353" w:hRule="exact"/>
        </w:trPr>
        <w:tc>
          <w:tcPr>
            <w:tcW w:w="4111"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9"/>
              <w:ind w:left="20" w:right="0"/>
              <w:jc w:val="left"/>
              <w:rPr>
                <w:rFonts w:ascii="宋体" w:hAnsi="宋体" w:cs="宋体" w:eastAsia="宋体" w:hint="default"/>
                <w:sz w:val="21"/>
                <w:szCs w:val="21"/>
              </w:rPr>
            </w:pPr>
            <w:r>
              <w:rPr>
                <w:rFonts w:ascii="宋体" w:hAnsi="宋体" w:cs="宋体" w:eastAsia="宋体" w:hint="default"/>
                <w:sz w:val="21"/>
                <w:szCs w:val="21"/>
              </w:rPr>
              <w:t>厦门市美亚柏科信息安全研究所有限公司</w:t>
            </w:r>
          </w:p>
        </w:tc>
        <w:tc>
          <w:tcPr>
            <w:tcW w:w="2162"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7"/>
              <w:ind w:right="946"/>
              <w:jc w:val="right"/>
              <w:rPr>
                <w:rFonts w:ascii="Arial Narrow" w:hAnsi="Arial Narrow" w:cs="Arial Narrow" w:eastAsia="Arial Narrow" w:hint="default"/>
                <w:sz w:val="21"/>
                <w:szCs w:val="21"/>
              </w:rPr>
            </w:pPr>
            <w:r>
              <w:rPr>
                <w:rFonts w:ascii="Arial Narrow"/>
                <w:w w:val="95"/>
                <w:sz w:val="21"/>
              </w:rPr>
              <w:t>0%</w:t>
            </w:r>
            <w:r>
              <w:rPr>
                <w:rFonts w:ascii="Arial Narrow"/>
                <w:sz w:val="21"/>
              </w:rPr>
            </w:r>
          </w:p>
        </w:tc>
        <w:tc>
          <w:tcPr>
            <w:tcW w:w="2570"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9"/>
              <w:ind w:left="1099" w:right="0"/>
              <w:jc w:val="left"/>
              <w:rPr>
                <w:rFonts w:ascii="Arial Narrow" w:hAnsi="Arial Narrow" w:cs="Arial Narrow" w:eastAsia="Arial Narrow"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Arial Narrow" w:hAnsi="Arial Narrow" w:cs="Arial Narrow" w:eastAsia="Arial Narrow" w:hint="default"/>
                <w:sz w:val="21"/>
                <w:szCs w:val="21"/>
              </w:rPr>
              <w:t>2</w:t>
            </w:r>
          </w:p>
        </w:tc>
      </w:tr>
      <w:tr>
        <w:trPr>
          <w:trHeight w:val="326" w:hRule="exact"/>
        </w:trPr>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杭州创聚科技有限公司</w:t>
            </w:r>
          </w:p>
        </w:tc>
        <w:tc>
          <w:tcPr>
            <w:tcW w:w="2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898"/>
              <w:jc w:val="right"/>
              <w:rPr>
                <w:rFonts w:ascii="Arial Narrow" w:hAnsi="Arial Narrow" w:cs="Arial Narrow" w:eastAsia="Arial Narrow" w:hint="default"/>
                <w:sz w:val="21"/>
                <w:szCs w:val="21"/>
              </w:rPr>
            </w:pPr>
            <w:r>
              <w:rPr>
                <w:rFonts w:ascii="Arial Narrow"/>
                <w:w w:val="95"/>
                <w:sz w:val="21"/>
              </w:rPr>
              <w:t>25%</w:t>
            </w:r>
            <w:r>
              <w:rPr>
                <w:rFonts w:ascii="Arial Narrow"/>
                <w:sz w:val="21"/>
              </w:rPr>
            </w:r>
          </w:p>
        </w:tc>
        <w:tc>
          <w:tcPr>
            <w:tcW w:w="2570" w:type="dxa"/>
            <w:tcBorders>
              <w:top w:val="single" w:sz="6" w:space="0" w:color="000000"/>
              <w:left w:val="single" w:sz="6" w:space="0" w:color="000000"/>
              <w:bottom w:val="single" w:sz="6" w:space="0" w:color="000000"/>
              <w:right w:val="single" w:sz="6" w:space="0" w:color="000000"/>
            </w:tcBorders>
          </w:tcPr>
          <w:p>
            <w:pPr/>
          </w:p>
        </w:tc>
      </w:tr>
    </w:tbl>
    <w:p>
      <w:pPr>
        <w:spacing w:line="255" w:lineRule="exact" w:before="0"/>
        <w:ind w:left="219" w:right="193" w:firstLine="420"/>
        <w:jc w:val="left"/>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2"/>
          <w:sz w:val="21"/>
          <w:szCs w:val="21"/>
        </w:rPr>
        <w:t> </w:t>
      </w: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2008 </w:t>
      </w:r>
      <w:r>
        <w:rPr>
          <w:rFonts w:ascii="Arial Narrow" w:hAnsi="Arial Narrow" w:cs="Arial Narrow" w:eastAsia="Arial Narrow"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15"/>
          <w:sz w:val="21"/>
          <w:szCs w:val="21"/>
        </w:rPr>
        <w:t> </w:t>
      </w:r>
      <w:r>
        <w:rPr>
          <w:rFonts w:ascii="宋体" w:hAnsi="宋体" w:cs="宋体" w:eastAsia="宋体" w:hint="default"/>
          <w:sz w:val="21"/>
          <w:szCs w:val="21"/>
        </w:rPr>
        <w:t>月，本公司经厦门市科学技术局、厦门市财政局、厦门市国税局、厦门市</w:t>
      </w:r>
    </w:p>
    <w:p>
      <w:pPr>
        <w:spacing w:line="319" w:lineRule="auto" w:before="92"/>
        <w:ind w:left="219" w:right="193" w:firstLine="0"/>
        <w:jc w:val="left"/>
        <w:rPr>
          <w:rFonts w:ascii="宋体" w:hAnsi="宋体" w:cs="宋体" w:eastAsia="宋体" w:hint="default"/>
          <w:sz w:val="21"/>
          <w:szCs w:val="21"/>
        </w:rPr>
      </w:pPr>
      <w:r>
        <w:rPr>
          <w:rFonts w:ascii="宋体" w:hAnsi="宋体" w:cs="宋体" w:eastAsia="宋体" w:hint="default"/>
          <w:sz w:val="21"/>
          <w:szCs w:val="21"/>
        </w:rPr>
        <w:t>地税局以厦科联【</w:t>
      </w:r>
      <w:r>
        <w:rPr>
          <w:rFonts w:ascii="Arial Narrow" w:hAnsi="Arial Narrow" w:cs="Arial Narrow" w:eastAsia="Arial Narrow" w:hint="default"/>
          <w:sz w:val="21"/>
          <w:szCs w:val="21"/>
        </w:rPr>
        <w:t>2008</w:t>
      </w:r>
      <w:r>
        <w:rPr>
          <w:rFonts w:ascii="宋体" w:hAnsi="宋体" w:cs="宋体" w:eastAsia="宋体" w:hint="default"/>
          <w:sz w:val="21"/>
          <w:szCs w:val="21"/>
        </w:rPr>
        <w:t>】</w:t>
      </w:r>
      <w:r>
        <w:rPr>
          <w:rFonts w:ascii="Arial Narrow" w:hAnsi="Arial Narrow" w:cs="Arial Narrow" w:eastAsia="Arial Narrow" w:hint="default"/>
          <w:sz w:val="21"/>
          <w:szCs w:val="21"/>
        </w:rPr>
        <w:t>65</w:t>
      </w:r>
      <w:r>
        <w:rPr>
          <w:rFonts w:ascii="Arial Narrow" w:hAnsi="Arial Narrow" w:cs="Arial Narrow" w:eastAsia="Arial Narrow" w:hint="default"/>
          <w:spacing w:val="7"/>
          <w:sz w:val="21"/>
          <w:szCs w:val="21"/>
        </w:rPr>
        <w:t> </w:t>
      </w:r>
      <w:r>
        <w:rPr>
          <w:rFonts w:ascii="宋体" w:hAnsi="宋体" w:cs="宋体" w:eastAsia="宋体" w:hint="default"/>
          <w:sz w:val="21"/>
          <w:szCs w:val="21"/>
        </w:rPr>
        <w:t>号文获得高新技术企业认定，高新技术企业证书认定有效期三年；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5"/>
          <w:sz w:val="21"/>
          <w:szCs w:val="21"/>
        </w:rPr>
        <w:t> </w:t>
      </w:r>
      <w:r>
        <w:rPr>
          <w:rFonts w:ascii="宋体" w:hAnsi="宋体" w:cs="宋体" w:eastAsia="宋体" w:hint="default"/>
          <w:sz w:val="21"/>
          <w:szCs w:val="21"/>
        </w:rPr>
        <w:t>月，本公司再次获得高新技术企业认定，于</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9</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26</w:t>
      </w:r>
      <w:r>
        <w:rPr>
          <w:rFonts w:ascii="Arial Narrow" w:hAnsi="Arial Narrow" w:cs="Arial Narrow" w:eastAsia="Arial Narrow" w:hint="default"/>
          <w:spacing w:val="5"/>
          <w:sz w:val="21"/>
          <w:szCs w:val="21"/>
        </w:rPr>
        <w:t> </w:t>
      </w:r>
      <w:r>
        <w:rPr>
          <w:rFonts w:ascii="宋体" w:hAnsi="宋体" w:cs="宋体" w:eastAsia="宋体" w:hint="default"/>
          <w:sz w:val="21"/>
          <w:szCs w:val="21"/>
        </w:rPr>
        <w:t>日取得高新技术企业证书， </w:t>
      </w:r>
      <w:r>
        <w:rPr>
          <w:rFonts w:ascii="宋体" w:hAnsi="宋体" w:cs="宋体" w:eastAsia="宋体" w:hint="default"/>
          <w:spacing w:val="-5"/>
          <w:sz w:val="21"/>
          <w:szCs w:val="21"/>
        </w:rPr>
        <w:t>认定有效期三年。根据《中华人民共和国企业所得税法》、《中华人民共和国企业所得税法实施</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0"/>
          <w:sz w:val="21"/>
          <w:szCs w:val="21"/>
        </w:rPr>
        <w:t>条例》、《高科技企业认定管理办法》以及《高新技术企业认定管理工作指引》规定，本公司</w:t>
      </w:r>
      <w:r>
        <w:rPr>
          <w:rFonts w:ascii="宋体" w:hAnsi="宋体" w:cs="宋体" w:eastAsia="宋体" w:hint="default"/>
          <w:spacing w:val="-50"/>
          <w:sz w:val="21"/>
          <w:szCs w:val="21"/>
        </w:rPr>
        <w:t> </w:t>
      </w:r>
      <w:r>
        <w:rPr>
          <w:rFonts w:ascii="Arial Narrow" w:hAnsi="Arial Narrow" w:cs="Arial Narrow" w:eastAsia="Arial Narrow" w:hint="default"/>
          <w:spacing w:val="-3"/>
          <w:w w:val="99"/>
          <w:sz w:val="21"/>
          <w:szCs w:val="21"/>
        </w:rPr>
        <w:t>2011</w:t>
      </w:r>
      <w:r>
        <w:rPr>
          <w:rFonts w:ascii="Arial Narrow" w:hAnsi="Arial Narrow" w:cs="Arial Narrow" w:eastAsia="Arial Narrow" w:hint="default"/>
          <w:spacing w:val="-42"/>
          <w:w w:val="99"/>
          <w:sz w:val="21"/>
          <w:szCs w:val="21"/>
        </w:rPr>
        <w:t> </w:t>
      </w:r>
      <w:r>
        <w:rPr>
          <w:rFonts w:ascii="Arial Narrow" w:hAnsi="Arial Narrow" w:cs="Arial Narrow" w:eastAsia="Arial Narrow" w:hint="default"/>
          <w:spacing w:val="-42"/>
          <w:w w:val="99"/>
          <w:sz w:val="21"/>
          <w:szCs w:val="21"/>
        </w:rPr>
      </w:r>
      <w:r>
        <w:rPr>
          <w:rFonts w:ascii="宋体" w:hAnsi="宋体" w:cs="宋体" w:eastAsia="宋体" w:hint="default"/>
          <w:sz w:val="21"/>
          <w:szCs w:val="21"/>
        </w:rPr>
        <w:t>年度减按</w:t>
      </w:r>
      <w:r>
        <w:rPr>
          <w:rFonts w:ascii="宋体" w:hAnsi="宋体" w:cs="宋体" w:eastAsia="宋体" w:hint="default"/>
          <w:spacing w:val="-56"/>
          <w:sz w:val="21"/>
          <w:szCs w:val="21"/>
        </w:rPr>
        <w:t> </w:t>
      </w:r>
      <w:r>
        <w:rPr>
          <w:rFonts w:ascii="Arial Narrow" w:hAnsi="Arial Narrow" w:cs="Arial Narrow" w:eastAsia="Arial Narrow" w:hint="default"/>
          <w:sz w:val="21"/>
          <w:szCs w:val="21"/>
        </w:rPr>
        <w:t>15%</w:t>
      </w:r>
      <w:r>
        <w:rPr>
          <w:rFonts w:ascii="宋体" w:hAnsi="宋体" w:cs="宋体" w:eastAsia="宋体" w:hint="default"/>
          <w:sz w:val="21"/>
          <w:szCs w:val="21"/>
        </w:rPr>
        <w:t>的税率征收企业所得税。</w:t>
      </w:r>
    </w:p>
    <w:p>
      <w:pPr>
        <w:spacing w:line="316" w:lineRule="auto" w:before="12"/>
        <w:ind w:left="219" w:right="214" w:firstLine="42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53"/>
          <w:sz w:val="21"/>
          <w:szCs w:val="21"/>
        </w:rPr>
        <w:t> </w:t>
      </w:r>
      <w:r>
        <w:rPr>
          <w:rFonts w:ascii="Arial Narrow" w:hAnsi="Arial Narrow" w:cs="Arial Narrow" w:eastAsia="Arial Narrow" w:hint="default"/>
          <w:spacing w:val="-3"/>
          <w:sz w:val="21"/>
          <w:szCs w:val="21"/>
        </w:rPr>
        <w:t>2</w:t>
      </w:r>
      <w:r>
        <w:rPr>
          <w:rFonts w:ascii="宋体" w:hAnsi="宋体" w:cs="宋体" w:eastAsia="宋体" w:hint="default"/>
          <w:spacing w:val="-3"/>
          <w:sz w:val="21"/>
          <w:szCs w:val="21"/>
        </w:rPr>
        <w:t>：</w:t>
      </w:r>
      <w:r>
        <w:rPr>
          <w:rFonts w:ascii="Arial Narrow" w:hAnsi="Arial Narrow" w:cs="Arial Narrow" w:eastAsia="Arial Narrow" w:hint="default"/>
          <w:spacing w:val="-3"/>
          <w:sz w:val="21"/>
          <w:szCs w:val="21"/>
        </w:rPr>
        <w:t>2011</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26</w:t>
      </w:r>
      <w:r>
        <w:rPr>
          <w:rFonts w:ascii="Arial Narrow" w:hAnsi="Arial Narrow" w:cs="Arial Narrow" w:eastAsia="Arial Narrow" w:hint="default"/>
          <w:spacing w:val="5"/>
          <w:sz w:val="21"/>
          <w:szCs w:val="21"/>
        </w:rPr>
        <w:t> </w:t>
      </w:r>
      <w:r>
        <w:rPr>
          <w:rFonts w:ascii="宋体" w:hAnsi="宋体" w:cs="宋体" w:eastAsia="宋体" w:hint="default"/>
          <w:sz w:val="21"/>
          <w:szCs w:val="21"/>
        </w:rPr>
        <w:t>日，子公司厦门市美亚柏科信息安全研究所（以下简称美亚研究所） </w:t>
      </w:r>
      <w:r>
        <w:rPr>
          <w:rFonts w:ascii="宋体" w:hAnsi="宋体" w:cs="宋体" w:eastAsia="宋体" w:hint="default"/>
          <w:spacing w:val="-1"/>
          <w:sz w:val="21"/>
          <w:szCs w:val="21"/>
        </w:rPr>
        <w:t>取得厦门市软件行业协会“厦</w:t>
      </w:r>
      <w:r>
        <w:rPr>
          <w:rFonts w:ascii="宋体" w:hAnsi="宋体" w:cs="宋体" w:eastAsia="宋体" w:hint="default"/>
          <w:sz w:val="21"/>
          <w:szCs w:val="21"/>
        </w:rPr>
        <w:t> </w:t>
      </w:r>
      <w:r>
        <w:rPr>
          <w:rFonts w:ascii="Arial Narrow" w:hAnsi="Arial Narrow" w:cs="Arial Narrow" w:eastAsia="Arial Narrow" w:hint="default"/>
          <w:spacing w:val="-2"/>
          <w:w w:val="99"/>
          <w:sz w:val="21"/>
          <w:szCs w:val="21"/>
        </w:rPr>
        <w:t>R-2011-0065</w:t>
      </w:r>
      <w:r>
        <w:rPr>
          <w:rFonts w:ascii="Arial Narrow" w:hAnsi="Arial Narrow" w:cs="Arial Narrow" w:eastAsia="Arial Narrow" w:hint="default"/>
          <w:spacing w:val="-22"/>
          <w:w w:val="99"/>
          <w:sz w:val="21"/>
          <w:szCs w:val="21"/>
        </w:rPr>
        <w:t> </w:t>
      </w:r>
      <w:r>
        <w:rPr>
          <w:rFonts w:ascii="宋体" w:hAnsi="宋体" w:cs="宋体" w:eastAsia="宋体" w:hint="default"/>
          <w:spacing w:val="-10"/>
          <w:sz w:val="21"/>
          <w:szCs w:val="21"/>
        </w:rPr>
        <w:t>号”《软件企业认定证书》，被认定为软件企业。根据</w:t>
      </w:r>
    </w:p>
    <w:p>
      <w:pPr>
        <w:spacing w:line="326" w:lineRule="auto" w:before="16"/>
        <w:ind w:left="219" w:right="180" w:hanging="1"/>
        <w:jc w:val="left"/>
        <w:rPr>
          <w:rFonts w:ascii="宋体" w:hAnsi="宋体" w:cs="宋体" w:eastAsia="宋体" w:hint="default"/>
          <w:sz w:val="21"/>
          <w:szCs w:val="21"/>
        </w:rPr>
      </w:pPr>
      <w:r>
        <w:rPr>
          <w:rFonts w:ascii="宋体" w:hAnsi="宋体" w:cs="宋体" w:eastAsia="宋体" w:hint="default"/>
          <w:spacing w:val="-6"/>
          <w:w w:val="99"/>
          <w:sz w:val="21"/>
          <w:szCs w:val="21"/>
        </w:rPr>
        <w:t>《关于鼓励软件产业和集成电路产业发展有关税收政策问题的通知》（财税【</w:t>
      </w:r>
      <w:r>
        <w:rPr>
          <w:rFonts w:ascii="Arial Narrow" w:hAnsi="Arial Narrow" w:cs="Arial Narrow" w:eastAsia="Arial Narrow" w:hint="default"/>
          <w:spacing w:val="-6"/>
          <w:w w:val="99"/>
          <w:sz w:val="21"/>
          <w:szCs w:val="21"/>
        </w:rPr>
        <w:t>2000</w:t>
      </w:r>
      <w:r>
        <w:rPr>
          <w:rFonts w:ascii="宋体" w:hAnsi="宋体" w:cs="宋体" w:eastAsia="宋体" w:hint="default"/>
          <w:spacing w:val="-6"/>
          <w:w w:val="99"/>
          <w:sz w:val="21"/>
          <w:szCs w:val="21"/>
        </w:rPr>
        <w:t>】</w:t>
      </w:r>
      <w:r>
        <w:rPr>
          <w:rFonts w:ascii="Arial Narrow" w:hAnsi="Arial Narrow" w:cs="Arial Narrow" w:eastAsia="Arial Narrow" w:hint="default"/>
          <w:spacing w:val="-6"/>
          <w:w w:val="99"/>
          <w:sz w:val="21"/>
          <w:szCs w:val="21"/>
        </w:rPr>
        <w:t>25</w:t>
      </w:r>
      <w:r>
        <w:rPr>
          <w:rFonts w:ascii="Arial Narrow" w:hAnsi="Arial Narrow" w:cs="Arial Narrow" w:eastAsia="Arial Narrow" w:hint="default"/>
          <w:spacing w:val="10"/>
          <w:w w:val="99"/>
          <w:sz w:val="21"/>
          <w:szCs w:val="21"/>
        </w:rPr>
        <w:t> </w:t>
      </w:r>
      <w:r>
        <w:rPr>
          <w:rFonts w:ascii="宋体" w:hAnsi="宋体" w:cs="宋体" w:eastAsia="宋体" w:hint="default"/>
          <w:spacing w:val="-9"/>
          <w:sz w:val="21"/>
          <w:szCs w:val="21"/>
        </w:rPr>
        <w:t>号）规定，</w:t>
      </w:r>
      <w:r>
        <w:rPr>
          <w:rFonts w:ascii="宋体" w:hAnsi="宋体" w:cs="宋体" w:eastAsia="宋体" w:hint="default"/>
          <w:sz w:val="21"/>
          <w:szCs w:val="21"/>
        </w:rPr>
        <w:t> 对新办集成电路设计企业和符合条件的软件企业，经认定后，自获利年度起，享受企业所得税</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5"/>
          <w:sz w:val="21"/>
          <w:szCs w:val="21"/>
        </w:rPr>
        <w:t>“两免三减半”优惠政策。美亚研究所截至本年度止弥补亏损后尚未盈利，享受企业所得税“两</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免三减半”优惠政策，本年度适用的所得税率为</w:t>
      </w:r>
      <w:r>
        <w:rPr>
          <w:rFonts w:ascii="宋体" w:hAnsi="宋体" w:cs="宋体" w:eastAsia="宋体" w:hint="default"/>
          <w:spacing w:val="-55"/>
          <w:sz w:val="21"/>
          <w:szCs w:val="21"/>
        </w:rPr>
        <w:t> </w:t>
      </w:r>
      <w:r>
        <w:rPr>
          <w:rFonts w:ascii="Arial Narrow" w:hAnsi="Arial Narrow" w:cs="Arial Narrow" w:eastAsia="Arial Narrow" w:hint="default"/>
          <w:sz w:val="21"/>
          <w:szCs w:val="21"/>
        </w:rPr>
        <w:t>0%</w:t>
      </w:r>
      <w:r>
        <w:rPr>
          <w:rFonts w:ascii="宋体" w:hAnsi="宋体" w:cs="宋体" w:eastAsia="宋体" w:hint="default"/>
          <w:sz w:val="21"/>
          <w:szCs w:val="21"/>
        </w:rPr>
        <w:t>。</w:t>
      </w:r>
    </w:p>
    <w:p>
      <w:pPr>
        <w:spacing w:line="345" w:lineRule="auto" w:before="127"/>
        <w:ind w:left="219" w:right="297" w:firstLine="420"/>
        <w:jc w:val="both"/>
        <w:rPr>
          <w:rFonts w:ascii="宋体" w:hAnsi="宋体" w:cs="宋体" w:eastAsia="宋体" w:hint="default"/>
          <w:sz w:val="21"/>
          <w:szCs w:val="21"/>
        </w:rPr>
      </w:pPr>
      <w:r>
        <w:rPr>
          <w:rFonts w:ascii="宋体" w:hAnsi="宋体" w:cs="宋体" w:eastAsia="宋体" w:hint="default"/>
          <w:sz w:val="21"/>
          <w:szCs w:val="21"/>
        </w:rPr>
        <w:t>注</w:t>
      </w:r>
      <w:r>
        <w:rPr>
          <w:rFonts w:ascii="宋体" w:hAnsi="宋体" w:cs="宋体" w:eastAsia="宋体" w:hint="default"/>
          <w:spacing w:val="-48"/>
          <w:sz w:val="21"/>
          <w:szCs w:val="21"/>
        </w:rPr>
        <w:t> </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Arial Narrow" w:hAnsi="Arial Narrow" w:cs="Arial Narrow" w:eastAsia="Arial Narrow" w:hint="default"/>
          <w:sz w:val="21"/>
          <w:szCs w:val="21"/>
        </w:rPr>
        <w:t>2001</w:t>
      </w:r>
      <w:r>
        <w:rPr>
          <w:rFonts w:ascii="Arial Narrow" w:hAnsi="Arial Narrow" w:cs="Arial Narrow" w:eastAsia="Arial Narrow"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Arial Narrow" w:hAnsi="Arial Narrow" w:cs="Arial Narrow" w:eastAsia="Arial Narrow" w:hint="default"/>
          <w:sz w:val="21"/>
          <w:szCs w:val="21"/>
        </w:rPr>
        <w:t>24</w:t>
      </w:r>
      <w:r>
        <w:rPr>
          <w:rFonts w:ascii="Arial Narrow" w:hAnsi="Arial Narrow" w:cs="Arial Narrow" w:eastAsia="Arial Narrow" w:hint="default"/>
          <w:spacing w:val="10"/>
          <w:sz w:val="21"/>
          <w:szCs w:val="21"/>
        </w:rPr>
        <w:t> </w:t>
      </w:r>
      <w:r>
        <w:rPr>
          <w:rFonts w:ascii="宋体" w:hAnsi="宋体" w:cs="宋体" w:eastAsia="宋体" w:hint="default"/>
          <w:sz w:val="21"/>
          <w:szCs w:val="21"/>
        </w:rPr>
        <w:t>日，本公司取得厦门市科学技术委员会厦</w:t>
      </w:r>
      <w:r>
        <w:rPr>
          <w:rFonts w:ascii="宋体" w:hAnsi="宋体" w:cs="宋体" w:eastAsia="宋体" w:hint="default"/>
          <w:spacing w:val="-48"/>
          <w:sz w:val="21"/>
          <w:szCs w:val="21"/>
        </w:rPr>
        <w:t> </w:t>
      </w:r>
      <w:r>
        <w:rPr>
          <w:rFonts w:ascii="Arial Narrow" w:hAnsi="Arial Narrow" w:cs="Arial Narrow" w:eastAsia="Arial Narrow" w:hint="default"/>
          <w:sz w:val="21"/>
          <w:szCs w:val="21"/>
        </w:rPr>
        <w:t>R-2001-0044</w:t>
      </w:r>
      <w:r>
        <w:rPr>
          <w:rFonts w:ascii="Arial Narrow" w:hAnsi="Arial Narrow" w:cs="Arial Narrow" w:eastAsia="Arial Narrow" w:hint="default"/>
          <w:spacing w:val="10"/>
          <w:sz w:val="21"/>
          <w:szCs w:val="21"/>
        </w:rPr>
        <w:t> </w:t>
      </w:r>
      <w:r>
        <w:rPr>
          <w:rFonts w:ascii="宋体" w:hAnsi="宋体" w:cs="宋体" w:eastAsia="宋体" w:hint="default"/>
          <w:sz w:val="21"/>
          <w:szCs w:val="21"/>
        </w:rPr>
        <w:t>号《软件企业 </w:t>
      </w:r>
      <w:r>
        <w:rPr>
          <w:rFonts w:ascii="宋体" w:hAnsi="宋体" w:cs="宋体" w:eastAsia="宋体" w:hint="default"/>
          <w:spacing w:val="-5"/>
          <w:sz w:val="21"/>
          <w:szCs w:val="21"/>
        </w:rPr>
        <w:t>认定证书》，被认定为软件企业，根据《关于鼓励软件产业和集成电路产业发展有关税收政策问</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10"/>
          <w:w w:val="99"/>
          <w:sz w:val="21"/>
          <w:szCs w:val="21"/>
        </w:rPr>
        <w:t>题的通知》（财税【</w:t>
      </w:r>
      <w:r>
        <w:rPr>
          <w:rFonts w:ascii="Arial Narrow" w:hAnsi="Arial Narrow" w:cs="Arial Narrow" w:eastAsia="Arial Narrow" w:hint="default"/>
          <w:spacing w:val="-10"/>
          <w:w w:val="99"/>
          <w:sz w:val="21"/>
          <w:szCs w:val="21"/>
        </w:rPr>
        <w:t>2000</w:t>
      </w:r>
      <w:r>
        <w:rPr>
          <w:rFonts w:ascii="宋体" w:hAnsi="宋体" w:cs="宋体" w:eastAsia="宋体" w:hint="default"/>
          <w:spacing w:val="-10"/>
          <w:w w:val="99"/>
          <w:sz w:val="21"/>
          <w:szCs w:val="21"/>
        </w:rPr>
        <w:t>】</w:t>
      </w:r>
      <w:r>
        <w:rPr>
          <w:rFonts w:ascii="Arial Narrow" w:hAnsi="Arial Narrow" w:cs="Arial Narrow" w:eastAsia="Arial Narrow" w:hint="default"/>
          <w:spacing w:val="-10"/>
          <w:w w:val="99"/>
          <w:sz w:val="21"/>
          <w:szCs w:val="21"/>
        </w:rPr>
        <w:t>25</w:t>
      </w:r>
      <w:r>
        <w:rPr>
          <w:rFonts w:ascii="Arial Narrow" w:hAnsi="Arial Narrow" w:cs="Arial Narrow" w:eastAsia="Arial Narrow" w:hint="default"/>
          <w:spacing w:val="33"/>
          <w:w w:val="99"/>
          <w:sz w:val="21"/>
          <w:szCs w:val="21"/>
        </w:rPr>
        <w:t> </w:t>
      </w:r>
      <w:r>
        <w:rPr>
          <w:rFonts w:ascii="宋体" w:hAnsi="宋体" w:cs="宋体" w:eastAsia="宋体" w:hint="default"/>
          <w:spacing w:val="-2"/>
          <w:sz w:val="21"/>
          <w:szCs w:val="21"/>
        </w:rPr>
        <w:t>号）规定，销售自行开发生产的软件产品，其增值税实际税负超过</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Arial Narrow" w:hAnsi="Arial Narrow" w:cs="Arial Narrow" w:eastAsia="Arial Narrow" w:hint="default"/>
          <w:spacing w:val="-2"/>
          <w:sz w:val="21"/>
          <w:szCs w:val="21"/>
        </w:rPr>
        <w:t>3</w:t>
      </w:r>
      <w:r>
        <w:rPr>
          <w:rFonts w:ascii="宋体" w:hAnsi="宋体" w:cs="宋体" w:eastAsia="宋体" w:hint="default"/>
          <w:spacing w:val="-2"/>
          <w:sz w:val="21"/>
          <w:szCs w:val="21"/>
        </w:rPr>
        <w:t>％享受即征即退政策部分的所退税款，用于企业研究开发软件产品和扩大再生产，不作为企业</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5"/>
          <w:sz w:val="21"/>
          <w:szCs w:val="21"/>
        </w:rPr>
        <w:t>所得税应税收入，不征收企业所得税。《国务院关于印发进一步鼓励软件产业和集成电路产业发</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pacing w:val="-7"/>
          <w:w w:val="99"/>
          <w:sz w:val="21"/>
          <w:szCs w:val="21"/>
        </w:rPr>
        <w:t>展若干政策的通知》（国发〔</w:t>
      </w:r>
      <w:r>
        <w:rPr>
          <w:rFonts w:ascii="Arial Narrow" w:hAnsi="Arial Narrow" w:cs="Arial Narrow" w:eastAsia="Arial Narrow" w:hint="default"/>
          <w:spacing w:val="-7"/>
          <w:w w:val="99"/>
          <w:sz w:val="21"/>
          <w:szCs w:val="21"/>
        </w:rPr>
        <w:t>2011</w:t>
      </w:r>
      <w:r>
        <w:rPr>
          <w:rFonts w:ascii="宋体" w:hAnsi="宋体" w:cs="宋体" w:eastAsia="宋体" w:hint="default"/>
          <w:spacing w:val="-7"/>
          <w:w w:val="99"/>
          <w:sz w:val="21"/>
          <w:szCs w:val="21"/>
        </w:rPr>
        <w:t>〕</w:t>
      </w:r>
      <w:r>
        <w:rPr>
          <w:rFonts w:ascii="Arial Narrow" w:hAnsi="Arial Narrow" w:cs="Arial Narrow" w:eastAsia="Arial Narrow" w:hint="default"/>
          <w:spacing w:val="-7"/>
          <w:w w:val="99"/>
          <w:sz w:val="21"/>
          <w:szCs w:val="21"/>
        </w:rPr>
        <w:t>4</w:t>
      </w:r>
      <w:r>
        <w:rPr>
          <w:rFonts w:ascii="Arial Narrow" w:hAnsi="Arial Narrow" w:cs="Arial Narrow" w:eastAsia="Arial Narrow" w:hint="default"/>
          <w:spacing w:val="17"/>
          <w:w w:val="99"/>
          <w:sz w:val="21"/>
          <w:szCs w:val="21"/>
        </w:rPr>
        <w:t> </w:t>
      </w:r>
      <w:r>
        <w:rPr>
          <w:rFonts w:ascii="宋体" w:hAnsi="宋体" w:cs="宋体" w:eastAsia="宋体" w:hint="default"/>
          <w:sz w:val="21"/>
          <w:szCs w:val="21"/>
        </w:rPr>
        <w:t>号）明确继续实施软件增值税优惠政策。</w:t>
      </w:r>
    </w:p>
    <w:p>
      <w:pPr>
        <w:spacing w:before="134"/>
        <w:ind w:left="639" w:right="193"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 </w:t>
      </w:r>
      <w:r>
        <w:rPr>
          <w:rFonts w:ascii="Arial Narrow" w:hAnsi="Arial Narrow" w:cs="Arial Narrow" w:eastAsia="Arial Narrow" w:hint="default"/>
          <w:b/>
          <w:bCs/>
          <w:spacing w:val="10"/>
          <w:sz w:val="21"/>
          <w:szCs w:val="21"/>
        </w:rPr>
        <w:t> </w:t>
      </w:r>
      <w:r>
        <w:rPr>
          <w:rFonts w:ascii="宋体" w:hAnsi="宋体" w:cs="宋体" w:eastAsia="宋体" w:hint="default"/>
          <w:b/>
          <w:bCs/>
          <w:sz w:val="21"/>
          <w:szCs w:val="21"/>
        </w:rPr>
        <w:t>房产税</w:t>
      </w:r>
      <w:r>
        <w:rPr>
          <w:rFonts w:ascii="宋体" w:hAnsi="宋体" w:cs="宋体" w:eastAsia="宋体" w:hint="default"/>
          <w:sz w:val="21"/>
          <w:szCs w:val="21"/>
        </w:rPr>
      </w:r>
    </w:p>
    <w:p>
      <w:pPr>
        <w:spacing w:line="280" w:lineRule="auto" w:before="178"/>
        <w:ind w:left="219" w:right="299" w:firstLine="420"/>
        <w:jc w:val="both"/>
        <w:rPr>
          <w:rFonts w:ascii="宋体" w:hAnsi="宋体" w:cs="宋体" w:eastAsia="宋体" w:hint="default"/>
          <w:sz w:val="21"/>
          <w:szCs w:val="21"/>
        </w:rPr>
      </w:pPr>
      <w:r>
        <w:rPr>
          <w:rFonts w:ascii="宋体" w:hAnsi="宋体" w:cs="宋体" w:eastAsia="宋体" w:hint="default"/>
          <w:sz w:val="21"/>
          <w:szCs w:val="21"/>
        </w:rPr>
        <w:t>房产税按照房产原值的 </w:t>
      </w:r>
      <w:r>
        <w:rPr>
          <w:rFonts w:ascii="Arial Narrow" w:hAnsi="Arial Narrow" w:cs="Arial Narrow" w:eastAsia="Arial Narrow" w:hint="default"/>
          <w:sz w:val="21"/>
          <w:szCs w:val="21"/>
        </w:rPr>
        <w:t>75%</w:t>
      </w:r>
      <w:r>
        <w:rPr>
          <w:rFonts w:ascii="宋体" w:hAnsi="宋体" w:cs="宋体" w:eastAsia="宋体" w:hint="default"/>
          <w:sz w:val="21"/>
          <w:szCs w:val="21"/>
        </w:rPr>
        <w:t>为纳税基准，税率为</w:t>
      </w:r>
      <w:r>
        <w:rPr>
          <w:rFonts w:ascii="宋体" w:hAnsi="宋体" w:cs="宋体" w:eastAsia="宋体" w:hint="default"/>
          <w:spacing w:val="-82"/>
          <w:sz w:val="21"/>
          <w:szCs w:val="21"/>
        </w:rPr>
        <w:t> </w:t>
      </w:r>
      <w:r>
        <w:rPr>
          <w:rFonts w:ascii="Arial Narrow" w:hAnsi="Arial Narrow" w:cs="Arial Narrow" w:eastAsia="Arial Narrow" w:hint="default"/>
          <w:sz w:val="21"/>
          <w:szCs w:val="21"/>
        </w:rPr>
        <w:t>1.2%</w:t>
      </w:r>
      <w:r>
        <w:rPr>
          <w:rFonts w:ascii="宋体" w:hAnsi="宋体" w:cs="宋体" w:eastAsia="宋体" w:hint="default"/>
          <w:sz w:val="21"/>
          <w:szCs w:val="21"/>
        </w:rPr>
        <w:t>，或以租金收入为纳税基准，税率为 </w:t>
      </w:r>
      <w:r>
        <w:rPr>
          <w:rFonts w:ascii="Arial Narrow" w:hAnsi="Arial Narrow" w:cs="Arial Narrow" w:eastAsia="Arial Narrow" w:hint="default"/>
          <w:sz w:val="21"/>
          <w:szCs w:val="21"/>
        </w:rPr>
        <w:t>12%</w:t>
      </w:r>
      <w:r>
        <w:rPr>
          <w:rFonts w:ascii="宋体" w:hAnsi="宋体" w:cs="宋体" w:eastAsia="宋体" w:hint="default"/>
          <w:sz w:val="21"/>
          <w:szCs w:val="21"/>
        </w:rPr>
        <w:t>。</w:t>
      </w:r>
    </w:p>
    <w:p>
      <w:pPr>
        <w:spacing w:line="388" w:lineRule="auto" w:before="72"/>
        <w:ind w:left="639" w:right="5141"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4.</w:t>
      </w:r>
      <w:r>
        <w:rPr>
          <w:rFonts w:ascii="Arial Narrow" w:hAnsi="Arial Narrow" w:cs="Arial Narrow" w:eastAsia="Arial Narrow" w:hint="default"/>
          <w:b/>
          <w:bCs/>
          <w:spacing w:val="9"/>
          <w:sz w:val="21"/>
          <w:szCs w:val="21"/>
        </w:rPr>
        <w:t> </w:t>
      </w:r>
      <w:r>
        <w:rPr>
          <w:rFonts w:ascii="宋体" w:hAnsi="宋体" w:cs="宋体" w:eastAsia="宋体" w:hint="default"/>
          <w:b/>
          <w:bCs/>
          <w:sz w:val="21"/>
          <w:szCs w:val="21"/>
        </w:rPr>
        <w:t>个人所得税</w:t>
      </w:r>
      <w:r>
        <w:rPr>
          <w:rFonts w:ascii="宋体" w:hAnsi="宋体" w:cs="宋体" w:eastAsia="宋体" w:hint="default"/>
          <w:b/>
          <w:bCs/>
          <w:w w:val="99"/>
          <w:sz w:val="21"/>
          <w:szCs w:val="21"/>
        </w:rPr>
        <w:t> </w:t>
      </w:r>
      <w:r>
        <w:rPr>
          <w:rFonts w:ascii="宋体" w:hAnsi="宋体" w:cs="宋体" w:eastAsia="宋体" w:hint="default"/>
          <w:sz w:val="21"/>
          <w:szCs w:val="21"/>
        </w:rPr>
        <w:t>员工个人所得税由本公司代扣代缴。</w:t>
      </w:r>
    </w:p>
    <w:p>
      <w:pPr>
        <w:spacing w:line="240" w:lineRule="auto" w:before="3"/>
        <w:rPr>
          <w:rFonts w:ascii="宋体" w:hAnsi="宋体" w:cs="宋体" w:eastAsia="宋体" w:hint="default"/>
          <w:sz w:val="18"/>
          <w:szCs w:val="18"/>
        </w:rPr>
      </w:pPr>
    </w:p>
    <w:p>
      <w:pPr>
        <w:pStyle w:val="BodyText"/>
        <w:spacing w:line="240" w:lineRule="auto"/>
        <w:ind w:left="930" w:right="193"/>
        <w:jc w:val="left"/>
        <w:rPr>
          <w:rFonts w:ascii="黑体" w:hAnsi="黑体" w:cs="黑体" w:eastAsia="黑体" w:hint="default"/>
        </w:rPr>
      </w:pPr>
      <w:r>
        <w:rPr>
          <w:rFonts w:ascii="黑体" w:hAnsi="黑体" w:cs="黑体" w:eastAsia="黑体" w:hint="default"/>
        </w:rPr>
        <w:t>四、企业合并及合并财务报表</w:t>
      </w:r>
    </w:p>
    <w:p>
      <w:pPr>
        <w:spacing w:line="240" w:lineRule="auto" w:before="3"/>
        <w:rPr>
          <w:rFonts w:ascii="黑体" w:hAnsi="黑体" w:cs="黑体" w:eastAsia="黑体" w:hint="default"/>
          <w:sz w:val="21"/>
          <w:szCs w:val="21"/>
        </w:rPr>
      </w:pPr>
    </w:p>
    <w:p>
      <w:pPr>
        <w:spacing w:before="0"/>
        <w:ind w:left="640" w:right="193" w:firstLine="0"/>
        <w:jc w:val="left"/>
        <w:rPr>
          <w:rFonts w:ascii="宋体" w:hAnsi="宋体" w:cs="宋体" w:eastAsia="宋体" w:hint="default"/>
          <w:sz w:val="21"/>
          <w:szCs w:val="21"/>
        </w:rPr>
      </w:pPr>
      <w:r>
        <w:rPr>
          <w:rFonts w:ascii="宋体" w:hAnsi="宋体" w:cs="宋体" w:eastAsia="宋体" w:hint="default"/>
          <w:b/>
          <w:bCs/>
          <w:sz w:val="21"/>
          <w:szCs w:val="21"/>
        </w:rPr>
        <w:t>（一）截至</w:t>
      </w:r>
      <w:r>
        <w:rPr>
          <w:rFonts w:ascii="宋体" w:hAnsi="宋体" w:cs="宋体" w:eastAsia="宋体" w:hint="default"/>
          <w:b/>
          <w:bCs/>
          <w:spacing w:val="-55"/>
          <w:sz w:val="21"/>
          <w:szCs w:val="21"/>
        </w:rPr>
        <w:t> </w:t>
      </w:r>
      <w:r>
        <w:rPr>
          <w:rFonts w:ascii="Arial Narrow" w:hAnsi="Arial Narrow" w:cs="Arial Narrow" w:eastAsia="Arial Narrow" w:hint="default"/>
          <w:b/>
          <w:bCs/>
          <w:spacing w:val="-3"/>
          <w:sz w:val="21"/>
          <w:szCs w:val="21"/>
        </w:rPr>
        <w:t>2011</w:t>
      </w:r>
      <w:r>
        <w:rPr>
          <w:rFonts w:ascii="Arial Narrow" w:hAnsi="Arial Narrow" w:cs="Arial Narrow" w:eastAsia="Arial Narrow"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Arial Narrow" w:hAnsi="Arial Narrow" w:cs="Arial Narrow" w:eastAsia="Arial Narrow" w:hint="default"/>
          <w:b/>
          <w:bCs/>
          <w:sz w:val="21"/>
          <w:szCs w:val="21"/>
        </w:rPr>
        <w:t>12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Arial Narrow" w:hAnsi="Arial Narrow" w:cs="Arial Narrow" w:eastAsia="Arial Narrow" w:hint="default"/>
          <w:b/>
          <w:bCs/>
          <w:sz w:val="21"/>
          <w:szCs w:val="21"/>
        </w:rPr>
        <w:t>31</w:t>
      </w:r>
      <w:r>
        <w:rPr>
          <w:rFonts w:ascii="Arial Narrow" w:hAnsi="Arial Narrow" w:cs="Arial Narrow" w:eastAsia="Arial Narrow" w:hint="default"/>
          <w:b/>
          <w:bCs/>
          <w:spacing w:val="2"/>
          <w:sz w:val="21"/>
          <w:szCs w:val="21"/>
        </w:rPr>
        <w:t> </w:t>
      </w:r>
      <w:r>
        <w:rPr>
          <w:rFonts w:ascii="宋体" w:hAnsi="宋体" w:cs="宋体" w:eastAsia="宋体" w:hint="default"/>
          <w:b/>
          <w:bCs/>
          <w:sz w:val="21"/>
          <w:szCs w:val="21"/>
        </w:rPr>
        <w:t>日止，本公司通过投资设立取得的子公司的基本情况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6"/>
          <w:szCs w:val="16"/>
        </w:rPr>
      </w:pPr>
    </w:p>
    <w:p>
      <w:pPr>
        <w:spacing w:before="45"/>
        <w:ind w:left="0" w:right="114" w:firstLine="0"/>
        <w:jc w:val="right"/>
        <w:rPr>
          <w:rFonts w:ascii="宋体" w:hAnsi="宋体" w:cs="宋体" w:eastAsia="宋体" w:hint="default"/>
          <w:sz w:val="18"/>
          <w:szCs w:val="18"/>
        </w:rPr>
      </w:pPr>
      <w:r>
        <w:rPr/>
        <w:pict>
          <v:shape style="position:absolute;margin-left:84.540001pt;margin-top:-26.421278pt;width:443.3pt;height:54.2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47"/>
                    <w:gridCol w:w="953"/>
                    <w:gridCol w:w="901"/>
                    <w:gridCol w:w="851"/>
                    <w:gridCol w:w="1205"/>
                    <w:gridCol w:w="1084"/>
                    <w:gridCol w:w="2004"/>
                  </w:tblGrid>
                  <w:tr>
                    <w:trPr>
                      <w:trHeight w:val="354" w:hRule="exact"/>
                    </w:trPr>
                    <w:tc>
                      <w:tcPr>
                        <w:tcW w:w="184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left="46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95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right="18"/>
                          <w:jc w:val="right"/>
                          <w:rPr>
                            <w:rFonts w:ascii="宋体" w:hAnsi="宋体" w:cs="宋体" w:eastAsia="宋体" w:hint="default"/>
                            <w:sz w:val="18"/>
                            <w:szCs w:val="18"/>
                          </w:rPr>
                        </w:pPr>
                        <w:r>
                          <w:rPr>
                            <w:rFonts w:ascii="宋体" w:hAnsi="宋体" w:cs="宋体" w:eastAsia="宋体" w:hint="default"/>
                            <w:sz w:val="18"/>
                            <w:szCs w:val="18"/>
                          </w:rPr>
                          <w:t>子公司类型</w:t>
                        </w:r>
                      </w:p>
                    </w:tc>
                    <w:tc>
                      <w:tcPr>
                        <w:tcW w:w="90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sz w:val="18"/>
                            <w:szCs w:val="18"/>
                          </w:rPr>
                          <w:t>注册地</w:t>
                        </w:r>
                      </w:p>
                    </w:tc>
                    <w:tc>
                      <w:tcPr>
                        <w:tcW w:w="85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12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left="235"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8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right="1"/>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00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left="453" w:right="0"/>
                          <w:jc w:val="left"/>
                          <w:rPr>
                            <w:rFonts w:ascii="宋体" w:hAnsi="宋体" w:cs="宋体" w:eastAsia="宋体" w:hint="default"/>
                            <w:sz w:val="18"/>
                            <w:szCs w:val="18"/>
                          </w:rPr>
                        </w:pPr>
                        <w:r>
                          <w:rPr>
                            <w:rFonts w:ascii="宋体" w:hAnsi="宋体" w:cs="宋体" w:eastAsia="宋体" w:hint="default"/>
                            <w:sz w:val="18"/>
                            <w:szCs w:val="18"/>
                          </w:rPr>
                          <w:t>主要经营范围</w:t>
                        </w:r>
                      </w:p>
                    </w:tc>
                  </w:tr>
                  <w:tr>
                    <w:trPr>
                      <w:trHeight w:val="715"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30"/>
                          <w:jc w:val="left"/>
                          <w:rPr>
                            <w:rFonts w:ascii="宋体" w:hAnsi="宋体" w:cs="宋体" w:eastAsia="宋体" w:hint="default"/>
                            <w:sz w:val="18"/>
                            <w:szCs w:val="18"/>
                          </w:rPr>
                        </w:pPr>
                        <w:r>
                          <w:rPr>
                            <w:rFonts w:ascii="宋体" w:hAnsi="宋体" w:cs="宋体" w:eastAsia="宋体" w:hint="default"/>
                            <w:sz w:val="18"/>
                            <w:szCs w:val="18"/>
                          </w:rPr>
                          <w:t>厦门市美亚柏科信息安 全研究所有限公司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8"/>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厦门</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综合</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7" w:right="-1"/>
                          <w:jc w:val="left"/>
                          <w:rPr>
                            <w:rFonts w:ascii="Arial Narrow" w:hAnsi="Arial Narrow" w:cs="Arial Narrow" w:eastAsia="Arial Narrow" w:hint="default"/>
                            <w:sz w:val="18"/>
                            <w:szCs w:val="18"/>
                          </w:rPr>
                        </w:pPr>
                        <w:r>
                          <w:rPr>
                            <w:rFonts w:ascii="Arial Narrow"/>
                            <w:sz w:val="18"/>
                          </w:rPr>
                          <w:t>10,000,000.00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刘祥南</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2"/>
                          <w:jc w:val="left"/>
                          <w:rPr>
                            <w:rFonts w:ascii="宋体" w:hAnsi="宋体" w:cs="宋体" w:eastAsia="宋体" w:hint="default"/>
                            <w:sz w:val="18"/>
                            <w:szCs w:val="18"/>
                          </w:rPr>
                        </w:pPr>
                        <w:r>
                          <w:rPr>
                            <w:rFonts w:ascii="宋体" w:hAnsi="宋体" w:cs="宋体" w:eastAsia="宋体" w:hint="default"/>
                            <w:sz w:val="18"/>
                            <w:szCs w:val="18"/>
                          </w:rPr>
                          <w:t>信息网络安全产品的研究</w:t>
                        </w:r>
                      </w:p>
                      <w:p>
                        <w:pPr>
                          <w:pStyle w:val="TableParagraph"/>
                          <w:spacing w:line="232" w:lineRule="exact" w:before="24"/>
                          <w:ind w:right="-2"/>
                          <w:jc w:val="left"/>
                          <w:rPr>
                            <w:rFonts w:ascii="宋体" w:hAnsi="宋体" w:cs="宋体" w:eastAsia="宋体" w:hint="default"/>
                            <w:sz w:val="18"/>
                            <w:szCs w:val="18"/>
                          </w:rPr>
                        </w:pPr>
                        <w:r>
                          <w:rPr>
                            <w:rFonts w:ascii="宋体" w:hAnsi="宋体" w:cs="宋体" w:eastAsia="宋体" w:hint="default"/>
                            <w:spacing w:val="-8"/>
                            <w:sz w:val="18"/>
                            <w:szCs w:val="18"/>
                          </w:rPr>
                          <w:t>和开发；计算机软件开发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网络技术服务；批发零售</w:t>
                        </w:r>
                      </w:p>
                    </w:tc>
                  </w:tr>
                </w:tbl>
                <w:p>
                  <w:pPr/>
                </w:p>
              </w:txbxContent>
            </v:textbox>
            <w10:wrap type="none"/>
          </v:shape>
        </w:pict>
      </w: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2240" w:h="15840"/>
          <w:pgMar w:header="0" w:footer="708" w:top="1380" w:bottom="900" w:left="1580" w:right="15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before="44"/>
        <w:ind w:left="0" w:right="114" w:firstLine="0"/>
        <w:jc w:val="right"/>
        <w:rPr>
          <w:rFonts w:ascii="宋体" w:hAnsi="宋体" w:cs="宋体" w:eastAsia="宋体" w:hint="default"/>
          <w:sz w:val="18"/>
          <w:szCs w:val="18"/>
        </w:rPr>
      </w:pPr>
      <w:r>
        <w:rPr/>
        <w:pict>
          <v:shape style="position:absolute;margin-left:84.540001pt;margin-top:-49.802258pt;width:443.3pt;height:244.45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47"/>
                    <w:gridCol w:w="953"/>
                    <w:gridCol w:w="901"/>
                    <w:gridCol w:w="851"/>
                    <w:gridCol w:w="1205"/>
                    <w:gridCol w:w="1084"/>
                    <w:gridCol w:w="2004"/>
                  </w:tblGrid>
                  <w:tr>
                    <w:trPr>
                      <w:trHeight w:val="355" w:hRule="exact"/>
                    </w:trPr>
                    <w:tc>
                      <w:tcPr>
                        <w:tcW w:w="1847" w:type="dxa"/>
                        <w:tcBorders>
                          <w:top w:val="single" w:sz="6" w:space="0" w:color="000000"/>
                          <w:left w:val="single" w:sz="6" w:space="0" w:color="000000"/>
                          <w:bottom w:val="single" w:sz="6" w:space="0" w:color="000000"/>
                          <w:right w:val="single" w:sz="6" w:space="0" w:color="000000"/>
                        </w:tcBorders>
                      </w:tcPr>
                      <w:p>
                        <w:pPr/>
                      </w:p>
                    </w:tc>
                    <w:tc>
                      <w:tcPr>
                        <w:tcW w:w="953" w:type="dxa"/>
                        <w:tcBorders>
                          <w:top w:val="single" w:sz="6" w:space="0" w:color="000000"/>
                          <w:left w:val="single" w:sz="6" w:space="0" w:color="000000"/>
                          <w:bottom w:val="single" w:sz="6" w:space="0" w:color="000000"/>
                          <w:right w:val="single" w:sz="6" w:space="0" w:color="000000"/>
                        </w:tcBorders>
                      </w:tcPr>
                      <w:p>
                        <w:pPr/>
                      </w:p>
                    </w:tc>
                    <w:tc>
                      <w:tcPr>
                        <w:tcW w:w="901"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084" w:type="dxa"/>
                        <w:tcBorders>
                          <w:top w:val="single" w:sz="6" w:space="0" w:color="000000"/>
                          <w:left w:val="single" w:sz="6" w:space="0" w:color="000000"/>
                          <w:bottom w:val="single" w:sz="6" w:space="0" w:color="000000"/>
                          <w:right w:val="single" w:sz="6" w:space="0" w:color="000000"/>
                        </w:tcBorders>
                      </w:tcPr>
                      <w:p>
                        <w:pP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 w:right="0"/>
                          <w:jc w:val="left"/>
                          <w:rPr>
                            <w:rFonts w:ascii="宋体" w:hAnsi="宋体" w:cs="宋体" w:eastAsia="宋体" w:hint="default"/>
                            <w:sz w:val="18"/>
                            <w:szCs w:val="18"/>
                          </w:rPr>
                        </w:pPr>
                        <w:r>
                          <w:rPr>
                            <w:rFonts w:ascii="宋体" w:hAnsi="宋体" w:cs="宋体" w:eastAsia="宋体" w:hint="default"/>
                            <w:sz w:val="18"/>
                            <w:szCs w:val="18"/>
                          </w:rPr>
                          <w:t>计算机与网络安全设备</w:t>
                        </w:r>
                      </w:p>
                    </w:tc>
                  </w:tr>
                  <w:tr>
                    <w:trPr>
                      <w:trHeight w:val="1416"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41"/>
                          <w:ind w:left="-1" w:right="30"/>
                          <w:jc w:val="center"/>
                          <w:rPr>
                            <w:rFonts w:ascii="宋体" w:hAnsi="宋体" w:cs="宋体" w:eastAsia="宋体" w:hint="default"/>
                            <w:sz w:val="18"/>
                            <w:szCs w:val="18"/>
                          </w:rPr>
                        </w:pPr>
                        <w:r>
                          <w:rPr>
                            <w:rFonts w:ascii="宋体" w:hAnsi="宋体" w:cs="宋体" w:eastAsia="宋体" w:hint="default"/>
                            <w:sz w:val="18"/>
                            <w:szCs w:val="18"/>
                          </w:rPr>
                          <w:t>杭州创聚科技有限公司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41"/>
                          <w:ind w:right="18"/>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41"/>
                          <w:ind w:left="26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41"/>
                          <w:ind w:left="237" w:right="0"/>
                          <w:jc w:val="left"/>
                          <w:rPr>
                            <w:rFonts w:ascii="宋体" w:hAnsi="宋体" w:cs="宋体" w:eastAsia="宋体" w:hint="default"/>
                            <w:sz w:val="18"/>
                            <w:szCs w:val="18"/>
                          </w:rPr>
                        </w:pPr>
                        <w:r>
                          <w:rPr>
                            <w:rFonts w:ascii="宋体" w:hAnsi="宋体" w:cs="宋体" w:eastAsia="宋体" w:hint="default"/>
                            <w:sz w:val="18"/>
                            <w:szCs w:val="18"/>
                          </w:rPr>
                          <w:t>综合</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9"/>
                          <w:ind w:right="0"/>
                          <w:jc w:val="left"/>
                          <w:rPr>
                            <w:rFonts w:ascii="Arial Narrow" w:hAnsi="Arial Narrow" w:cs="Arial Narrow" w:eastAsia="Arial Narrow" w:hint="default"/>
                            <w:sz w:val="15"/>
                            <w:szCs w:val="15"/>
                          </w:rPr>
                        </w:pPr>
                      </w:p>
                      <w:p>
                        <w:pPr>
                          <w:pStyle w:val="TableParagraph"/>
                          <w:spacing w:line="240" w:lineRule="auto"/>
                          <w:ind w:right="-1"/>
                          <w:jc w:val="right"/>
                          <w:rPr>
                            <w:rFonts w:ascii="Arial Narrow" w:hAnsi="Arial Narrow" w:cs="Arial Narrow" w:eastAsia="Arial Narrow" w:hint="default"/>
                            <w:sz w:val="18"/>
                            <w:szCs w:val="18"/>
                          </w:rPr>
                        </w:pPr>
                        <w:r>
                          <w:rPr>
                            <w:rFonts w:ascii="Arial Narrow"/>
                            <w:spacing w:val="-1"/>
                            <w:sz w:val="18"/>
                          </w:rPr>
                          <w:t>10,000,000.00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41"/>
                          <w:ind w:left="264" w:right="0"/>
                          <w:jc w:val="left"/>
                          <w:rPr>
                            <w:rFonts w:ascii="宋体" w:hAnsi="宋体" w:cs="宋体" w:eastAsia="宋体" w:hint="default"/>
                            <w:sz w:val="18"/>
                            <w:szCs w:val="18"/>
                          </w:rPr>
                        </w:pPr>
                        <w:r>
                          <w:rPr>
                            <w:rFonts w:ascii="宋体" w:hAnsi="宋体" w:cs="宋体" w:eastAsia="宋体" w:hint="default"/>
                            <w:sz w:val="18"/>
                            <w:szCs w:val="18"/>
                          </w:rPr>
                          <w:t>白鹭斌</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2"/>
                          <w:jc w:val="left"/>
                          <w:rPr>
                            <w:rFonts w:ascii="宋体" w:hAnsi="宋体" w:cs="宋体" w:eastAsia="宋体" w:hint="default"/>
                            <w:sz w:val="18"/>
                            <w:szCs w:val="18"/>
                          </w:rPr>
                        </w:pPr>
                        <w:r>
                          <w:rPr>
                            <w:rFonts w:ascii="宋体" w:hAnsi="宋体" w:cs="宋体" w:eastAsia="宋体" w:hint="default"/>
                            <w:sz w:val="18"/>
                            <w:szCs w:val="18"/>
                          </w:rPr>
                          <w:t>服务；计算机硬件技术开</w:t>
                        </w:r>
                      </w:p>
                      <w:p>
                        <w:pPr>
                          <w:pStyle w:val="TableParagraph"/>
                          <w:spacing w:line="237" w:lineRule="auto"/>
                          <w:ind w:right="-2"/>
                          <w:jc w:val="left"/>
                          <w:rPr>
                            <w:rFonts w:ascii="宋体" w:hAnsi="宋体" w:cs="宋体" w:eastAsia="宋体" w:hint="default"/>
                            <w:sz w:val="18"/>
                            <w:szCs w:val="18"/>
                          </w:rPr>
                        </w:pPr>
                        <w:r>
                          <w:rPr>
                            <w:rFonts w:ascii="宋体" w:hAnsi="宋体" w:cs="宋体" w:eastAsia="宋体" w:hint="default"/>
                            <w:sz w:val="18"/>
                            <w:szCs w:val="18"/>
                          </w:rPr>
                          <w:t>发、成果转让，计算机系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统集成，科技信息咨询；</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批发、零售：电子计算机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网络设备、通信设备（除</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专控）</w:t>
                        </w:r>
                      </w:p>
                    </w:tc>
                  </w:tr>
                  <w:tr>
                    <w:trPr>
                      <w:trHeight w:val="350" w:hRule="exact"/>
                    </w:trPr>
                    <w:tc>
                      <w:tcPr>
                        <w:tcW w:w="1847" w:type="dxa"/>
                        <w:tcBorders>
                          <w:top w:val="single" w:sz="6" w:space="0" w:color="000000"/>
                          <w:left w:val="single" w:sz="6" w:space="0" w:color="000000"/>
                          <w:bottom w:val="nil" w:sz="6" w:space="0" w:color="auto"/>
                          <w:right w:val="single" w:sz="6" w:space="0" w:color="000000"/>
                        </w:tcBorders>
                        <w:shd w:val="clear" w:color="auto" w:fill="C0C0C0"/>
                      </w:tcPr>
                      <w:p>
                        <w:pPr/>
                      </w:p>
                    </w:tc>
                    <w:tc>
                      <w:tcPr>
                        <w:tcW w:w="185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3"/>
                          <w:ind w:left="31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851"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3"/>
                          <w:ind w:right="0"/>
                          <w:jc w:val="left"/>
                          <w:rPr>
                            <w:rFonts w:ascii="Arial Narrow" w:hAnsi="Arial Narrow" w:cs="Arial Narrow" w:eastAsia="Arial Narrow" w:hint="default"/>
                            <w:sz w:val="19"/>
                            <w:szCs w:val="19"/>
                          </w:rPr>
                        </w:pPr>
                      </w:p>
                      <w:p>
                        <w:pPr>
                          <w:pStyle w:val="TableParagraph"/>
                          <w:spacing w:line="232" w:lineRule="exact"/>
                          <w:ind w:left="82" w:right="56" w:hanging="26"/>
                          <w:jc w:val="left"/>
                          <w:rPr>
                            <w:rFonts w:ascii="宋体" w:hAnsi="宋体" w:cs="宋体" w:eastAsia="宋体" w:hint="default"/>
                            <w:sz w:val="18"/>
                            <w:szCs w:val="18"/>
                          </w:rPr>
                        </w:pPr>
                        <w:r>
                          <w:rPr>
                            <w:rFonts w:ascii="宋体" w:hAnsi="宋体" w:cs="宋体" w:eastAsia="宋体" w:hint="default"/>
                            <w:sz w:val="18"/>
                            <w:szCs w:val="18"/>
                          </w:rPr>
                          <w:t>表决权比 例（</w:t>
                        </w:r>
                        <w:r>
                          <w:rPr>
                            <w:rFonts w:ascii="Arial Narrow" w:hAnsi="Arial Narrow" w:cs="Arial Narrow" w:eastAsia="Arial Narrow" w:hint="default"/>
                            <w:sz w:val="18"/>
                            <w:szCs w:val="18"/>
                          </w:rPr>
                          <w:t>%</w:t>
                        </w:r>
                        <w:r>
                          <w:rPr>
                            <w:rFonts w:ascii="宋体" w:hAnsi="宋体" w:cs="宋体" w:eastAsia="宋体" w:hint="default"/>
                            <w:sz w:val="18"/>
                            <w:szCs w:val="18"/>
                          </w:rPr>
                          <w:t>）</w:t>
                        </w:r>
                      </w:p>
                    </w:tc>
                    <w:tc>
                      <w:tcPr>
                        <w:tcW w:w="1205"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3"/>
                          <w:ind w:right="0"/>
                          <w:jc w:val="left"/>
                          <w:rPr>
                            <w:rFonts w:ascii="Arial Narrow" w:hAnsi="Arial Narrow" w:cs="Arial Narrow" w:eastAsia="Arial Narrow" w:hint="default"/>
                            <w:sz w:val="19"/>
                            <w:szCs w:val="19"/>
                          </w:rPr>
                        </w:pPr>
                      </w:p>
                      <w:p>
                        <w:pPr>
                          <w:pStyle w:val="TableParagraph"/>
                          <w:spacing w:line="232" w:lineRule="exact"/>
                          <w:ind w:left="505" w:right="53" w:hanging="450"/>
                          <w:jc w:val="left"/>
                          <w:rPr>
                            <w:rFonts w:ascii="宋体" w:hAnsi="宋体" w:cs="宋体" w:eastAsia="宋体" w:hint="default"/>
                            <w:sz w:val="18"/>
                            <w:szCs w:val="18"/>
                          </w:rPr>
                        </w:pPr>
                        <w:r>
                          <w:rPr>
                            <w:rFonts w:ascii="宋体" w:hAnsi="宋体" w:cs="宋体" w:eastAsia="宋体" w:hint="default"/>
                            <w:sz w:val="18"/>
                            <w:szCs w:val="18"/>
                          </w:rPr>
                          <w:t>年末实际出资 额</w:t>
                        </w:r>
                      </w:p>
                    </w:tc>
                    <w:tc>
                      <w:tcPr>
                        <w:tcW w:w="1084" w:type="dxa"/>
                        <w:vMerge w:val="restart"/>
                        <w:tcBorders>
                          <w:top w:val="single" w:sz="6" w:space="0" w:color="000000"/>
                          <w:left w:val="single" w:sz="6" w:space="0" w:color="000000"/>
                          <w:right w:val="single" w:sz="6" w:space="0" w:color="000000"/>
                        </w:tcBorders>
                        <w:shd w:val="clear" w:color="auto" w:fill="C0C0C0"/>
                      </w:tcPr>
                      <w:p>
                        <w:pPr>
                          <w:pStyle w:val="TableParagraph"/>
                          <w:spacing w:line="205" w:lineRule="exact"/>
                          <w:ind w:left="83" w:right="0"/>
                          <w:jc w:val="both"/>
                          <w:rPr>
                            <w:rFonts w:ascii="宋体" w:hAnsi="宋体" w:cs="宋体" w:eastAsia="宋体" w:hint="default"/>
                            <w:sz w:val="18"/>
                            <w:szCs w:val="18"/>
                          </w:rPr>
                        </w:pPr>
                        <w:r>
                          <w:rPr>
                            <w:rFonts w:ascii="宋体" w:hAnsi="宋体" w:cs="宋体" w:eastAsia="宋体" w:hint="default"/>
                            <w:sz w:val="18"/>
                            <w:szCs w:val="18"/>
                          </w:rPr>
                          <w:t>实质上构成</w:t>
                        </w:r>
                      </w:p>
                      <w:p>
                        <w:pPr>
                          <w:pStyle w:val="TableParagraph"/>
                          <w:spacing w:line="237" w:lineRule="auto"/>
                          <w:ind w:left="83" w:right="83"/>
                          <w:jc w:val="both"/>
                          <w:rPr>
                            <w:rFonts w:ascii="宋体" w:hAnsi="宋体" w:cs="宋体" w:eastAsia="宋体" w:hint="default"/>
                            <w:sz w:val="18"/>
                            <w:szCs w:val="18"/>
                          </w:rPr>
                        </w:pPr>
                        <w:r>
                          <w:rPr>
                            <w:rFonts w:ascii="宋体" w:hAnsi="宋体" w:cs="宋体" w:eastAsia="宋体" w:hint="default"/>
                            <w:sz w:val="18"/>
                            <w:szCs w:val="18"/>
                          </w:rPr>
                          <w:t>对子公司净 投资的其他 项目余额</w:t>
                        </w:r>
                      </w:p>
                    </w:tc>
                    <w:tc>
                      <w:tcPr>
                        <w:tcW w:w="200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Arial Narrow" w:hAnsi="Arial Narrow" w:cs="Arial Narrow" w:eastAsia="Arial Narrow" w:hint="default"/>
                            <w:sz w:val="18"/>
                            <w:szCs w:val="18"/>
                          </w:rPr>
                        </w:pPr>
                      </w:p>
                      <w:p>
                        <w:pPr>
                          <w:pStyle w:val="TableParagraph"/>
                          <w:spacing w:line="240" w:lineRule="auto" w:before="106"/>
                          <w:ind w:left="633" w:right="0"/>
                          <w:jc w:val="left"/>
                          <w:rPr>
                            <w:rFonts w:ascii="宋体" w:hAnsi="宋体" w:cs="宋体" w:eastAsia="宋体" w:hint="default"/>
                            <w:sz w:val="18"/>
                            <w:szCs w:val="18"/>
                          </w:rPr>
                        </w:pPr>
                        <w:r>
                          <w:rPr>
                            <w:rFonts w:ascii="宋体" w:hAnsi="宋体" w:cs="宋体" w:eastAsia="宋体" w:hint="default"/>
                            <w:sz w:val="18"/>
                            <w:szCs w:val="18"/>
                          </w:rPr>
                          <w:t>是否合并</w:t>
                        </w:r>
                      </w:p>
                    </w:tc>
                  </w:tr>
                  <w:tr>
                    <w:trPr>
                      <w:trHeight w:val="598" w:hRule="exact"/>
                    </w:trPr>
                    <w:tc>
                      <w:tcPr>
                        <w:tcW w:w="1847" w:type="dxa"/>
                        <w:tcBorders>
                          <w:top w:val="nil" w:sz="6" w:space="0" w:color="auto"/>
                          <w:left w:val="single" w:sz="6" w:space="0" w:color="000000"/>
                          <w:bottom w:val="single" w:sz="6"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left="287"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6"/>
                          <w:ind w:left="262" w:right="0"/>
                          <w:jc w:val="left"/>
                          <w:rPr>
                            <w:rFonts w:ascii="宋体" w:hAnsi="宋体" w:cs="宋体" w:eastAsia="宋体" w:hint="default"/>
                            <w:sz w:val="18"/>
                            <w:szCs w:val="18"/>
                          </w:rPr>
                        </w:pPr>
                        <w:r>
                          <w:rPr>
                            <w:rFonts w:ascii="宋体" w:hAnsi="宋体" w:cs="宋体" w:eastAsia="宋体" w:hint="default"/>
                            <w:sz w:val="18"/>
                            <w:szCs w:val="18"/>
                          </w:rPr>
                          <w:t>间接</w:t>
                        </w:r>
                      </w:p>
                    </w:tc>
                    <w:tc>
                      <w:tcPr>
                        <w:tcW w:w="851" w:type="dxa"/>
                        <w:vMerge/>
                        <w:tcBorders>
                          <w:left w:val="single" w:sz="6" w:space="0" w:color="000000"/>
                          <w:bottom w:val="single" w:sz="6" w:space="0" w:color="000000"/>
                          <w:right w:val="single" w:sz="6" w:space="0" w:color="000000"/>
                        </w:tcBorders>
                        <w:shd w:val="clear" w:color="auto" w:fill="C0C0C0"/>
                      </w:tcPr>
                      <w:p>
                        <w:pPr/>
                      </w:p>
                    </w:tc>
                    <w:tc>
                      <w:tcPr>
                        <w:tcW w:w="1205" w:type="dxa"/>
                        <w:vMerge/>
                        <w:tcBorders>
                          <w:left w:val="single" w:sz="6" w:space="0" w:color="000000"/>
                          <w:bottom w:val="single" w:sz="6" w:space="0" w:color="000000"/>
                          <w:right w:val="single" w:sz="6" w:space="0" w:color="000000"/>
                        </w:tcBorders>
                        <w:shd w:val="clear" w:color="auto" w:fill="C0C0C0"/>
                      </w:tcPr>
                      <w:p>
                        <w:pPr/>
                      </w:p>
                    </w:tc>
                    <w:tc>
                      <w:tcPr>
                        <w:tcW w:w="1084" w:type="dxa"/>
                        <w:vMerge/>
                        <w:tcBorders>
                          <w:left w:val="single" w:sz="6" w:space="0" w:color="000000"/>
                          <w:bottom w:val="single" w:sz="6" w:space="0" w:color="000000"/>
                          <w:right w:val="single" w:sz="6" w:space="0" w:color="000000"/>
                        </w:tcBorders>
                        <w:shd w:val="clear" w:color="auto" w:fill="C0C0C0"/>
                      </w:tcPr>
                      <w:p>
                        <w:pPr/>
                      </w:p>
                    </w:tc>
                    <w:tc>
                      <w:tcPr>
                        <w:tcW w:w="2004" w:type="dxa"/>
                        <w:vMerge/>
                        <w:tcBorders>
                          <w:left w:val="single" w:sz="6" w:space="0" w:color="000000"/>
                          <w:bottom w:val="single" w:sz="6" w:space="0" w:color="000000"/>
                          <w:right w:val="single" w:sz="6" w:space="0" w:color="000000"/>
                        </w:tcBorders>
                        <w:shd w:val="clear" w:color="auto" w:fill="C0C0C0"/>
                      </w:tcPr>
                      <w:p>
                        <w:pPr/>
                      </w:p>
                    </w:tc>
                  </w:tr>
                  <w:tr>
                    <w:trPr>
                      <w:trHeight w:val="482"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4"/>
                          <w:jc w:val="left"/>
                          <w:rPr>
                            <w:rFonts w:ascii="宋体" w:hAnsi="宋体" w:cs="宋体" w:eastAsia="宋体" w:hint="default"/>
                            <w:sz w:val="18"/>
                            <w:szCs w:val="18"/>
                          </w:rPr>
                        </w:pPr>
                        <w:r>
                          <w:rPr>
                            <w:rFonts w:ascii="宋体" w:hAnsi="宋体" w:cs="宋体" w:eastAsia="宋体" w:hint="default"/>
                            <w:spacing w:val="3"/>
                            <w:sz w:val="18"/>
                            <w:szCs w:val="18"/>
                          </w:rPr>
                          <w:t>厦门市美亚柏科信息安</w:t>
                        </w:r>
                        <w:r>
                          <w:rPr>
                            <w:rFonts w:ascii="宋体" w:hAnsi="宋体" w:cs="宋体" w:eastAsia="宋体" w:hint="default"/>
                            <w:sz w:val="18"/>
                            <w:szCs w:val="18"/>
                          </w:rPr>
                        </w:r>
                      </w:p>
                      <w:p>
                        <w:pPr>
                          <w:pStyle w:val="TableParagraph"/>
                          <w:spacing w:line="235" w:lineRule="exact"/>
                          <w:ind w:right="0"/>
                          <w:jc w:val="left"/>
                          <w:rPr>
                            <w:rFonts w:ascii="宋体" w:hAnsi="宋体" w:cs="宋体" w:eastAsia="宋体" w:hint="default"/>
                            <w:sz w:val="18"/>
                            <w:szCs w:val="18"/>
                          </w:rPr>
                        </w:pPr>
                        <w:r>
                          <w:rPr>
                            <w:rFonts w:ascii="宋体" w:hAnsi="宋体" w:cs="宋体" w:eastAsia="宋体" w:hint="default"/>
                            <w:sz w:val="18"/>
                            <w:szCs w:val="18"/>
                          </w:rPr>
                          <w:t>全研究所有限公司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1"/>
                          <w:jc w:val="right"/>
                          <w:rPr>
                            <w:rFonts w:ascii="Arial Narrow" w:hAnsi="Arial Narrow" w:cs="Arial Narrow" w:eastAsia="Arial Narrow" w:hint="default"/>
                            <w:sz w:val="18"/>
                            <w:szCs w:val="18"/>
                          </w:rPr>
                        </w:pPr>
                        <w:r>
                          <w:rPr>
                            <w:rFonts w:ascii="Arial Narrow"/>
                            <w:spacing w:val="-1"/>
                            <w:sz w:val="18"/>
                          </w:rPr>
                          <w:t>100.00%</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0"/>
                          <w:jc w:val="right"/>
                          <w:rPr>
                            <w:rFonts w:ascii="Arial Narrow" w:hAnsi="Arial Narrow" w:cs="Arial Narrow" w:eastAsia="Arial Narrow" w:hint="default"/>
                            <w:sz w:val="18"/>
                            <w:szCs w:val="18"/>
                          </w:rPr>
                        </w:pPr>
                        <w:r>
                          <w:rPr>
                            <w:rFonts w:ascii="Arial Narrow"/>
                            <w:sz w:val="18"/>
                          </w:rPr>
                          <w:t>-</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1"/>
                          <w:jc w:val="right"/>
                          <w:rPr>
                            <w:rFonts w:ascii="Arial Narrow" w:hAnsi="Arial Narrow" w:cs="Arial Narrow" w:eastAsia="Arial Narrow" w:hint="default"/>
                            <w:sz w:val="18"/>
                            <w:szCs w:val="18"/>
                          </w:rPr>
                        </w:pPr>
                        <w:r>
                          <w:rPr>
                            <w:rFonts w:ascii="Arial Narrow"/>
                            <w:spacing w:val="-1"/>
                            <w:sz w:val="18"/>
                          </w:rPr>
                          <w:t>100.00%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1"/>
                          <w:jc w:val="right"/>
                          <w:rPr>
                            <w:rFonts w:ascii="Arial Narrow" w:hAnsi="Arial Narrow" w:cs="Arial Narrow" w:eastAsia="Arial Narrow" w:hint="default"/>
                            <w:sz w:val="18"/>
                            <w:szCs w:val="18"/>
                          </w:rPr>
                        </w:pPr>
                        <w:r>
                          <w:rPr>
                            <w:rFonts w:ascii="Arial Narrow"/>
                            <w:spacing w:val="-1"/>
                            <w:sz w:val="18"/>
                          </w:rPr>
                          <w:t>10,000,000,00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0"/>
                          <w:jc w:val="right"/>
                          <w:rPr>
                            <w:rFonts w:ascii="Arial Narrow" w:hAnsi="Arial Narrow" w:cs="Arial Narrow" w:eastAsia="Arial Narrow" w:hint="default"/>
                            <w:sz w:val="18"/>
                            <w:szCs w:val="18"/>
                          </w:rPr>
                        </w:pPr>
                        <w:r>
                          <w:rPr>
                            <w:rFonts w:ascii="Arial Narrow"/>
                            <w:sz w:val="18"/>
                          </w:rPr>
                          <w:t>-</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30"/>
                          <w:jc w:val="center"/>
                          <w:rPr>
                            <w:rFonts w:ascii="宋体" w:hAnsi="宋体" w:cs="宋体" w:eastAsia="宋体" w:hint="default"/>
                            <w:sz w:val="18"/>
                            <w:szCs w:val="18"/>
                          </w:rPr>
                        </w:pPr>
                        <w:r>
                          <w:rPr>
                            <w:rFonts w:ascii="宋体" w:hAnsi="宋体" w:cs="宋体" w:eastAsia="宋体" w:hint="default"/>
                            <w:sz w:val="18"/>
                            <w:szCs w:val="18"/>
                          </w:rPr>
                          <w:t>杭州创聚科技有限公司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
                          <w:jc w:val="right"/>
                          <w:rPr>
                            <w:rFonts w:ascii="Arial Narrow" w:hAnsi="Arial Narrow" w:cs="Arial Narrow" w:eastAsia="Arial Narrow" w:hint="default"/>
                            <w:sz w:val="18"/>
                            <w:szCs w:val="18"/>
                          </w:rPr>
                        </w:pPr>
                        <w:r>
                          <w:rPr>
                            <w:rFonts w:ascii="Arial Narrow"/>
                            <w:spacing w:val="-1"/>
                            <w:sz w:val="18"/>
                          </w:rPr>
                          <w:t>100.00%</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right"/>
                          <w:rPr>
                            <w:rFonts w:ascii="Arial Narrow" w:hAnsi="Arial Narrow" w:cs="Arial Narrow" w:eastAsia="Arial Narrow" w:hint="default"/>
                            <w:sz w:val="18"/>
                            <w:szCs w:val="18"/>
                          </w:rPr>
                        </w:pPr>
                        <w:r>
                          <w:rPr>
                            <w:rFonts w:ascii="Arial Narrow"/>
                            <w:sz w:val="18"/>
                          </w:rPr>
                          <w:t>-</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
                          <w:jc w:val="right"/>
                          <w:rPr>
                            <w:rFonts w:ascii="Arial Narrow" w:hAnsi="Arial Narrow" w:cs="Arial Narrow" w:eastAsia="Arial Narrow" w:hint="default"/>
                            <w:sz w:val="18"/>
                            <w:szCs w:val="18"/>
                          </w:rPr>
                        </w:pPr>
                        <w:r>
                          <w:rPr>
                            <w:rFonts w:ascii="Arial Narrow"/>
                            <w:spacing w:val="-1"/>
                            <w:sz w:val="18"/>
                          </w:rPr>
                          <w:t>100.00%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
                          <w:jc w:val="right"/>
                          <w:rPr>
                            <w:rFonts w:ascii="Arial Narrow" w:hAnsi="Arial Narrow" w:cs="Arial Narrow" w:eastAsia="Arial Narrow" w:hint="default"/>
                            <w:sz w:val="18"/>
                            <w:szCs w:val="18"/>
                          </w:rPr>
                        </w:pPr>
                        <w:r>
                          <w:rPr>
                            <w:rFonts w:ascii="Arial Narrow"/>
                            <w:spacing w:val="-1"/>
                            <w:sz w:val="18"/>
                          </w:rPr>
                          <w:t>10,000,000.00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right"/>
                          <w:rPr>
                            <w:rFonts w:ascii="Arial Narrow" w:hAnsi="Arial Narrow" w:cs="Arial Narrow" w:eastAsia="Arial Narrow" w:hint="default"/>
                            <w:sz w:val="18"/>
                            <w:szCs w:val="18"/>
                          </w:rPr>
                        </w:pPr>
                        <w:r>
                          <w:rPr>
                            <w:rFonts w:ascii="Arial Narrow"/>
                            <w:sz w:val="18"/>
                          </w:rPr>
                          <w:t>-</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81" w:hRule="exact"/>
                    </w:trPr>
                    <w:tc>
                      <w:tcPr>
                        <w:tcW w:w="184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95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企业类型</w:t>
                        </w:r>
                      </w:p>
                    </w:tc>
                    <w:tc>
                      <w:tcPr>
                        <w:tcW w:w="90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组织机构</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代码</w:t>
                        </w:r>
                      </w:p>
                    </w:tc>
                    <w:tc>
                      <w:tcPr>
                        <w:tcW w:w="85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少数股东</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权益</w:t>
                        </w:r>
                      </w:p>
                    </w:tc>
                    <w:tc>
                      <w:tcPr>
                        <w:tcW w:w="228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少数股东权益中用于冲减少</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数股东损益的金额</w:t>
                        </w:r>
                      </w:p>
                    </w:tc>
                    <w:tc>
                      <w:tcPr>
                        <w:tcW w:w="200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82"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4"/>
                          <w:jc w:val="left"/>
                          <w:rPr>
                            <w:rFonts w:ascii="宋体" w:hAnsi="宋体" w:cs="宋体" w:eastAsia="宋体" w:hint="default"/>
                            <w:sz w:val="18"/>
                            <w:szCs w:val="18"/>
                          </w:rPr>
                        </w:pPr>
                        <w:r>
                          <w:rPr>
                            <w:rFonts w:ascii="宋体" w:hAnsi="宋体" w:cs="宋体" w:eastAsia="宋体" w:hint="default"/>
                            <w:spacing w:val="3"/>
                            <w:sz w:val="18"/>
                            <w:szCs w:val="18"/>
                          </w:rPr>
                          <w:t>厦门市美亚柏科信息安</w:t>
                        </w:r>
                        <w:r>
                          <w:rPr>
                            <w:rFonts w:ascii="宋体" w:hAnsi="宋体" w:cs="宋体" w:eastAsia="宋体" w:hint="default"/>
                            <w:sz w:val="18"/>
                            <w:szCs w:val="18"/>
                          </w:rPr>
                        </w:r>
                      </w:p>
                      <w:p>
                        <w:pPr>
                          <w:pStyle w:val="TableParagraph"/>
                          <w:spacing w:line="235" w:lineRule="exact"/>
                          <w:ind w:right="0"/>
                          <w:jc w:val="left"/>
                          <w:rPr>
                            <w:rFonts w:ascii="宋体" w:hAnsi="宋体" w:cs="宋体" w:eastAsia="宋体" w:hint="default"/>
                            <w:sz w:val="18"/>
                            <w:szCs w:val="18"/>
                          </w:rPr>
                        </w:pPr>
                        <w:r>
                          <w:rPr>
                            <w:rFonts w:ascii="宋体" w:hAnsi="宋体" w:cs="宋体" w:eastAsia="宋体" w:hint="default"/>
                            <w:sz w:val="18"/>
                            <w:szCs w:val="18"/>
                          </w:rPr>
                          <w:t>全研究所有限公司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47"/>
                          <w:jc w:val="right"/>
                          <w:rPr>
                            <w:rFonts w:ascii="Arial Narrow" w:hAnsi="Arial Narrow" w:cs="Arial Narrow" w:eastAsia="Arial Narrow" w:hint="default"/>
                            <w:sz w:val="18"/>
                            <w:szCs w:val="18"/>
                          </w:rPr>
                        </w:pPr>
                        <w:r>
                          <w:rPr>
                            <w:rFonts w:ascii="Arial Narrow"/>
                            <w:spacing w:val="-1"/>
                            <w:sz w:val="18"/>
                          </w:rPr>
                          <w:t>76929158-0</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1"/>
                          <w:jc w:val="right"/>
                          <w:rPr>
                            <w:rFonts w:ascii="Arial Narrow" w:hAnsi="Arial Narrow" w:cs="Arial Narrow" w:eastAsia="Arial Narrow" w:hint="default"/>
                            <w:sz w:val="18"/>
                            <w:szCs w:val="18"/>
                          </w:rPr>
                        </w:pPr>
                        <w:r>
                          <w:rPr>
                            <w:rFonts w:ascii="Arial Narrow"/>
                            <w:sz w:val="18"/>
                          </w:rPr>
                          <w:t>-</w:t>
                        </w:r>
                      </w:p>
                    </w:tc>
                    <w:tc>
                      <w:tcPr>
                        <w:tcW w:w="228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0"/>
                          <w:jc w:val="right"/>
                          <w:rPr>
                            <w:rFonts w:ascii="Arial Narrow" w:hAnsi="Arial Narrow" w:cs="Arial Narrow" w:eastAsia="Arial Narrow" w:hint="default"/>
                            <w:sz w:val="18"/>
                            <w:szCs w:val="18"/>
                          </w:rPr>
                        </w:pPr>
                        <w:r>
                          <w:rPr>
                            <w:rFonts w:ascii="Arial Narrow"/>
                            <w:sz w:val="18"/>
                          </w:rPr>
                          <w:t>-</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1"/>
                          <w:jc w:val="right"/>
                          <w:rPr>
                            <w:rFonts w:ascii="Arial Narrow" w:hAnsi="Arial Narrow" w:cs="Arial Narrow" w:eastAsia="Arial Narrow" w:hint="default"/>
                            <w:sz w:val="18"/>
                            <w:szCs w:val="18"/>
                          </w:rPr>
                        </w:pPr>
                        <w:r>
                          <w:rPr>
                            <w:rFonts w:ascii="Arial Narrow"/>
                            <w:sz w:val="18"/>
                          </w:rPr>
                          <w:t>-</w:t>
                        </w:r>
                      </w:p>
                    </w:tc>
                  </w:tr>
                  <w:tr>
                    <w:trPr>
                      <w:trHeight w:val="354" w:hRule="exact"/>
                    </w:trPr>
                    <w:tc>
                      <w:tcPr>
                        <w:tcW w:w="18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 w:right="30"/>
                          <w:jc w:val="center"/>
                          <w:rPr>
                            <w:rFonts w:ascii="宋体" w:hAnsi="宋体" w:cs="宋体" w:eastAsia="宋体" w:hint="default"/>
                            <w:sz w:val="18"/>
                            <w:szCs w:val="18"/>
                          </w:rPr>
                        </w:pPr>
                        <w:r>
                          <w:rPr>
                            <w:rFonts w:ascii="宋体" w:hAnsi="宋体" w:cs="宋体" w:eastAsia="宋体" w:hint="default"/>
                            <w:sz w:val="18"/>
                            <w:szCs w:val="18"/>
                          </w:rPr>
                          <w:t>杭州创聚科技有限公司</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7"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47"/>
                          <w:jc w:val="right"/>
                          <w:rPr>
                            <w:rFonts w:ascii="Arial Narrow" w:hAnsi="Arial Narrow" w:cs="Arial Narrow" w:eastAsia="Arial Narrow" w:hint="default"/>
                            <w:sz w:val="18"/>
                            <w:szCs w:val="18"/>
                          </w:rPr>
                        </w:pPr>
                        <w:r>
                          <w:rPr>
                            <w:rFonts w:ascii="Arial Narrow"/>
                            <w:spacing w:val="-1"/>
                            <w:sz w:val="18"/>
                          </w:rPr>
                          <w:t>67397208-2</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
                          <w:jc w:val="right"/>
                          <w:rPr>
                            <w:rFonts w:ascii="Arial Narrow" w:hAnsi="Arial Narrow" w:cs="Arial Narrow" w:eastAsia="Arial Narrow" w:hint="default"/>
                            <w:sz w:val="18"/>
                            <w:szCs w:val="18"/>
                          </w:rPr>
                        </w:pPr>
                        <w:r>
                          <w:rPr>
                            <w:rFonts w:ascii="Arial Narrow"/>
                            <w:sz w:val="18"/>
                          </w:rPr>
                          <w:t>-</w:t>
                        </w:r>
                      </w:p>
                    </w:tc>
                    <w:tc>
                      <w:tcPr>
                        <w:tcW w:w="228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0"/>
                          <w:jc w:val="right"/>
                          <w:rPr>
                            <w:rFonts w:ascii="Arial Narrow" w:hAnsi="Arial Narrow" w:cs="Arial Narrow" w:eastAsia="Arial Narrow" w:hint="default"/>
                            <w:sz w:val="18"/>
                            <w:szCs w:val="18"/>
                          </w:rPr>
                        </w:pPr>
                        <w:r>
                          <w:rPr>
                            <w:rFonts w:ascii="Arial Narrow"/>
                            <w:sz w:val="18"/>
                          </w:rPr>
                          <w:t>-</w:t>
                        </w:r>
                      </w:p>
                    </w:tc>
                    <w:tc>
                      <w:tcPr>
                        <w:tcW w:w="2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
                          <w:jc w:val="right"/>
                          <w:rPr>
                            <w:rFonts w:ascii="Arial Narrow" w:hAnsi="Arial Narrow" w:cs="Arial Narrow" w:eastAsia="Arial Narrow" w:hint="default"/>
                            <w:sz w:val="18"/>
                            <w:szCs w:val="18"/>
                          </w:rPr>
                        </w:pPr>
                        <w:r>
                          <w:rPr>
                            <w:rFonts w:ascii="Arial Narrow"/>
                            <w:sz w:val="18"/>
                          </w:rPr>
                          <w:t>-</w:t>
                        </w:r>
                      </w:p>
                    </w:tc>
                  </w:tr>
                </w:tbl>
                <w:p>
                  <w:pPr/>
                </w:p>
              </w:txbxContent>
            </v:textbox>
            <w10:wrap type="none"/>
          </v:shape>
        </w:pic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line="466" w:lineRule="exact"/>
        <w:ind w:left="382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1.85pt;height:23.35pt;mso-position-horizontal-relative:char;mso-position-vertical-relative:line" coordorigin="0,0" coordsize="837,467">
            <v:group style="position:absolute;left:0;top:0;width:837;height:467" coordorigin="0,0" coordsize="837,467">
              <v:shape style="position:absolute;left:0;top:0;width:837;height:467" coordorigin="0,0" coordsize="837,467" path="m836,0l0,0,835,1,835,467,836,0xe" filled="true" fillcolor="#c0c0c0" stroked="false">
                <v:path arrowok="t"/>
                <v:fill type="solid"/>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before="35"/>
        <w:ind w:left="640" w:right="193" w:firstLine="0"/>
        <w:jc w:val="left"/>
        <w:rPr>
          <w:rFonts w:ascii="宋体" w:hAnsi="宋体" w:cs="宋体" w:eastAsia="宋体" w:hint="default"/>
          <w:sz w:val="21"/>
          <w:szCs w:val="21"/>
        </w:rPr>
      </w:pPr>
      <w:r>
        <w:rPr>
          <w:rFonts w:ascii="宋体" w:hAnsi="宋体" w:cs="宋体" w:eastAsia="宋体" w:hint="default"/>
          <w:b/>
          <w:bCs/>
          <w:sz w:val="21"/>
          <w:szCs w:val="21"/>
        </w:rPr>
        <w:t>（二）本报告期内合并报表范围无变化。</w:t>
      </w:r>
      <w:r>
        <w:rPr>
          <w:rFonts w:ascii="宋体" w:hAnsi="宋体" w:cs="宋体" w:eastAsia="宋体" w:hint="default"/>
          <w:sz w:val="21"/>
          <w:szCs w:val="21"/>
        </w:rPr>
      </w:r>
    </w:p>
    <w:p>
      <w:pPr>
        <w:spacing w:line="240" w:lineRule="auto" w:before="2"/>
        <w:rPr>
          <w:rFonts w:ascii="宋体" w:hAnsi="宋体" w:cs="宋体" w:eastAsia="宋体" w:hint="default"/>
          <w:b/>
          <w:bCs/>
          <w:sz w:val="28"/>
          <w:szCs w:val="28"/>
        </w:rPr>
      </w:pPr>
    </w:p>
    <w:p>
      <w:pPr>
        <w:pStyle w:val="BodyText"/>
        <w:spacing w:line="240" w:lineRule="auto"/>
        <w:ind w:left="930" w:right="193"/>
        <w:jc w:val="left"/>
        <w:rPr>
          <w:rFonts w:ascii="黑体" w:hAnsi="黑体" w:cs="黑体" w:eastAsia="黑体" w:hint="default"/>
        </w:rPr>
      </w:pPr>
      <w:r>
        <w:rPr>
          <w:rFonts w:ascii="黑体" w:hAnsi="黑体" w:cs="黑体" w:eastAsia="黑体" w:hint="default"/>
        </w:rPr>
        <w:t>五、合并财务报表项目注释</w:t>
      </w:r>
    </w:p>
    <w:p>
      <w:pPr>
        <w:spacing w:line="240" w:lineRule="auto" w:before="3"/>
        <w:rPr>
          <w:rFonts w:ascii="黑体" w:hAnsi="黑体" w:cs="黑体" w:eastAsia="黑体" w:hint="default"/>
          <w:sz w:val="21"/>
          <w:szCs w:val="21"/>
        </w:rPr>
      </w:pPr>
    </w:p>
    <w:p>
      <w:pPr>
        <w:tabs>
          <w:tab w:pos="1479" w:val="left" w:leader="none"/>
        </w:tabs>
        <w:spacing w:before="0"/>
        <w:ind w:left="640" w:right="193"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6"/>
        <w:rPr>
          <w:rFonts w:ascii="宋体" w:hAnsi="宋体" w:cs="宋体" w:eastAsia="宋体" w:hint="default"/>
          <w:b/>
          <w:bCs/>
          <w:sz w:val="19"/>
          <w:szCs w:val="19"/>
        </w:rPr>
      </w:pPr>
    </w:p>
    <w:p>
      <w:pPr>
        <w:spacing w:before="0"/>
        <w:ind w:left="645"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货币资金按类别列示如下：</w:t>
      </w:r>
    </w:p>
    <w:p>
      <w:pPr>
        <w:spacing w:line="240" w:lineRule="auto" w:before="13"/>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3083"/>
        <w:gridCol w:w="2881"/>
        <w:gridCol w:w="2880"/>
      </w:tblGrid>
      <w:tr>
        <w:trPr>
          <w:trHeight w:val="300" w:hRule="exact"/>
        </w:trPr>
        <w:tc>
          <w:tcPr>
            <w:tcW w:w="308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525" w:val="left" w:leader="none"/>
              </w:tabs>
              <w:spacing w:line="243" w:lineRule="exact"/>
              <w:ind w:right="1164"/>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88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left="802"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28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left="802"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37" w:hRule="exact"/>
        </w:trPr>
        <w:tc>
          <w:tcPr>
            <w:tcW w:w="3083" w:type="dxa"/>
            <w:tcBorders>
              <w:top w:val="single" w:sz="8" w:space="0" w:color="C0C0C0"/>
              <w:left w:val="single" w:sz="6" w:space="0" w:color="000000"/>
              <w:bottom w:val="single" w:sz="6" w:space="0" w:color="000000"/>
              <w:right w:val="single" w:sz="6" w:space="0" w:color="000000"/>
            </w:tcBorders>
          </w:tcPr>
          <w:p>
            <w:pPr>
              <w:pStyle w:val="TableParagraph"/>
              <w:spacing w:line="267"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2881"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41"/>
              <w:ind w:right="99"/>
              <w:jc w:val="right"/>
              <w:rPr>
                <w:rFonts w:ascii="Arial Narrow" w:hAnsi="Arial Narrow" w:cs="Arial Narrow" w:eastAsia="Arial Narrow" w:hint="default"/>
                <w:sz w:val="21"/>
                <w:szCs w:val="21"/>
              </w:rPr>
            </w:pPr>
            <w:r>
              <w:rPr>
                <w:rFonts w:ascii="Arial Narrow"/>
                <w:spacing w:val="-1"/>
                <w:sz w:val="21"/>
              </w:rPr>
              <w:t>22,387.55</w:t>
            </w:r>
          </w:p>
        </w:tc>
        <w:tc>
          <w:tcPr>
            <w:tcW w:w="2880"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41"/>
              <w:ind w:right="99"/>
              <w:jc w:val="right"/>
              <w:rPr>
                <w:rFonts w:ascii="Arial Narrow" w:hAnsi="Arial Narrow" w:cs="Arial Narrow" w:eastAsia="Arial Narrow" w:hint="default"/>
                <w:sz w:val="21"/>
                <w:szCs w:val="21"/>
              </w:rPr>
            </w:pPr>
            <w:r>
              <w:rPr>
                <w:rFonts w:ascii="Arial Narrow"/>
                <w:spacing w:val="-1"/>
                <w:sz w:val="21"/>
              </w:rPr>
              <w:t>20,613.00</w:t>
            </w:r>
          </w:p>
        </w:tc>
      </w:tr>
      <w:tr>
        <w:trPr>
          <w:trHeight w:val="328"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2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550,908,826.88</w:t>
            </w:r>
          </w:p>
        </w:tc>
        <w:tc>
          <w:tcPr>
            <w:tcW w:w="2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99,595,287.63</w:t>
            </w:r>
          </w:p>
        </w:tc>
      </w:tr>
      <w:tr>
        <w:trPr>
          <w:trHeight w:val="326"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2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349,400.00</w:t>
            </w:r>
          </w:p>
        </w:tc>
        <w:tc>
          <w:tcPr>
            <w:tcW w:w="2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91,090.01</w:t>
            </w:r>
          </w:p>
        </w:tc>
      </w:tr>
      <w:tr>
        <w:trPr>
          <w:trHeight w:val="326"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tabs>
                <w:tab w:pos="525" w:val="left" w:leader="none"/>
              </w:tabs>
              <w:spacing w:line="260" w:lineRule="exact"/>
              <w:ind w:right="116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551,280,614.43</w:t>
            </w:r>
          </w:p>
        </w:tc>
        <w:tc>
          <w:tcPr>
            <w:tcW w:w="2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99,706,990.64</w:t>
            </w:r>
          </w:p>
        </w:tc>
      </w:tr>
    </w:tbl>
    <w:p>
      <w:pPr>
        <w:spacing w:before="87"/>
        <w:ind w:left="640" w:right="193" w:firstLine="0"/>
        <w:jc w:val="left"/>
        <w:rPr>
          <w:rFonts w:ascii="宋体" w:hAnsi="宋体" w:cs="宋体" w:eastAsia="宋体" w:hint="default"/>
          <w:sz w:val="21"/>
          <w:szCs w:val="21"/>
        </w:rPr>
      </w:pPr>
      <w:r>
        <w:rPr>
          <w:rFonts w:ascii="宋体" w:hAnsi="宋体" w:cs="宋体" w:eastAsia="宋体" w:hint="default"/>
          <w:sz w:val="21"/>
          <w:szCs w:val="21"/>
        </w:rPr>
        <w:t>其中：外币列示如下：</w:t>
      </w:r>
    </w:p>
    <w:p>
      <w:pPr>
        <w:spacing w:line="240" w:lineRule="auto" w:before="3"/>
        <w:rPr>
          <w:rFonts w:ascii="宋体" w:hAnsi="宋体" w:cs="宋体" w:eastAsia="宋体"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1800"/>
        <w:gridCol w:w="1080"/>
        <w:gridCol w:w="1080"/>
        <w:gridCol w:w="1440"/>
        <w:gridCol w:w="1016"/>
        <w:gridCol w:w="972"/>
        <w:gridCol w:w="1456"/>
      </w:tblGrid>
      <w:tr>
        <w:trPr>
          <w:trHeight w:val="338" w:hRule="exact"/>
        </w:trPr>
        <w:tc>
          <w:tcPr>
            <w:tcW w:w="1800" w:type="dxa"/>
            <w:vMerge w:val="restart"/>
            <w:tcBorders>
              <w:top w:val="single" w:sz="6" w:space="0" w:color="000000"/>
              <w:left w:val="single" w:sz="6" w:space="0" w:color="000000"/>
              <w:right w:val="single" w:sz="6" w:space="0" w:color="000000"/>
            </w:tcBorders>
            <w:shd w:val="clear" w:color="auto" w:fill="C0C0C0"/>
          </w:tcPr>
          <w:p>
            <w:pPr>
              <w:pStyle w:val="TableParagraph"/>
              <w:tabs>
                <w:tab w:pos="1049" w:val="left" w:leader="none"/>
              </w:tabs>
              <w:spacing w:line="240" w:lineRule="auto" w:before="151"/>
              <w:ind w:left="52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600"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162"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444"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084"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38" w:hRule="exact"/>
        </w:trPr>
        <w:tc>
          <w:tcPr>
            <w:tcW w:w="1800" w:type="dxa"/>
            <w:vMerge/>
            <w:tcBorders>
              <w:left w:val="single" w:sz="6" w:space="0" w:color="000000"/>
              <w:bottom w:val="single" w:sz="6" w:space="0" w:color="000000"/>
              <w:right w:val="single" w:sz="6" w:space="0" w:color="000000"/>
            </w:tcBorders>
            <w:shd w:val="clear" w:color="auto" w:fill="C0C0C0"/>
          </w:tcPr>
          <w:p>
            <w:pPr/>
          </w:p>
        </w:tc>
        <w:tc>
          <w:tcPr>
            <w:tcW w:w="10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22"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10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22"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14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502"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10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90"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97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68" w:right="0"/>
              <w:jc w:val="left"/>
              <w:rPr>
                <w:rFonts w:ascii="宋体" w:hAnsi="宋体" w:cs="宋体" w:eastAsia="宋体" w:hint="default"/>
                <w:sz w:val="21"/>
                <w:szCs w:val="21"/>
              </w:rPr>
            </w:pPr>
            <w:r>
              <w:rPr>
                <w:rFonts w:ascii="宋体" w:hAnsi="宋体" w:cs="宋体" w:eastAsia="宋体" w:hint="default"/>
                <w:sz w:val="21"/>
                <w:szCs w:val="21"/>
              </w:rPr>
              <w:t>汇率</w:t>
            </w:r>
          </w:p>
        </w:tc>
        <w:tc>
          <w:tcPr>
            <w:tcW w:w="145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95" w:right="0"/>
              <w:jc w:val="left"/>
              <w:rPr>
                <w:rFonts w:ascii="宋体" w:hAnsi="宋体" w:cs="宋体" w:eastAsia="宋体" w:hint="default"/>
                <w:sz w:val="21"/>
                <w:szCs w:val="21"/>
              </w:rPr>
            </w:pPr>
            <w:r>
              <w:rPr>
                <w:rFonts w:ascii="宋体" w:hAnsi="宋体" w:cs="宋体" w:eastAsia="宋体" w:hint="default"/>
                <w:sz w:val="21"/>
                <w:szCs w:val="21"/>
              </w:rPr>
              <w:t>折合人民币</w:t>
            </w:r>
          </w:p>
        </w:tc>
      </w:tr>
      <w:tr>
        <w:trPr>
          <w:trHeight w:val="371" w:hRule="exact"/>
        </w:trPr>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
              <w:ind w:left="100" w:right="0"/>
              <w:jc w:val="left"/>
              <w:rPr>
                <w:rFonts w:ascii="宋体" w:hAnsi="宋体" w:cs="宋体" w:eastAsia="宋体" w:hint="default"/>
                <w:sz w:val="21"/>
                <w:szCs w:val="21"/>
              </w:rPr>
            </w:pPr>
            <w:r>
              <w:rPr>
                <w:rFonts w:ascii="宋体" w:hAnsi="宋体" w:cs="宋体" w:eastAsia="宋体" w:hint="default"/>
                <w:sz w:val="21"/>
                <w:szCs w:val="21"/>
              </w:rPr>
              <w:t>银行存款</w:t>
            </w:r>
            <w:r>
              <w:rPr>
                <w:rFonts w:ascii="Arial Narrow" w:hAnsi="Arial Narrow" w:cs="Arial Narrow" w:eastAsia="Arial Narrow" w:hint="default"/>
                <w:sz w:val="21"/>
                <w:szCs w:val="21"/>
              </w:rPr>
              <w:t>—</w:t>
            </w:r>
            <w:r>
              <w:rPr>
                <w:rFonts w:ascii="宋体" w:hAnsi="宋体" w:cs="宋体" w:eastAsia="宋体" w:hint="default"/>
                <w:sz w:val="21"/>
                <w:szCs w:val="21"/>
              </w:rPr>
              <w:t>美元</w:t>
            </w:r>
          </w:p>
        </w:tc>
        <w:tc>
          <w:tcPr>
            <w:tcW w:w="1080"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197" w:right="0"/>
              <w:jc w:val="left"/>
              <w:rPr>
                <w:rFonts w:ascii="Arial Narrow" w:hAnsi="Arial Narrow" w:cs="Arial Narrow" w:eastAsia="Arial Narrow" w:hint="default"/>
                <w:sz w:val="21"/>
                <w:szCs w:val="21"/>
              </w:rPr>
            </w:pPr>
            <w:r>
              <w:rPr>
                <w:rFonts w:ascii="Arial Narrow"/>
                <w:sz w:val="21"/>
              </w:rPr>
              <w:t>13,532.43</w:t>
            </w:r>
          </w:p>
        </w:tc>
        <w:tc>
          <w:tcPr>
            <w:tcW w:w="1080"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436" w:right="0"/>
              <w:jc w:val="left"/>
              <w:rPr>
                <w:rFonts w:ascii="Arial Narrow" w:hAnsi="Arial Narrow" w:cs="Arial Narrow" w:eastAsia="Arial Narrow" w:hint="default"/>
                <w:sz w:val="21"/>
                <w:szCs w:val="21"/>
              </w:rPr>
            </w:pPr>
            <w:r>
              <w:rPr>
                <w:rFonts w:ascii="Arial Narrow"/>
                <w:sz w:val="21"/>
              </w:rPr>
              <w:t>6.3009</w:t>
            </w:r>
          </w:p>
        </w:tc>
        <w:tc>
          <w:tcPr>
            <w:tcW w:w="1440"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557" w:right="0"/>
              <w:jc w:val="left"/>
              <w:rPr>
                <w:rFonts w:ascii="Arial Narrow" w:hAnsi="Arial Narrow" w:cs="Arial Narrow" w:eastAsia="Arial Narrow" w:hint="default"/>
                <w:sz w:val="21"/>
                <w:szCs w:val="21"/>
              </w:rPr>
            </w:pPr>
            <w:r>
              <w:rPr>
                <w:rFonts w:ascii="Arial Narrow"/>
                <w:sz w:val="21"/>
              </w:rPr>
              <w:t>85,266.49</w:t>
            </w:r>
          </w:p>
        </w:tc>
        <w:tc>
          <w:tcPr>
            <w:tcW w:w="1016"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229" w:right="0"/>
              <w:jc w:val="left"/>
              <w:rPr>
                <w:rFonts w:ascii="Arial Narrow" w:hAnsi="Arial Narrow" w:cs="Arial Narrow" w:eastAsia="Arial Narrow" w:hint="default"/>
                <w:sz w:val="21"/>
                <w:szCs w:val="21"/>
              </w:rPr>
            </w:pPr>
            <w:r>
              <w:rPr>
                <w:rFonts w:ascii="Arial Narrow"/>
                <w:sz w:val="21"/>
              </w:rPr>
              <w:t>5,580.22</w:t>
            </w:r>
          </w:p>
        </w:tc>
        <w:tc>
          <w:tcPr>
            <w:tcW w:w="972"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328" w:right="0"/>
              <w:jc w:val="left"/>
              <w:rPr>
                <w:rFonts w:ascii="Arial Narrow" w:hAnsi="Arial Narrow" w:cs="Arial Narrow" w:eastAsia="Arial Narrow" w:hint="default"/>
                <w:sz w:val="21"/>
                <w:szCs w:val="21"/>
              </w:rPr>
            </w:pPr>
            <w:r>
              <w:rPr>
                <w:rFonts w:ascii="Arial Narrow"/>
                <w:sz w:val="21"/>
              </w:rPr>
              <w:t>6.6227</w:t>
            </w:r>
          </w:p>
        </w:tc>
        <w:tc>
          <w:tcPr>
            <w:tcW w:w="1456"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left="573" w:right="0"/>
              <w:jc w:val="left"/>
              <w:rPr>
                <w:rFonts w:ascii="Arial Narrow" w:hAnsi="Arial Narrow" w:cs="Arial Narrow" w:eastAsia="Arial Narrow" w:hint="default"/>
                <w:sz w:val="21"/>
                <w:szCs w:val="21"/>
              </w:rPr>
            </w:pPr>
            <w:r>
              <w:rPr>
                <w:rFonts w:ascii="Arial Narrow"/>
                <w:sz w:val="21"/>
              </w:rPr>
              <w:t>36,956.12</w:t>
            </w:r>
          </w:p>
        </w:tc>
      </w:tr>
    </w:tbl>
    <w:p>
      <w:pPr>
        <w:spacing w:line="338" w:lineRule="auto" w:before="87"/>
        <w:ind w:left="219" w:right="298" w:firstLine="425"/>
        <w:jc w:val="both"/>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银行存款年末余额</w:t>
      </w:r>
      <w:r>
        <w:rPr>
          <w:rFonts w:ascii="宋体" w:hAnsi="宋体" w:cs="宋体" w:eastAsia="宋体" w:hint="default"/>
          <w:spacing w:val="-54"/>
          <w:sz w:val="21"/>
          <w:szCs w:val="21"/>
        </w:rPr>
        <w:t> </w:t>
      </w:r>
      <w:r>
        <w:rPr>
          <w:rFonts w:ascii="Arial Narrow" w:hAnsi="Arial Narrow" w:cs="Arial Narrow" w:eastAsia="Arial Narrow" w:hint="default"/>
          <w:sz w:val="21"/>
          <w:szCs w:val="21"/>
        </w:rPr>
        <w:t>550,908,826.88</w:t>
      </w:r>
      <w:r>
        <w:rPr>
          <w:rFonts w:ascii="Arial Narrow" w:hAnsi="Arial Narrow" w:cs="Arial Narrow" w:eastAsia="Arial Narrow" w:hint="default"/>
          <w:spacing w:val="4"/>
          <w:sz w:val="21"/>
          <w:szCs w:val="21"/>
        </w:rPr>
        <w:t> </w:t>
      </w:r>
      <w:r>
        <w:rPr>
          <w:rFonts w:ascii="宋体" w:hAnsi="宋体" w:cs="宋体" w:eastAsia="宋体" w:hint="default"/>
          <w:spacing w:val="-3"/>
          <w:sz w:val="21"/>
          <w:szCs w:val="21"/>
        </w:rPr>
        <w:t>元，其中一年期定期存款</w:t>
      </w:r>
      <w:r>
        <w:rPr>
          <w:rFonts w:ascii="宋体" w:hAnsi="宋体" w:cs="宋体" w:eastAsia="宋体" w:hint="default"/>
          <w:spacing w:val="-54"/>
          <w:sz w:val="21"/>
          <w:szCs w:val="21"/>
        </w:rPr>
        <w:t> </w:t>
      </w:r>
      <w:r>
        <w:rPr>
          <w:rFonts w:ascii="Arial Narrow" w:hAnsi="Arial Narrow" w:cs="Arial Narrow" w:eastAsia="Arial Narrow" w:hint="default"/>
          <w:sz w:val="21"/>
          <w:szCs w:val="21"/>
        </w:rPr>
        <w:t>273,455,000.00</w:t>
      </w:r>
      <w:r>
        <w:rPr>
          <w:rFonts w:ascii="Arial Narrow" w:hAnsi="Arial Narrow" w:cs="Arial Narrow" w:eastAsia="Arial Narrow" w:hint="default"/>
          <w:spacing w:val="3"/>
          <w:sz w:val="21"/>
          <w:szCs w:val="21"/>
        </w:rPr>
        <w:t> </w:t>
      </w:r>
      <w:r>
        <w:rPr>
          <w:rFonts w:ascii="宋体" w:hAnsi="宋体" w:cs="宋体" w:eastAsia="宋体" w:hint="default"/>
          <w:spacing w:val="-5"/>
          <w:sz w:val="21"/>
          <w:szCs w:val="21"/>
        </w:rPr>
        <w:t>元，在编制现</w:t>
      </w:r>
      <w:r>
        <w:rPr>
          <w:rFonts w:ascii="宋体" w:hAnsi="宋体" w:cs="宋体" w:eastAsia="宋体" w:hint="default"/>
          <w:sz w:val="21"/>
          <w:szCs w:val="21"/>
        </w:rPr>
        <w:t> 金流量表时不作为现金及现金等价物。</w:t>
      </w:r>
    </w:p>
    <w:p>
      <w:pPr>
        <w:spacing w:line="338" w:lineRule="auto" w:before="48"/>
        <w:ind w:left="219" w:right="298" w:firstLine="425"/>
        <w:jc w:val="both"/>
        <w:rPr>
          <w:rFonts w:ascii="宋体" w:hAnsi="宋体" w:cs="宋体" w:eastAsia="宋体" w:hint="default"/>
          <w:sz w:val="21"/>
          <w:szCs w:val="21"/>
        </w:rPr>
      </w:pPr>
      <w:r>
        <w:rPr>
          <w:rFonts w:ascii="Arial Narrow" w:hAnsi="Arial Narrow" w:cs="Arial Narrow" w:eastAsia="Arial Narrow" w:hint="default"/>
          <w:w w:val="99"/>
          <w:sz w:val="21"/>
          <w:szCs w:val="21"/>
        </w:rPr>
        <w:t>3</w:t>
      </w:r>
      <w:r>
        <w:rPr>
          <w:rFonts w:ascii="宋体" w:hAnsi="宋体" w:cs="宋体" w:eastAsia="宋体" w:hint="default"/>
          <w:w w:val="99"/>
          <w:sz w:val="21"/>
          <w:szCs w:val="21"/>
        </w:rPr>
        <w:t>、 </w:t>
      </w:r>
      <w:r>
        <w:rPr>
          <w:rFonts w:ascii="宋体" w:hAnsi="宋体" w:cs="宋体" w:eastAsia="宋体" w:hint="default"/>
          <w:sz w:val="21"/>
          <w:szCs w:val="21"/>
        </w:rPr>
        <w:t>其他货币资金年末余额 </w:t>
      </w:r>
      <w:r>
        <w:rPr>
          <w:rFonts w:ascii="Arial Narrow" w:hAnsi="Arial Narrow" w:cs="Arial Narrow" w:eastAsia="Arial Narrow" w:hint="default"/>
          <w:spacing w:val="-1"/>
          <w:w w:val="99"/>
          <w:sz w:val="21"/>
          <w:szCs w:val="21"/>
        </w:rPr>
        <w:t>349,400.00</w:t>
      </w:r>
      <w:r>
        <w:rPr>
          <w:rFonts w:ascii="Arial Narrow" w:hAnsi="Arial Narrow" w:cs="Arial Narrow" w:eastAsia="Arial Narrow" w:hint="default"/>
          <w:spacing w:val="-22"/>
          <w:w w:val="99"/>
          <w:sz w:val="21"/>
          <w:szCs w:val="21"/>
        </w:rPr>
        <w:t> </w:t>
      </w:r>
      <w:r>
        <w:rPr>
          <w:rFonts w:ascii="宋体" w:hAnsi="宋体" w:cs="宋体" w:eastAsia="宋体" w:hint="default"/>
          <w:spacing w:val="-5"/>
          <w:sz w:val="21"/>
          <w:szCs w:val="21"/>
        </w:rPr>
        <w:t>元系保函保证金，在编制现金流量表时不作为现金及</w:t>
      </w:r>
      <w:r>
        <w:rPr>
          <w:rFonts w:ascii="宋体" w:hAnsi="宋体" w:cs="宋体" w:eastAsia="宋体" w:hint="default"/>
          <w:sz w:val="21"/>
          <w:szCs w:val="21"/>
        </w:rPr>
        <w:t> 现金等价物。除此以外，截至</w:t>
      </w:r>
      <w:r>
        <w:rPr>
          <w:rFonts w:ascii="宋体" w:hAnsi="宋体" w:cs="宋体" w:eastAsia="宋体" w:hint="default"/>
          <w:spacing w:val="-52"/>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7"/>
          <w:sz w:val="21"/>
          <w:szCs w:val="21"/>
        </w:rPr>
        <w:t> </w:t>
      </w:r>
      <w:r>
        <w:rPr>
          <w:rFonts w:ascii="宋体" w:hAnsi="宋体" w:cs="宋体" w:eastAsia="宋体" w:hint="default"/>
          <w:sz w:val="21"/>
          <w:szCs w:val="21"/>
        </w:rPr>
        <w:t>日止，本公司不存在其他抵押、冻结，或有潜在 收回风险的款项。</w:t>
      </w:r>
    </w:p>
    <w:p>
      <w:pPr>
        <w:spacing w:before="47"/>
        <w:ind w:left="644" w:right="193" w:firstLine="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w:t>
      </w:r>
      <w:r>
        <w:rPr>
          <w:rFonts w:ascii="宋体" w:hAnsi="宋体" w:cs="宋体" w:eastAsia="宋体" w:hint="default"/>
          <w:spacing w:val="33"/>
          <w:sz w:val="21"/>
          <w:szCs w:val="21"/>
        </w:rPr>
        <w:t> </w:t>
      </w:r>
      <w:r>
        <w:rPr>
          <w:rFonts w:ascii="宋体" w:hAnsi="宋体" w:cs="宋体" w:eastAsia="宋体" w:hint="default"/>
          <w:spacing w:val="2"/>
          <w:sz w:val="21"/>
          <w:szCs w:val="21"/>
        </w:rPr>
        <w:t>年末货币资金余额较年初大幅增加，主要系本年度向社会公开发行人民币普通股（</w:t>
      </w:r>
      <w:r>
        <w:rPr>
          <w:rFonts w:ascii="Arial Narrow" w:hAnsi="Arial Narrow" w:cs="Arial Narrow" w:eastAsia="Arial Narrow" w:hint="default"/>
          <w:spacing w:val="2"/>
          <w:sz w:val="21"/>
          <w:szCs w:val="21"/>
        </w:rPr>
        <w:t>A</w:t>
      </w:r>
    </w:p>
    <w:p>
      <w:pPr>
        <w:spacing w:after="0"/>
        <w:jc w:val="left"/>
        <w:rPr>
          <w:rFonts w:ascii="Arial Narrow" w:hAnsi="Arial Narrow" w:cs="Arial Narrow" w:eastAsia="Arial Narrow" w:hint="default"/>
          <w:sz w:val="21"/>
          <w:szCs w:val="21"/>
        </w:rPr>
        <w:sectPr>
          <w:pgSz w:w="12240" w:h="15840"/>
          <w:pgMar w:header="0" w:footer="708" w:top="1360" w:bottom="900" w:left="1580" w:right="1500"/>
        </w:sectPr>
      </w:pPr>
    </w:p>
    <w:p>
      <w:pPr>
        <w:spacing w:before="6"/>
        <w:ind w:left="202" w:right="6425" w:firstLine="0"/>
        <w:jc w:val="center"/>
        <w:rPr>
          <w:rFonts w:ascii="宋体" w:hAnsi="宋体" w:cs="宋体" w:eastAsia="宋体" w:hint="default"/>
          <w:sz w:val="21"/>
          <w:szCs w:val="21"/>
        </w:rPr>
      </w:pPr>
      <w:r>
        <w:rPr>
          <w:rFonts w:ascii="宋体" w:hAnsi="宋体" w:cs="宋体" w:eastAsia="宋体" w:hint="default"/>
          <w:sz w:val="21"/>
          <w:szCs w:val="21"/>
        </w:rPr>
        <w:t>股</w:t>
      </w:r>
      <w:r>
        <w:rPr>
          <w:rFonts w:ascii="宋体" w:hAnsi="宋体" w:cs="宋体" w:eastAsia="宋体" w:hint="default"/>
          <w:spacing w:val="-105"/>
          <w:sz w:val="21"/>
          <w:szCs w:val="21"/>
        </w:rPr>
        <w:t>）</w:t>
      </w:r>
      <w:r>
        <w:rPr>
          <w:rFonts w:ascii="宋体" w:hAnsi="宋体" w:cs="宋体" w:eastAsia="宋体" w:hint="default"/>
          <w:sz w:val="21"/>
          <w:szCs w:val="21"/>
        </w:rPr>
        <w:t>，募集</w:t>
      </w:r>
      <w:r>
        <w:rPr>
          <w:rFonts w:ascii="宋体" w:hAnsi="宋体" w:cs="宋体" w:eastAsia="宋体" w:hint="default"/>
          <w:spacing w:val="-2"/>
          <w:sz w:val="21"/>
          <w:szCs w:val="21"/>
        </w:rPr>
        <w:t>资</w:t>
      </w:r>
      <w:r>
        <w:rPr>
          <w:rFonts w:ascii="宋体" w:hAnsi="宋体" w:cs="宋体" w:eastAsia="宋体" w:hint="default"/>
          <w:sz w:val="21"/>
          <w:szCs w:val="21"/>
        </w:rPr>
        <w:t>金增加所致。</w:t>
      </w:r>
    </w:p>
    <w:p>
      <w:pPr>
        <w:spacing w:line="240" w:lineRule="auto" w:before="10"/>
        <w:rPr>
          <w:rFonts w:ascii="宋体" w:hAnsi="宋体" w:cs="宋体" w:eastAsia="宋体" w:hint="default"/>
          <w:sz w:val="14"/>
          <w:szCs w:val="14"/>
        </w:rPr>
      </w:pPr>
    </w:p>
    <w:p>
      <w:pPr>
        <w:tabs>
          <w:tab w:pos="1479" w:val="left" w:leader="none"/>
        </w:tabs>
        <w:spacing w:before="0"/>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57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应收账款按类别列示如下：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3170"/>
        <w:gridCol w:w="1318"/>
        <w:gridCol w:w="896"/>
        <w:gridCol w:w="1226"/>
        <w:gridCol w:w="916"/>
        <w:gridCol w:w="1318"/>
      </w:tblGrid>
      <w:tr>
        <w:trPr>
          <w:trHeight w:val="328" w:hRule="exact"/>
        </w:trPr>
        <w:tc>
          <w:tcPr>
            <w:tcW w:w="317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tabs>
                <w:tab w:pos="421" w:val="left" w:leader="none"/>
              </w:tabs>
              <w:spacing w:line="240" w:lineRule="auto" w:before="159"/>
              <w:ind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5674"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26" w:hRule="exact"/>
        </w:trPr>
        <w:tc>
          <w:tcPr>
            <w:tcW w:w="3170" w:type="dxa"/>
            <w:vMerge/>
            <w:tcBorders>
              <w:left w:val="single" w:sz="6" w:space="0" w:color="000000"/>
              <w:right w:val="single" w:sz="6" w:space="0" w:color="000000"/>
            </w:tcBorders>
            <w:shd w:val="clear" w:color="auto" w:fill="C0C0C0"/>
          </w:tcPr>
          <w:p>
            <w:pPr/>
          </w:p>
        </w:tc>
        <w:tc>
          <w:tcPr>
            <w:tcW w:w="221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142"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18"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60" w:hRule="exact"/>
        </w:trPr>
        <w:tc>
          <w:tcPr>
            <w:tcW w:w="3170" w:type="dxa"/>
            <w:vMerge/>
            <w:tcBorders>
              <w:left w:val="single" w:sz="6" w:space="0" w:color="000000"/>
              <w:bottom w:val="single" w:sz="6" w:space="0" w:color="000000"/>
              <w:right w:val="single" w:sz="6" w:space="0" w:color="000000"/>
            </w:tcBorders>
            <w:shd w:val="clear" w:color="auto" w:fill="C0C0C0"/>
          </w:tcPr>
          <w:p>
            <w:pP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2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计提比</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例</w:t>
            </w:r>
          </w:p>
        </w:tc>
        <w:tc>
          <w:tcPr>
            <w:tcW w:w="1318" w:type="dxa"/>
            <w:vMerge/>
            <w:tcBorders>
              <w:left w:val="single" w:sz="6" w:space="0" w:color="000000"/>
              <w:bottom w:val="single" w:sz="6" w:space="0" w:color="000000"/>
              <w:right w:val="single" w:sz="6" w:space="0" w:color="000000"/>
            </w:tcBorders>
            <w:shd w:val="clear" w:color="auto" w:fill="C0C0C0"/>
          </w:tcPr>
          <w:p>
            <w:pPr/>
          </w:p>
        </w:tc>
      </w:tr>
      <w:tr>
        <w:trPr>
          <w:trHeight w:val="63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单项金额重大并单项计提坏</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92,564,720.67</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2"/>
              <w:jc w:val="right"/>
              <w:rPr>
                <w:rFonts w:ascii="Arial Narrow" w:hAnsi="Arial Narrow" w:cs="Arial Narrow" w:eastAsia="Arial Narrow" w:hint="default"/>
                <w:sz w:val="21"/>
                <w:szCs w:val="21"/>
              </w:rPr>
            </w:pPr>
            <w:r>
              <w:rPr>
                <w:rFonts w:ascii="Arial Narrow"/>
                <w:spacing w:val="-1"/>
                <w:sz w:val="21"/>
              </w:rPr>
              <w:t>6,926,953.31</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7.48%</w:t>
            </w:r>
            <w:r>
              <w:rPr>
                <w:rFonts w:ascii="Arial Narrow"/>
                <w:sz w:val="21"/>
              </w:rPr>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85,637,767.36</w:t>
            </w:r>
          </w:p>
        </w:tc>
      </w:tr>
      <w:tr>
        <w:trPr>
          <w:trHeight w:val="376"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0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9"/>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92,564,720.67</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2"/>
              <w:jc w:val="right"/>
              <w:rPr>
                <w:rFonts w:ascii="Arial Narrow" w:hAnsi="Arial Narrow" w:cs="Arial Narrow" w:eastAsia="Arial Narrow" w:hint="default"/>
                <w:sz w:val="21"/>
                <w:szCs w:val="21"/>
              </w:rPr>
            </w:pPr>
            <w:r>
              <w:rPr>
                <w:rFonts w:ascii="Arial Narrow"/>
                <w:spacing w:val="-1"/>
                <w:sz w:val="21"/>
              </w:rPr>
              <w:t>6,926,953.31</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7.48%</w:t>
            </w:r>
            <w:r>
              <w:rPr>
                <w:rFonts w:ascii="Arial Narrow"/>
                <w:sz w:val="21"/>
              </w:rPr>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85,637,767.36</w:t>
            </w:r>
          </w:p>
        </w:tc>
      </w:tr>
      <w:tr>
        <w:trPr>
          <w:trHeight w:val="559"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10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0"/>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92,564,720.67</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2"/>
              <w:jc w:val="right"/>
              <w:rPr>
                <w:rFonts w:ascii="Arial Narrow" w:hAnsi="Arial Narrow" w:cs="Arial Narrow" w:eastAsia="Arial Narrow" w:hint="default"/>
                <w:sz w:val="21"/>
                <w:szCs w:val="21"/>
              </w:rPr>
            </w:pPr>
            <w:r>
              <w:rPr>
                <w:rFonts w:ascii="Arial Narrow"/>
                <w:spacing w:val="-1"/>
                <w:sz w:val="21"/>
              </w:rPr>
              <w:t>6,926,953.31</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7.48%</w:t>
            </w:r>
            <w:r>
              <w:rPr>
                <w:rFonts w:ascii="Arial Narrow"/>
                <w:sz w:val="21"/>
              </w:rPr>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85,637,767.36</w:t>
            </w:r>
          </w:p>
        </w:tc>
      </w:tr>
      <w:tr>
        <w:trPr>
          <w:trHeight w:val="328" w:hRule="exact"/>
        </w:trPr>
        <w:tc>
          <w:tcPr>
            <w:tcW w:w="3170"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30"/>
                <w:szCs w:val="30"/>
              </w:rPr>
            </w:pPr>
          </w:p>
          <w:p>
            <w:pPr>
              <w:pStyle w:val="TableParagraph"/>
              <w:tabs>
                <w:tab w:pos="479" w:val="left" w:leader="none"/>
              </w:tabs>
              <w:spacing w:line="240" w:lineRule="auto"/>
              <w:ind w:right="0"/>
              <w:jc w:val="center"/>
              <w:rPr>
                <w:rFonts w:ascii="宋体" w:hAnsi="宋体" w:cs="宋体" w:eastAsia="宋体" w:hint="default"/>
                <w:sz w:val="24"/>
                <w:szCs w:val="24"/>
              </w:rPr>
            </w:pPr>
            <w:r>
              <w:rPr>
                <w:rFonts w:ascii="宋体" w:hAnsi="宋体" w:cs="宋体" w:eastAsia="宋体" w:hint="default"/>
                <w:sz w:val="24"/>
                <w:szCs w:val="24"/>
              </w:rPr>
              <w:t>类</w:t>
              <w:tab/>
              <w:t>别</w:t>
            </w:r>
          </w:p>
        </w:tc>
        <w:tc>
          <w:tcPr>
            <w:tcW w:w="5674" w:type="dxa"/>
            <w:gridSpan w:val="5"/>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26" w:hRule="exact"/>
        </w:trPr>
        <w:tc>
          <w:tcPr>
            <w:tcW w:w="3170" w:type="dxa"/>
            <w:vMerge/>
            <w:tcBorders>
              <w:left w:val="single" w:sz="6" w:space="0" w:color="000000"/>
              <w:right w:val="single" w:sz="6" w:space="0" w:color="000000"/>
            </w:tcBorders>
          </w:tcPr>
          <w:p>
            <w:pPr/>
          </w:p>
        </w:tc>
        <w:tc>
          <w:tcPr>
            <w:tcW w:w="2214" w:type="dxa"/>
            <w:gridSpan w:val="2"/>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142" w:type="dxa"/>
            <w:gridSpan w:val="2"/>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6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18" w:type="dxa"/>
            <w:vMerge w:val="restart"/>
            <w:tcBorders>
              <w:top w:val="single" w:sz="6" w:space="0" w:color="000000"/>
              <w:left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60" w:hRule="exact"/>
        </w:trPr>
        <w:tc>
          <w:tcPr>
            <w:tcW w:w="3170" w:type="dxa"/>
            <w:vMerge/>
            <w:tcBorders>
              <w:left w:val="single" w:sz="6" w:space="0" w:color="000000"/>
              <w:bottom w:val="single" w:sz="6" w:space="0" w:color="000000"/>
              <w:right w:val="single" w:sz="6" w:space="0" w:color="000000"/>
            </w:tcBorders>
          </w:tcPr>
          <w:p>
            <w:pP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230"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88" w:lineRule="exact"/>
              <w:ind w:left="154" w:right="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5" w:right="0" w:firstLine="31"/>
              <w:jc w:val="left"/>
              <w:rPr>
                <w:rFonts w:ascii="宋体" w:hAnsi="宋体" w:cs="宋体" w:eastAsia="宋体" w:hint="default"/>
                <w:sz w:val="21"/>
                <w:szCs w:val="21"/>
              </w:rPr>
            </w:pPr>
            <w:r>
              <w:rPr>
                <w:rFonts w:ascii="宋体" w:hAnsi="宋体" w:cs="宋体" w:eastAsia="宋体" w:hint="default"/>
                <w:sz w:val="21"/>
                <w:szCs w:val="21"/>
              </w:rPr>
              <w:t>计提比</w:t>
            </w:r>
          </w:p>
          <w:p>
            <w:pPr>
              <w:pStyle w:val="TableParagraph"/>
              <w:spacing w:line="288" w:lineRule="exact"/>
              <w:ind w:left="105" w:right="0"/>
              <w:jc w:val="left"/>
              <w:rPr>
                <w:rFonts w:ascii="宋体" w:hAnsi="宋体" w:cs="宋体" w:eastAsia="宋体" w:hint="default"/>
                <w:sz w:val="21"/>
                <w:szCs w:val="21"/>
              </w:rPr>
            </w:pPr>
            <w:r>
              <w:rPr>
                <w:rFonts w:ascii="宋体" w:hAnsi="宋体" w:cs="宋体" w:eastAsia="宋体" w:hint="default"/>
                <w:sz w:val="21"/>
                <w:szCs w:val="21"/>
              </w:rPr>
              <w:t>例（</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1318" w:type="dxa"/>
            <w:vMerge/>
            <w:tcBorders>
              <w:left w:val="single" w:sz="6" w:space="0" w:color="000000"/>
              <w:bottom w:val="single" w:sz="6" w:space="0" w:color="000000"/>
              <w:right w:val="single" w:sz="6" w:space="0" w:color="000000"/>
            </w:tcBorders>
          </w:tcPr>
          <w:p>
            <w:pPr/>
          </w:p>
        </w:tc>
      </w:tr>
      <w:tr>
        <w:trPr>
          <w:trHeight w:val="63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单项金额重大并单项计提坏</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0"/>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45,957,675.66</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2"/>
              <w:jc w:val="right"/>
              <w:rPr>
                <w:rFonts w:ascii="Arial Narrow" w:hAnsi="Arial Narrow" w:cs="Arial Narrow" w:eastAsia="Arial Narrow" w:hint="default"/>
                <w:sz w:val="21"/>
                <w:szCs w:val="21"/>
              </w:rPr>
            </w:pPr>
            <w:r>
              <w:rPr>
                <w:rFonts w:ascii="Arial Narrow"/>
                <w:spacing w:val="-1"/>
                <w:sz w:val="21"/>
              </w:rPr>
              <w:t>4,233,202.25</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8" w:right="0"/>
              <w:jc w:val="left"/>
              <w:rPr>
                <w:rFonts w:ascii="Arial Narrow" w:hAnsi="Arial Narrow" w:cs="Arial Narrow" w:eastAsia="Arial Narrow" w:hint="default"/>
                <w:sz w:val="21"/>
                <w:szCs w:val="21"/>
              </w:rPr>
            </w:pPr>
            <w:r>
              <w:rPr>
                <w:rFonts w:ascii="Arial Narrow"/>
                <w:sz w:val="21"/>
              </w:rPr>
              <w:t>9.21%</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41,724,473.41</w:t>
            </w:r>
          </w:p>
        </w:tc>
      </w:tr>
      <w:tr>
        <w:trPr>
          <w:trHeight w:val="326"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45,957,675.66</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2"/>
              <w:jc w:val="right"/>
              <w:rPr>
                <w:rFonts w:ascii="Arial Narrow" w:hAnsi="Arial Narrow" w:cs="Arial Narrow" w:eastAsia="Arial Narrow" w:hint="default"/>
                <w:sz w:val="21"/>
                <w:szCs w:val="21"/>
              </w:rPr>
            </w:pPr>
            <w:r>
              <w:rPr>
                <w:rFonts w:ascii="Arial Narrow"/>
                <w:spacing w:val="-1"/>
                <w:sz w:val="21"/>
              </w:rPr>
              <w:t>4,233,202.25</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8" w:right="0"/>
              <w:jc w:val="left"/>
              <w:rPr>
                <w:rFonts w:ascii="Arial Narrow" w:hAnsi="Arial Narrow" w:cs="Arial Narrow" w:eastAsia="Arial Narrow" w:hint="default"/>
                <w:sz w:val="21"/>
                <w:szCs w:val="21"/>
              </w:rPr>
            </w:pPr>
            <w:r>
              <w:rPr>
                <w:rFonts w:ascii="Arial Narrow"/>
                <w:sz w:val="21"/>
              </w:rPr>
              <w:t>9.21%</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41,724,473.41</w:t>
            </w:r>
          </w:p>
        </w:tc>
      </w:tr>
      <w:tr>
        <w:trPr>
          <w:trHeight w:val="559"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账准备的应收账款</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3"/>
              <w:jc w:val="right"/>
              <w:rPr>
                <w:rFonts w:ascii="Arial Narrow" w:hAnsi="Arial Narrow" w:cs="Arial Narrow" w:eastAsia="Arial Narrow" w:hint="default"/>
                <w:sz w:val="21"/>
                <w:szCs w:val="21"/>
              </w:rPr>
            </w:pPr>
            <w:r>
              <w:rPr>
                <w:rFonts w:ascii="Arial Narrow"/>
                <w:sz w:val="21"/>
              </w:rPr>
              <w:t>-</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317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45,957,675.66</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20" w:right="0"/>
              <w:jc w:val="left"/>
              <w:rPr>
                <w:rFonts w:ascii="Arial Narrow" w:hAnsi="Arial Narrow" w:cs="Arial Narrow" w:eastAsia="Arial Narrow" w:hint="default"/>
                <w:sz w:val="21"/>
                <w:szCs w:val="21"/>
              </w:rPr>
            </w:pPr>
            <w:r>
              <w:rPr>
                <w:rFonts w:ascii="Arial Narrow"/>
                <w:sz w:val="21"/>
              </w:rPr>
              <w:t>100%</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2"/>
              <w:jc w:val="right"/>
              <w:rPr>
                <w:rFonts w:ascii="Arial Narrow" w:hAnsi="Arial Narrow" w:cs="Arial Narrow" w:eastAsia="Arial Narrow" w:hint="default"/>
                <w:sz w:val="21"/>
                <w:szCs w:val="21"/>
              </w:rPr>
            </w:pPr>
            <w:r>
              <w:rPr>
                <w:rFonts w:ascii="Arial Narrow"/>
                <w:spacing w:val="-1"/>
                <w:sz w:val="21"/>
              </w:rPr>
              <w:t>4,233,202.25</w:t>
            </w:r>
          </w:p>
        </w:tc>
        <w:tc>
          <w:tcPr>
            <w:tcW w:w="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8" w:right="0"/>
              <w:jc w:val="left"/>
              <w:rPr>
                <w:rFonts w:ascii="Arial Narrow" w:hAnsi="Arial Narrow" w:cs="Arial Narrow" w:eastAsia="Arial Narrow" w:hint="default"/>
                <w:sz w:val="21"/>
                <w:szCs w:val="21"/>
              </w:rPr>
            </w:pPr>
            <w:r>
              <w:rPr>
                <w:rFonts w:ascii="Arial Narrow"/>
                <w:sz w:val="21"/>
              </w:rPr>
              <w:t>9.21%</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41,724,473.41</w:t>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组合中，按账龄分析法计提坏账准备的应收账款列示如下：</w:t>
      </w:r>
    </w:p>
    <w:p>
      <w:pPr>
        <w:spacing w:line="240" w:lineRule="auto" w:before="9"/>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969"/>
        <w:gridCol w:w="1907"/>
        <w:gridCol w:w="1318"/>
        <w:gridCol w:w="1744"/>
        <w:gridCol w:w="1907"/>
      </w:tblGrid>
      <w:tr>
        <w:trPr>
          <w:trHeight w:val="317"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31"/>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00"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9" w:space="0" w:color="C0C0C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78,256,102.48</w:t>
            </w:r>
          </w:p>
        </w:tc>
        <w:tc>
          <w:tcPr>
            <w:tcW w:w="1318" w:type="dxa"/>
            <w:tcBorders>
              <w:top w:val="single" w:sz="9" w:space="0" w:color="C0C0C0"/>
              <w:left w:val="single" w:sz="6" w:space="0" w:color="000000"/>
              <w:bottom w:val="single" w:sz="6" w:space="0" w:color="000000"/>
              <w:right w:val="single" w:sz="6" w:space="0" w:color="000000"/>
            </w:tcBorders>
          </w:tcPr>
          <w:p>
            <w:pPr>
              <w:pStyle w:val="TableParagraph"/>
              <w:spacing w:line="240" w:lineRule="auto" w:before="57"/>
              <w:ind w:right="96"/>
              <w:jc w:val="right"/>
              <w:rPr>
                <w:rFonts w:ascii="Arial Narrow" w:hAnsi="Arial Narrow" w:cs="Arial Narrow" w:eastAsia="Arial Narrow" w:hint="default"/>
                <w:sz w:val="21"/>
                <w:szCs w:val="21"/>
              </w:rPr>
            </w:pPr>
            <w:r>
              <w:rPr>
                <w:rFonts w:ascii="Arial Narrow"/>
                <w:w w:val="95"/>
                <w:sz w:val="21"/>
              </w:rPr>
              <w:t>84.54%</w:t>
            </w:r>
            <w:r>
              <w:rPr>
                <w:rFonts w:ascii="Arial Narrow"/>
                <w:sz w:val="21"/>
              </w:rPr>
            </w:r>
          </w:p>
        </w:tc>
        <w:tc>
          <w:tcPr>
            <w:tcW w:w="1744" w:type="dxa"/>
            <w:tcBorders>
              <w:top w:val="single" w:sz="9" w:space="0" w:color="C0C0C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3,912,805.12</w:t>
            </w:r>
          </w:p>
        </w:tc>
        <w:tc>
          <w:tcPr>
            <w:tcW w:w="1907" w:type="dxa"/>
            <w:tcBorders>
              <w:top w:val="single" w:sz="9" w:space="0" w:color="C0C0C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74,343,297.36</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12,157,464.78</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13.14%</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1,215,746.48</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10,941,718.30</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705,503.41</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0.76%</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352,751.71</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352,751.70</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1,445,650.00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1.56%</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1,445,650.00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r>
      <w:tr>
        <w:trPr>
          <w:trHeight w:val="34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92,564,720.67</w:t>
            </w:r>
          </w:p>
        </w:tc>
        <w:tc>
          <w:tcPr>
            <w:tcW w:w="1318"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6,926,953.31</w:t>
            </w:r>
          </w:p>
        </w:tc>
        <w:tc>
          <w:tcPr>
            <w:tcW w:w="1907"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85,637,767.36</w:t>
            </w:r>
          </w:p>
        </w:tc>
      </w:tr>
      <w:tr>
        <w:trPr>
          <w:trHeight w:val="309"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22"/>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2" w:lineRule="exact"/>
              <w:ind w:right="1"/>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00"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3"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2"/>
                <w:sz w:val="21"/>
              </w:rPr>
              <w:t>38,053,116.26</w:t>
            </w:r>
          </w:p>
        </w:tc>
        <w:tc>
          <w:tcPr>
            <w:tcW w:w="1318"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7"/>
              <w:ind w:right="96"/>
              <w:jc w:val="right"/>
              <w:rPr>
                <w:rFonts w:ascii="Arial Narrow" w:hAnsi="Arial Narrow" w:cs="Arial Narrow" w:eastAsia="Arial Narrow" w:hint="default"/>
                <w:sz w:val="21"/>
                <w:szCs w:val="21"/>
              </w:rPr>
            </w:pPr>
            <w:r>
              <w:rPr>
                <w:rFonts w:ascii="Arial Narrow"/>
                <w:w w:val="95"/>
                <w:sz w:val="21"/>
              </w:rPr>
              <w:t>82.80%</w:t>
            </w:r>
            <w:r>
              <w:rPr>
                <w:rFonts w:ascii="Arial Narrow"/>
                <w:sz w:val="21"/>
              </w:rPr>
            </w:r>
          </w:p>
        </w:tc>
        <w:tc>
          <w:tcPr>
            <w:tcW w:w="1744"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7"/>
              <w:ind w:right="98"/>
              <w:jc w:val="right"/>
              <w:rPr>
                <w:rFonts w:ascii="Arial Narrow" w:hAnsi="Arial Narrow" w:cs="Arial Narrow" w:eastAsia="Arial Narrow" w:hint="default"/>
                <w:sz w:val="21"/>
                <w:szCs w:val="21"/>
              </w:rPr>
            </w:pPr>
            <w:r>
              <w:rPr>
                <w:rFonts w:ascii="Arial Narrow"/>
                <w:spacing w:val="-1"/>
                <w:sz w:val="21"/>
              </w:rPr>
              <w:t>1,902,655.81</w:t>
            </w:r>
          </w:p>
        </w:tc>
        <w:tc>
          <w:tcPr>
            <w:tcW w:w="1907"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36,150,460.45</w:t>
            </w:r>
          </w:p>
        </w:tc>
      </w:tr>
    </w:tbl>
    <w:p>
      <w:pPr>
        <w:spacing w:after="0" w:line="240" w:lineRule="auto"/>
        <w:jc w:val="right"/>
        <w:rPr>
          <w:rFonts w:ascii="Arial Narrow" w:hAnsi="Arial Narrow" w:cs="Arial Narrow" w:eastAsia="Arial Narrow" w:hint="default"/>
          <w:sz w:val="21"/>
          <w:szCs w:val="21"/>
        </w:rPr>
        <w:sectPr>
          <w:pgSz w:w="12240" w:h="15840"/>
          <w:pgMar w:header="0" w:footer="708" w:top="1400" w:bottom="900" w:left="1580" w:right="158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1969"/>
        <w:gridCol w:w="1907"/>
        <w:gridCol w:w="1318"/>
        <w:gridCol w:w="1744"/>
        <w:gridCol w:w="1907"/>
      </w:tblGrid>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5,229,314.40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spacing w:val="-3"/>
                <w:sz w:val="21"/>
              </w:rPr>
              <w:t>11.38%</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522,931.44</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4,706,382.96</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1,735,260.00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3.78%</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867,630.00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867,630.00</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939,985.00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2.05%</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939,985.00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45,957,675.66</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4,233,202.25</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41,724,473.41</w:t>
            </w:r>
          </w:p>
        </w:tc>
      </w:tr>
    </w:tbl>
    <w:p>
      <w:pPr>
        <w:spacing w:line="338" w:lineRule="auto" w:before="87"/>
        <w:ind w:left="644" w:right="1876" w:firstLine="1"/>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本报告期内实际核销的应收账款情况</w:t>
      </w:r>
      <w:r>
        <w:rPr>
          <w:rFonts w:ascii="宋体" w:hAnsi="宋体" w:cs="宋体" w:eastAsia="宋体" w:hint="default"/>
          <w:sz w:val="21"/>
          <w:szCs w:val="21"/>
        </w:rPr>
        <w:t> 本年实际核销无法收回的应收江苏泰州公安局等款项共计</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20,000.00</w:t>
      </w:r>
      <w:r>
        <w:rPr>
          <w:rFonts w:ascii="Arial Narrow" w:hAnsi="Arial Narrow" w:cs="Arial Narrow" w:eastAsia="Arial Narrow" w:hint="default"/>
          <w:spacing w:val="4"/>
          <w:sz w:val="21"/>
          <w:szCs w:val="21"/>
        </w:rPr>
        <w:t> </w:t>
      </w:r>
      <w:r>
        <w:rPr>
          <w:rFonts w:ascii="宋体" w:hAnsi="宋体" w:cs="宋体" w:eastAsia="宋体" w:hint="default"/>
          <w:sz w:val="21"/>
          <w:szCs w:val="21"/>
        </w:rPr>
        <w:t>元。 </w:t>
      </w: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应收账款余额前五名的客户列示：</w:t>
      </w:r>
    </w:p>
    <w:p>
      <w:pPr>
        <w:spacing w:line="240" w:lineRule="auto" w:before="4"/>
        <w:rPr>
          <w:rFonts w:ascii="宋体" w:hAnsi="宋体" w:cs="宋体" w:eastAsia="宋体" w:hint="default"/>
          <w:sz w:val="4"/>
          <w:szCs w:val="4"/>
        </w:rPr>
      </w:pPr>
    </w:p>
    <w:tbl>
      <w:tblPr>
        <w:tblW w:w="0" w:type="auto"/>
        <w:jc w:val="left"/>
        <w:tblInd w:w="110" w:type="dxa"/>
        <w:tblLayout w:type="fixed"/>
        <w:tblCellMar>
          <w:top w:w="0" w:type="dxa"/>
          <w:left w:w="0" w:type="dxa"/>
          <w:bottom w:w="0" w:type="dxa"/>
          <w:right w:w="0" w:type="dxa"/>
        </w:tblCellMar>
        <w:tblLook w:val="01E0"/>
      </w:tblPr>
      <w:tblGrid>
        <w:gridCol w:w="2520"/>
        <w:gridCol w:w="1736"/>
        <w:gridCol w:w="1315"/>
        <w:gridCol w:w="1655"/>
        <w:gridCol w:w="1618"/>
      </w:tblGrid>
      <w:tr>
        <w:trPr>
          <w:trHeight w:val="326" w:hRule="exact"/>
        </w:trPr>
        <w:tc>
          <w:tcPr>
            <w:tcW w:w="2520" w:type="dxa"/>
            <w:vMerge w:val="restart"/>
            <w:tcBorders>
              <w:top w:val="single" w:sz="6" w:space="0" w:color="000000"/>
              <w:left w:val="single" w:sz="6" w:space="0" w:color="000000"/>
              <w:right w:val="single" w:sz="6" w:space="0" w:color="000000"/>
            </w:tcBorders>
            <w:shd w:val="clear" w:color="auto" w:fill="C0C0C0"/>
          </w:tcPr>
          <w:p>
            <w:pPr>
              <w:pStyle w:val="TableParagraph"/>
              <w:tabs>
                <w:tab w:pos="421" w:val="left" w:leader="none"/>
              </w:tabs>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单</w:t>
              <w:tab/>
              <w:t>位</w:t>
            </w:r>
          </w:p>
        </w:tc>
        <w:tc>
          <w:tcPr>
            <w:tcW w:w="4706"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c>
          <w:tcPr>
            <w:tcW w:w="1618"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33"/>
              <w:ind w:left="199" w:right="65" w:hanging="134"/>
              <w:jc w:val="left"/>
              <w:rPr>
                <w:rFonts w:ascii="宋体" w:hAnsi="宋体" w:cs="宋体" w:eastAsia="宋体" w:hint="default"/>
                <w:sz w:val="21"/>
                <w:szCs w:val="21"/>
              </w:rPr>
            </w:pPr>
            <w:r>
              <w:rPr>
                <w:rFonts w:ascii="宋体" w:hAnsi="宋体" w:cs="宋体" w:eastAsia="宋体" w:hint="default"/>
                <w:sz w:val="21"/>
                <w:szCs w:val="21"/>
              </w:rPr>
              <w:t>占应收账款总额 的比例（</w:t>
            </w:r>
            <w:r>
              <w:rPr>
                <w:rFonts w:ascii="Arial Narrow" w:hAnsi="Arial Narrow" w:cs="Arial Narrow" w:eastAsia="Arial Narrow" w:hint="default"/>
                <w:sz w:val="21"/>
                <w:szCs w:val="21"/>
              </w:rPr>
              <w:t>%</w:t>
            </w:r>
            <w:r>
              <w:rPr>
                <w:rFonts w:ascii="宋体" w:hAnsi="宋体" w:cs="宋体" w:eastAsia="宋体" w:hint="default"/>
                <w:sz w:val="21"/>
                <w:szCs w:val="21"/>
              </w:rPr>
              <w:t>）</w:t>
            </w:r>
          </w:p>
        </w:tc>
      </w:tr>
      <w:tr>
        <w:trPr>
          <w:trHeight w:val="327" w:hRule="exact"/>
        </w:trPr>
        <w:tc>
          <w:tcPr>
            <w:tcW w:w="2520" w:type="dxa"/>
            <w:vMerge/>
            <w:tcBorders>
              <w:left w:val="single" w:sz="6" w:space="0" w:color="000000"/>
              <w:bottom w:val="single" w:sz="6" w:space="0" w:color="000000"/>
              <w:right w:val="single" w:sz="6" w:space="0" w:color="000000"/>
            </w:tcBorders>
            <w:shd w:val="clear" w:color="auto" w:fill="C0C0C0"/>
          </w:tcPr>
          <w:p>
            <w:pPr/>
          </w:p>
        </w:tc>
        <w:tc>
          <w:tcPr>
            <w:tcW w:w="173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31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230"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165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年限</w:t>
            </w:r>
          </w:p>
        </w:tc>
        <w:tc>
          <w:tcPr>
            <w:tcW w:w="1618" w:type="dxa"/>
            <w:vMerge/>
            <w:tcBorders>
              <w:left w:val="single" w:sz="6" w:space="0" w:color="000000"/>
              <w:bottom w:val="single" w:sz="6" w:space="0" w:color="000000"/>
              <w:right w:val="single" w:sz="6" w:space="0" w:color="000000"/>
            </w:tcBorders>
            <w:shd w:val="clear" w:color="auto" w:fill="C0C0C0"/>
          </w:tcPr>
          <w:p>
            <w:pPr/>
          </w:p>
        </w:tc>
      </w:tr>
      <w:tr>
        <w:trPr>
          <w:trHeight w:val="327"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新疆生产建设兵团公安局</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46"/>
              <w:jc w:val="right"/>
              <w:rPr>
                <w:rFonts w:ascii="Arial Narrow" w:hAnsi="Arial Narrow" w:cs="Arial Narrow" w:eastAsia="Arial Narrow" w:hint="default"/>
                <w:sz w:val="21"/>
                <w:szCs w:val="21"/>
              </w:rPr>
            </w:pPr>
            <w:r>
              <w:rPr>
                <w:rFonts w:ascii="Arial Narrow"/>
                <w:spacing w:val="-1"/>
                <w:sz w:val="21"/>
              </w:rPr>
              <w:t>4,130,000.00</w:t>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 </w:t>
            </w:r>
            <w:r>
              <w:rPr>
                <w:rFonts w:ascii="宋体" w:hAnsi="宋体" w:cs="宋体" w:eastAsia="宋体" w:hint="default"/>
                <w:sz w:val="21"/>
                <w:szCs w:val="21"/>
              </w:rPr>
              <w:t>年以内及</w:t>
            </w:r>
            <w:r>
              <w:rPr>
                <w:rFonts w:ascii="宋体" w:hAnsi="宋体" w:cs="宋体" w:eastAsia="宋体" w:hint="default"/>
                <w:spacing w:val="-57"/>
                <w:sz w:val="21"/>
                <w:szCs w:val="21"/>
              </w:rPr>
              <w:t> </w:t>
            </w:r>
            <w:r>
              <w:rPr>
                <w:rFonts w:ascii="Arial Narrow" w:hAnsi="Arial Narrow" w:cs="Arial Narrow" w:eastAsia="Arial Narrow" w:hint="default"/>
                <w:sz w:val="21"/>
                <w:szCs w:val="21"/>
              </w:rPr>
              <w:t>1-2 </w:t>
            </w:r>
            <w:r>
              <w:rPr>
                <w:rFonts w:ascii="宋体" w:hAnsi="宋体" w:cs="宋体" w:eastAsia="宋体" w:hint="default"/>
                <w:sz w:val="21"/>
                <w:szCs w:val="21"/>
              </w:rPr>
              <w:t>年</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46"/>
              <w:jc w:val="right"/>
              <w:rPr>
                <w:rFonts w:ascii="Arial Narrow" w:hAnsi="Arial Narrow" w:cs="Arial Narrow" w:eastAsia="Arial Narrow" w:hint="default"/>
                <w:sz w:val="21"/>
                <w:szCs w:val="21"/>
              </w:rPr>
            </w:pPr>
            <w:r>
              <w:rPr>
                <w:rFonts w:ascii="Arial Narrow"/>
                <w:w w:val="95"/>
                <w:sz w:val="21"/>
              </w:rPr>
              <w:t>4.46%</w:t>
            </w:r>
            <w:r>
              <w:rPr>
                <w:rFonts w:ascii="Arial Narrow"/>
                <w:sz w:val="21"/>
              </w:rPr>
            </w:r>
          </w:p>
        </w:tc>
      </w:tr>
      <w:tr>
        <w:trPr>
          <w:trHeight w:val="328"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公安部第三研究所</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3,614,100.00</w:t>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46"/>
              <w:jc w:val="right"/>
              <w:rPr>
                <w:rFonts w:ascii="Arial Narrow" w:hAnsi="Arial Narrow" w:cs="Arial Narrow" w:eastAsia="Arial Narrow" w:hint="default"/>
                <w:sz w:val="21"/>
                <w:szCs w:val="21"/>
              </w:rPr>
            </w:pPr>
            <w:r>
              <w:rPr>
                <w:rFonts w:ascii="Arial Narrow"/>
                <w:w w:val="95"/>
                <w:sz w:val="21"/>
              </w:rPr>
              <w:t>3.90%</w:t>
            </w:r>
            <w:r>
              <w:rPr>
                <w:rFonts w:ascii="Arial Narrow"/>
                <w:sz w:val="21"/>
              </w:rPr>
            </w:r>
          </w:p>
        </w:tc>
      </w:tr>
      <w:tr>
        <w:trPr>
          <w:trHeight w:val="32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吉林省公安厅</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3,320,521.20</w:t>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46"/>
              <w:jc w:val="right"/>
              <w:rPr>
                <w:rFonts w:ascii="Arial Narrow" w:hAnsi="Arial Narrow" w:cs="Arial Narrow" w:eastAsia="Arial Narrow" w:hint="default"/>
                <w:sz w:val="21"/>
                <w:szCs w:val="21"/>
              </w:rPr>
            </w:pPr>
            <w:r>
              <w:rPr>
                <w:rFonts w:ascii="Arial Narrow"/>
                <w:w w:val="95"/>
                <w:sz w:val="21"/>
              </w:rPr>
              <w:t>3.59%</w:t>
            </w:r>
            <w:r>
              <w:rPr>
                <w:rFonts w:ascii="Arial Narrow"/>
                <w:sz w:val="21"/>
              </w:rPr>
            </w:r>
          </w:p>
        </w:tc>
      </w:tr>
      <w:tr>
        <w:trPr>
          <w:trHeight w:val="328"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49" w:right="0"/>
              <w:jc w:val="left"/>
              <w:rPr>
                <w:rFonts w:ascii="宋体" w:hAnsi="宋体" w:cs="宋体" w:eastAsia="宋体" w:hint="default"/>
                <w:sz w:val="20"/>
                <w:szCs w:val="20"/>
              </w:rPr>
            </w:pPr>
            <w:r>
              <w:rPr>
                <w:rFonts w:ascii="宋体" w:hAnsi="宋体" w:cs="宋体" w:eastAsia="宋体" w:hint="default"/>
                <w:sz w:val="20"/>
                <w:szCs w:val="20"/>
              </w:rPr>
              <w:t>天津市滨海新区公安局</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2,485,897.45</w:t>
            </w:r>
            <w:r>
              <w:rPr>
                <w:rFonts w:ascii="Times New Roman"/>
                <w:sz w:val="20"/>
              </w:rPr>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8"/>
              <w:jc w:val="right"/>
              <w:rPr>
                <w:rFonts w:ascii="Times New Roman" w:hAnsi="Times New Roman" w:cs="Times New Roman" w:eastAsia="Times New Roman" w:hint="default"/>
                <w:sz w:val="20"/>
                <w:szCs w:val="20"/>
              </w:rPr>
            </w:pPr>
            <w:r>
              <w:rPr>
                <w:rFonts w:ascii="Times New Roman"/>
                <w:spacing w:val="-1"/>
                <w:sz w:val="20"/>
              </w:rPr>
              <w:t>2.69%</w:t>
            </w:r>
          </w:p>
        </w:tc>
      </w:tr>
      <w:tr>
        <w:trPr>
          <w:trHeight w:val="32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49" w:right="0"/>
              <w:jc w:val="left"/>
              <w:rPr>
                <w:rFonts w:ascii="宋体" w:hAnsi="宋体" w:cs="宋体" w:eastAsia="宋体" w:hint="default"/>
                <w:sz w:val="20"/>
                <w:szCs w:val="20"/>
              </w:rPr>
            </w:pPr>
            <w:r>
              <w:rPr>
                <w:rFonts w:ascii="宋体" w:hAnsi="宋体" w:cs="宋体" w:eastAsia="宋体" w:hint="default"/>
                <w:sz w:val="20"/>
                <w:szCs w:val="20"/>
              </w:rPr>
              <w:t>贵州省工商行政管理局</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2,379,000.00</w:t>
            </w:r>
            <w:r>
              <w:rPr>
                <w:rFonts w:ascii="Times New Roman"/>
                <w:sz w:val="20"/>
              </w:rPr>
            </w:r>
          </w:p>
        </w:tc>
        <w:tc>
          <w:tcPr>
            <w:tcW w:w="1655"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8"/>
              <w:jc w:val="right"/>
              <w:rPr>
                <w:rFonts w:ascii="Times New Roman" w:hAnsi="Times New Roman" w:cs="Times New Roman" w:eastAsia="Times New Roman" w:hint="default"/>
                <w:sz w:val="20"/>
                <w:szCs w:val="20"/>
              </w:rPr>
            </w:pPr>
            <w:r>
              <w:rPr>
                <w:rFonts w:ascii="Times New Roman"/>
                <w:spacing w:val="-1"/>
                <w:sz w:val="20"/>
              </w:rPr>
              <w:t>2.57%</w:t>
            </w:r>
          </w:p>
        </w:tc>
      </w:tr>
      <w:tr>
        <w:trPr>
          <w:trHeight w:val="32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36" w:type="dxa"/>
            <w:tcBorders>
              <w:top w:val="single" w:sz="6" w:space="0" w:color="000000"/>
              <w:left w:val="single" w:sz="6" w:space="0" w:color="000000"/>
              <w:bottom w:val="single" w:sz="6" w:space="0" w:color="000000"/>
              <w:right w:val="single" w:sz="6" w:space="0" w:color="000000"/>
            </w:tcBorders>
          </w:tcPr>
          <w:p>
            <w:pPr/>
          </w:p>
        </w:tc>
        <w:tc>
          <w:tcPr>
            <w:tcW w:w="1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47"/>
              <w:jc w:val="right"/>
              <w:rPr>
                <w:rFonts w:ascii="Times New Roman" w:hAnsi="Times New Roman" w:cs="Times New Roman" w:eastAsia="Times New Roman" w:hint="default"/>
                <w:sz w:val="20"/>
                <w:szCs w:val="20"/>
              </w:rPr>
            </w:pPr>
            <w:r>
              <w:rPr>
                <w:rFonts w:ascii="Times New Roman"/>
                <w:b/>
                <w:spacing w:val="-1"/>
                <w:sz w:val="20"/>
              </w:rPr>
              <w:t>15,929,518.65</w:t>
            </w:r>
            <w:r>
              <w:rPr>
                <w:rFonts w:ascii="Times New Roman"/>
                <w:sz w:val="20"/>
              </w:rPr>
            </w:r>
          </w:p>
        </w:tc>
        <w:tc>
          <w:tcPr>
            <w:tcW w:w="1655" w:type="dxa"/>
            <w:tcBorders>
              <w:top w:val="single" w:sz="6" w:space="0" w:color="000000"/>
              <w:left w:val="single" w:sz="6" w:space="0" w:color="000000"/>
              <w:bottom w:val="single" w:sz="6" w:space="0" w:color="000000"/>
              <w:right w:val="single" w:sz="6" w:space="0" w:color="000000"/>
            </w:tcBorders>
          </w:tcPr>
          <w:p>
            <w:pP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1"/>
              <w:ind w:right="44"/>
              <w:jc w:val="right"/>
              <w:rPr>
                <w:rFonts w:ascii="Times New Roman" w:hAnsi="Times New Roman" w:cs="Times New Roman" w:eastAsia="Times New Roman" w:hint="default"/>
                <w:sz w:val="20"/>
                <w:szCs w:val="20"/>
              </w:rPr>
            </w:pPr>
            <w:r>
              <w:rPr>
                <w:rFonts w:ascii="Times New Roman"/>
                <w:b/>
                <w:spacing w:val="-1"/>
                <w:sz w:val="20"/>
              </w:rPr>
              <w:t>17.21%</w:t>
            </w:r>
            <w:r>
              <w:rPr>
                <w:rFonts w:ascii="Times New Roman"/>
                <w:spacing w:val="-1"/>
                <w:sz w:val="20"/>
              </w:rPr>
            </w:r>
          </w:p>
        </w:tc>
      </w:tr>
    </w:tbl>
    <w:p>
      <w:pPr>
        <w:spacing w:line="257" w:lineRule="exact" w:before="0"/>
        <w:ind w:left="646"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截至</w:t>
      </w:r>
      <w:r>
        <w:rPr>
          <w:rFonts w:ascii="宋体" w:hAnsi="宋体" w:cs="宋体" w:eastAsia="宋体" w:hint="default"/>
          <w:spacing w:val="-49"/>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9"/>
          <w:sz w:val="21"/>
          <w:szCs w:val="21"/>
        </w:rPr>
        <w:t> </w:t>
      </w:r>
      <w:r>
        <w:rPr>
          <w:rFonts w:ascii="宋体" w:hAnsi="宋体" w:cs="宋体" w:eastAsia="宋体" w:hint="default"/>
          <w:sz w:val="21"/>
          <w:szCs w:val="21"/>
        </w:rPr>
        <w:t>日止，应收账款余额中无持有本公司</w:t>
      </w:r>
      <w:r>
        <w:rPr>
          <w:rFonts w:ascii="宋体" w:hAnsi="宋体" w:cs="宋体" w:eastAsia="宋体" w:hint="default"/>
          <w:spacing w:val="-4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4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w:t>
      </w:r>
    </w:p>
    <w:p>
      <w:pPr>
        <w:spacing w:before="120"/>
        <w:ind w:left="220" w:right="180" w:firstLine="0"/>
        <w:jc w:val="left"/>
        <w:rPr>
          <w:rFonts w:ascii="宋体" w:hAnsi="宋体" w:cs="宋体" w:eastAsia="宋体" w:hint="default"/>
          <w:sz w:val="21"/>
          <w:szCs w:val="21"/>
        </w:rPr>
      </w:pPr>
      <w:r>
        <w:rPr>
          <w:rFonts w:ascii="宋体" w:hAnsi="宋体" w:cs="宋体" w:eastAsia="宋体" w:hint="default"/>
          <w:sz w:val="21"/>
          <w:szCs w:val="21"/>
        </w:rPr>
        <w:t>份的股东单位及关联方欠款。</w:t>
      </w:r>
    </w:p>
    <w:p>
      <w:pPr>
        <w:spacing w:line="338" w:lineRule="auto" w:before="133"/>
        <w:ind w:left="220" w:right="205" w:firstLine="426"/>
        <w:jc w:val="left"/>
        <w:rPr>
          <w:rFonts w:ascii="宋体" w:hAnsi="宋体" w:cs="宋体" w:eastAsia="宋体" w:hint="default"/>
          <w:sz w:val="21"/>
          <w:szCs w:val="21"/>
        </w:rPr>
      </w:pPr>
      <w:r>
        <w:rPr>
          <w:rFonts w:ascii="Arial Narrow" w:hAnsi="Arial Narrow" w:cs="Arial Narrow" w:eastAsia="Arial Narrow" w:hint="default"/>
          <w:sz w:val="21"/>
          <w:szCs w:val="21"/>
        </w:rPr>
        <w:t>5</w:t>
      </w:r>
      <w:r>
        <w:rPr>
          <w:rFonts w:ascii="宋体" w:hAnsi="宋体" w:cs="宋体" w:eastAsia="宋体" w:hint="default"/>
          <w:sz w:val="21"/>
          <w:szCs w:val="21"/>
        </w:rPr>
        <w:t>、 年末应收账款余额较年初增加</w:t>
      </w:r>
      <w:r>
        <w:rPr>
          <w:rFonts w:ascii="宋体" w:hAnsi="宋体" w:cs="宋体" w:eastAsia="宋体" w:hint="default"/>
          <w:spacing w:val="-43"/>
          <w:sz w:val="21"/>
          <w:szCs w:val="21"/>
        </w:rPr>
        <w:t> </w:t>
      </w:r>
      <w:r>
        <w:rPr>
          <w:rFonts w:ascii="Arial Narrow" w:hAnsi="Arial Narrow" w:cs="Arial Narrow" w:eastAsia="Arial Narrow" w:hint="default"/>
          <w:spacing w:val="-3"/>
          <w:sz w:val="21"/>
          <w:szCs w:val="21"/>
        </w:rPr>
        <w:t>101.41%</w:t>
      </w:r>
      <w:r>
        <w:rPr>
          <w:rFonts w:ascii="宋体" w:hAnsi="宋体" w:cs="宋体" w:eastAsia="宋体" w:hint="default"/>
          <w:spacing w:val="-3"/>
          <w:sz w:val="21"/>
          <w:szCs w:val="21"/>
        </w:rPr>
        <w:t>，主要系本年度营业收入增加，年末应收账款相</w:t>
      </w:r>
      <w:r>
        <w:rPr>
          <w:rFonts w:ascii="宋体" w:hAnsi="宋体" w:cs="宋体" w:eastAsia="宋体" w:hint="default"/>
          <w:w w:val="99"/>
          <w:sz w:val="21"/>
          <w:szCs w:val="21"/>
        </w:rPr>
        <w:t> </w:t>
      </w:r>
      <w:r>
        <w:rPr>
          <w:rFonts w:ascii="宋体" w:hAnsi="宋体" w:cs="宋体" w:eastAsia="宋体" w:hint="default"/>
          <w:sz w:val="21"/>
          <w:szCs w:val="21"/>
        </w:rPr>
        <w:t>应增加所致。</w:t>
      </w:r>
    </w:p>
    <w:p>
      <w:pPr>
        <w:tabs>
          <w:tab w:pos="1479" w:val="left" w:leader="none"/>
        </w:tabs>
        <w:spacing w:before="107"/>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6"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预付款项按账龄分析列示如下：</w:t>
      </w:r>
    </w:p>
    <w:p>
      <w:pPr>
        <w:spacing w:line="240" w:lineRule="auto" w:before="7"/>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326"/>
        <w:gridCol w:w="1880"/>
        <w:gridCol w:w="1380"/>
        <w:gridCol w:w="1880"/>
        <w:gridCol w:w="1378"/>
      </w:tblGrid>
      <w:tr>
        <w:trPr>
          <w:trHeight w:val="317" w:hRule="exact"/>
        </w:trPr>
        <w:tc>
          <w:tcPr>
            <w:tcW w:w="2326"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30"/>
              <w:ind w:left="735"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3260"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992"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25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991"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299" w:hRule="exact"/>
        </w:trPr>
        <w:tc>
          <w:tcPr>
            <w:tcW w:w="2326" w:type="dxa"/>
            <w:vMerge/>
            <w:tcBorders>
              <w:left w:val="single" w:sz="6" w:space="0" w:color="000000"/>
              <w:bottom w:val="single" w:sz="6" w:space="0" w:color="000000"/>
              <w:right w:val="single" w:sz="6" w:space="0" w:color="000000"/>
            </w:tcBorders>
            <w:shd w:val="clear" w:color="auto" w:fill="C0C0C0"/>
          </w:tcPr>
          <w:p>
            <w:pPr/>
          </w:p>
        </w:tc>
        <w:tc>
          <w:tcPr>
            <w:tcW w:w="18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88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3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54"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88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7"/>
              <w:jc w:val="right"/>
              <w:rPr>
                <w:rFonts w:ascii="Arial Narrow" w:hAnsi="Arial Narrow" w:cs="Arial Narrow" w:eastAsia="Arial Narrow" w:hint="default"/>
                <w:sz w:val="21"/>
                <w:szCs w:val="21"/>
              </w:rPr>
            </w:pPr>
            <w:r>
              <w:rPr>
                <w:rFonts w:ascii="Arial Narrow"/>
                <w:spacing w:val="-1"/>
                <w:sz w:val="21"/>
              </w:rPr>
              <w:t>9,517,584.95</w:t>
            </w:r>
          </w:p>
        </w:tc>
        <w:tc>
          <w:tcPr>
            <w:tcW w:w="138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6"/>
              <w:jc w:val="right"/>
              <w:rPr>
                <w:rFonts w:ascii="Arial Narrow" w:hAnsi="Arial Narrow" w:cs="Arial Narrow" w:eastAsia="Arial Narrow" w:hint="default"/>
                <w:sz w:val="21"/>
                <w:szCs w:val="21"/>
              </w:rPr>
            </w:pPr>
            <w:r>
              <w:rPr>
                <w:rFonts w:ascii="Arial Narrow"/>
                <w:w w:val="95"/>
                <w:sz w:val="21"/>
              </w:rPr>
              <w:t>96.39%</w:t>
            </w:r>
            <w:r>
              <w:rPr>
                <w:rFonts w:ascii="Arial Narrow"/>
                <w:sz w:val="21"/>
              </w:rPr>
            </w:r>
          </w:p>
        </w:tc>
        <w:tc>
          <w:tcPr>
            <w:tcW w:w="188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8"/>
              <w:jc w:val="right"/>
              <w:rPr>
                <w:rFonts w:ascii="Arial Narrow" w:hAnsi="Arial Narrow" w:cs="Arial Narrow" w:eastAsia="Arial Narrow" w:hint="default"/>
                <w:sz w:val="21"/>
                <w:szCs w:val="21"/>
              </w:rPr>
            </w:pPr>
            <w:r>
              <w:rPr>
                <w:rFonts w:ascii="Arial Narrow"/>
                <w:spacing w:val="-1"/>
                <w:sz w:val="21"/>
              </w:rPr>
              <w:t>3,677,439.04</w:t>
            </w:r>
          </w:p>
        </w:tc>
        <w:tc>
          <w:tcPr>
            <w:tcW w:w="137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6"/>
              <w:jc w:val="right"/>
              <w:rPr>
                <w:rFonts w:ascii="Arial Narrow" w:hAnsi="Arial Narrow" w:cs="Arial Narrow" w:eastAsia="Arial Narrow" w:hint="default"/>
                <w:sz w:val="21"/>
                <w:szCs w:val="21"/>
              </w:rPr>
            </w:pPr>
            <w:r>
              <w:rPr>
                <w:rFonts w:ascii="Arial Narrow"/>
                <w:w w:val="95"/>
                <w:sz w:val="21"/>
              </w:rPr>
              <w:t>88.22%</w:t>
            </w:r>
            <w:r>
              <w:rPr>
                <w:rFonts w:ascii="Arial Narrow"/>
                <w:sz w:val="21"/>
              </w:rPr>
            </w:r>
          </w:p>
        </w:tc>
      </w:tr>
      <w:tr>
        <w:trPr>
          <w:trHeight w:val="328"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154,586.08</w:t>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1.57%</w:t>
            </w:r>
            <w:r>
              <w:rPr>
                <w:rFonts w:ascii="Arial Narrow"/>
                <w:sz w:val="21"/>
              </w:rPr>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469,223.75</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spacing w:val="-3"/>
                <w:sz w:val="21"/>
              </w:rPr>
              <w:t>11.26%</w:t>
            </w:r>
          </w:p>
        </w:tc>
      </w:tr>
      <w:tr>
        <w:trPr>
          <w:trHeight w:val="326"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180,222.09</w:t>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1.83%</w:t>
            </w:r>
            <w:r>
              <w:rPr>
                <w:rFonts w:ascii="Arial Narrow"/>
                <w:sz w:val="21"/>
              </w:rPr>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21,596.00</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0.52%</w:t>
            </w:r>
            <w:r>
              <w:rPr>
                <w:rFonts w:ascii="Arial Narrow"/>
                <w:sz w:val="21"/>
              </w:rPr>
            </w:r>
          </w:p>
        </w:tc>
      </w:tr>
      <w:tr>
        <w:trPr>
          <w:trHeight w:val="328"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21,596.00</w:t>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0.22%</w:t>
            </w:r>
            <w:r>
              <w:rPr>
                <w:rFonts w:ascii="Arial Narrow"/>
                <w:sz w:val="21"/>
              </w:rPr>
            </w:r>
          </w:p>
        </w:tc>
        <w:tc>
          <w:tcPr>
            <w:tcW w:w="1880" w:type="dxa"/>
            <w:tcBorders>
              <w:top w:val="single" w:sz="6" w:space="0" w:color="000000"/>
              <w:left w:val="single" w:sz="6" w:space="0" w:color="000000"/>
              <w:bottom w:val="single" w:sz="6" w:space="0" w:color="000000"/>
              <w:right w:val="single" w:sz="6" w:space="0" w:color="000000"/>
            </w:tcBorders>
          </w:tcPr>
          <w:p>
            <w:pPr/>
          </w:p>
        </w:tc>
        <w:tc>
          <w:tcPr>
            <w:tcW w:w="1378" w:type="dxa"/>
            <w:tcBorders>
              <w:top w:val="single" w:sz="6" w:space="0" w:color="000000"/>
              <w:left w:val="single" w:sz="6" w:space="0" w:color="000000"/>
              <w:bottom w:val="single" w:sz="6" w:space="0" w:color="000000"/>
              <w:right w:val="single" w:sz="6" w:space="0" w:color="000000"/>
            </w:tcBorders>
          </w:tcPr>
          <w:p>
            <w:pPr/>
          </w:p>
        </w:tc>
      </w:tr>
      <w:tr>
        <w:trPr>
          <w:trHeight w:val="326"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9,873,989.12</w:t>
            </w:r>
          </w:p>
        </w:tc>
        <w:tc>
          <w:tcPr>
            <w:tcW w:w="13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4,168,258.79</w:t>
            </w:r>
          </w:p>
        </w:tc>
        <w:tc>
          <w:tcPr>
            <w:tcW w:w="1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其中：外币列示如下：</w:t>
      </w:r>
    </w:p>
    <w:p>
      <w:pPr>
        <w:spacing w:line="240" w:lineRule="auto" w:before="11"/>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1560"/>
        <w:gridCol w:w="1310"/>
        <w:gridCol w:w="1063"/>
        <w:gridCol w:w="1526"/>
        <w:gridCol w:w="1105"/>
        <w:gridCol w:w="823"/>
        <w:gridCol w:w="1456"/>
      </w:tblGrid>
      <w:tr>
        <w:trPr>
          <w:trHeight w:val="412" w:hRule="exact"/>
        </w:trPr>
        <w:tc>
          <w:tcPr>
            <w:tcW w:w="156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3"/>
              <w:ind w:right="0"/>
              <w:jc w:val="left"/>
              <w:rPr>
                <w:rFonts w:ascii="宋体" w:hAnsi="宋体" w:cs="宋体" w:eastAsia="宋体" w:hint="default"/>
                <w:sz w:val="17"/>
                <w:szCs w:val="17"/>
              </w:rPr>
            </w:pPr>
          </w:p>
          <w:p>
            <w:pPr>
              <w:pStyle w:val="TableParagraph"/>
              <w:tabs>
                <w:tab w:pos="929" w:val="left" w:leader="none"/>
              </w:tabs>
              <w:spacing w:line="240" w:lineRule="auto"/>
              <w:ind w:left="40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900"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c>
          <w:tcPr>
            <w:tcW w:w="3384"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6"/>
              <w:ind w:left="1054"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412" w:hRule="exact"/>
        </w:trPr>
        <w:tc>
          <w:tcPr>
            <w:tcW w:w="1560" w:type="dxa"/>
            <w:vMerge/>
            <w:tcBorders>
              <w:left w:val="single" w:sz="6" w:space="0" w:color="000000"/>
              <w:bottom w:val="single" w:sz="6" w:space="0" w:color="000000"/>
              <w:right w:val="single" w:sz="6" w:space="0" w:color="000000"/>
            </w:tcBorders>
            <w:shd w:val="clear" w:color="auto" w:fill="C0C0C0"/>
          </w:tcPr>
          <w:p>
            <w:pPr/>
          </w:p>
        </w:tc>
        <w:tc>
          <w:tcPr>
            <w:tcW w:w="131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原币</w:t>
            </w:r>
          </w:p>
        </w:tc>
        <w:tc>
          <w:tcPr>
            <w:tcW w:w="106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314" w:right="0"/>
              <w:jc w:val="left"/>
              <w:rPr>
                <w:rFonts w:ascii="宋体" w:hAnsi="宋体" w:cs="宋体" w:eastAsia="宋体" w:hint="default"/>
                <w:sz w:val="21"/>
                <w:szCs w:val="21"/>
              </w:rPr>
            </w:pPr>
            <w:r>
              <w:rPr>
                <w:rFonts w:ascii="宋体" w:hAnsi="宋体" w:cs="宋体" w:eastAsia="宋体" w:hint="default"/>
                <w:sz w:val="21"/>
                <w:szCs w:val="21"/>
              </w:rPr>
              <w:t>汇率</w:t>
            </w:r>
          </w:p>
        </w:tc>
        <w:tc>
          <w:tcPr>
            <w:tcW w:w="15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230" w:right="0"/>
              <w:jc w:val="left"/>
              <w:rPr>
                <w:rFonts w:ascii="宋体" w:hAnsi="宋体" w:cs="宋体" w:eastAsia="宋体" w:hint="default"/>
                <w:sz w:val="21"/>
                <w:szCs w:val="21"/>
              </w:rPr>
            </w:pPr>
            <w:r>
              <w:rPr>
                <w:rFonts w:ascii="宋体" w:hAnsi="宋体" w:cs="宋体" w:eastAsia="宋体" w:hint="default"/>
                <w:sz w:val="21"/>
                <w:szCs w:val="21"/>
              </w:rPr>
              <w:t>折合人民币</w:t>
            </w:r>
          </w:p>
        </w:tc>
        <w:tc>
          <w:tcPr>
            <w:tcW w:w="11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334"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82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194" w:right="0"/>
              <w:jc w:val="left"/>
              <w:rPr>
                <w:rFonts w:ascii="宋体" w:hAnsi="宋体" w:cs="宋体" w:eastAsia="宋体" w:hint="default"/>
                <w:sz w:val="21"/>
                <w:szCs w:val="21"/>
              </w:rPr>
            </w:pPr>
            <w:r>
              <w:rPr>
                <w:rFonts w:ascii="宋体" w:hAnsi="宋体" w:cs="宋体" w:eastAsia="宋体" w:hint="default"/>
                <w:sz w:val="21"/>
                <w:szCs w:val="21"/>
              </w:rPr>
              <w:t>汇率</w:t>
            </w:r>
          </w:p>
        </w:tc>
        <w:tc>
          <w:tcPr>
            <w:tcW w:w="145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195" w:right="0"/>
              <w:jc w:val="left"/>
              <w:rPr>
                <w:rFonts w:ascii="宋体" w:hAnsi="宋体" w:cs="宋体" w:eastAsia="宋体" w:hint="default"/>
                <w:sz w:val="21"/>
                <w:szCs w:val="21"/>
              </w:rPr>
            </w:pPr>
            <w:r>
              <w:rPr>
                <w:rFonts w:ascii="宋体" w:hAnsi="宋体" w:cs="宋体" w:eastAsia="宋体" w:hint="default"/>
                <w:sz w:val="21"/>
                <w:szCs w:val="21"/>
              </w:rPr>
              <w:t>折合人民币</w:t>
            </w:r>
          </w:p>
        </w:tc>
      </w:tr>
      <w:tr>
        <w:trPr>
          <w:trHeight w:val="412"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3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332" w:right="0"/>
              <w:jc w:val="left"/>
              <w:rPr>
                <w:rFonts w:ascii="Arial Narrow" w:hAnsi="Arial Narrow" w:cs="Arial Narrow" w:eastAsia="Arial Narrow" w:hint="default"/>
                <w:sz w:val="21"/>
                <w:szCs w:val="21"/>
              </w:rPr>
            </w:pPr>
            <w:r>
              <w:rPr>
                <w:rFonts w:ascii="Arial Narrow"/>
                <w:sz w:val="21"/>
              </w:rPr>
              <w:t>157,683.05</w:t>
            </w:r>
          </w:p>
        </w:tc>
        <w:tc>
          <w:tcPr>
            <w:tcW w:w="10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422" w:right="0"/>
              <w:jc w:val="left"/>
              <w:rPr>
                <w:rFonts w:ascii="Arial Narrow" w:hAnsi="Arial Narrow" w:cs="Arial Narrow" w:eastAsia="Arial Narrow" w:hint="default"/>
                <w:sz w:val="21"/>
                <w:szCs w:val="21"/>
              </w:rPr>
            </w:pPr>
            <w:r>
              <w:rPr>
                <w:rFonts w:ascii="Arial Narrow"/>
                <w:sz w:val="21"/>
              </w:rPr>
              <w:t>6.3009</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548" w:right="0"/>
              <w:jc w:val="left"/>
              <w:rPr>
                <w:rFonts w:ascii="Arial Narrow" w:hAnsi="Arial Narrow" w:cs="Arial Narrow" w:eastAsia="Arial Narrow" w:hint="default"/>
                <w:sz w:val="21"/>
                <w:szCs w:val="21"/>
              </w:rPr>
            </w:pPr>
            <w:r>
              <w:rPr>
                <w:rFonts w:ascii="Arial Narrow"/>
                <w:sz w:val="21"/>
              </w:rPr>
              <w:t>993,545.13</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222" w:right="0"/>
              <w:jc w:val="left"/>
              <w:rPr>
                <w:rFonts w:ascii="Arial Narrow" w:hAnsi="Arial Narrow" w:cs="Arial Narrow" w:eastAsia="Arial Narrow" w:hint="default"/>
                <w:sz w:val="21"/>
                <w:szCs w:val="21"/>
              </w:rPr>
            </w:pPr>
            <w:r>
              <w:rPr>
                <w:rFonts w:ascii="Arial Narrow"/>
                <w:sz w:val="21"/>
              </w:rPr>
              <w:t>72,104.00</w:t>
            </w:r>
          </w:p>
        </w:tc>
        <w:tc>
          <w:tcPr>
            <w:tcW w:w="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179" w:right="0"/>
              <w:jc w:val="left"/>
              <w:rPr>
                <w:rFonts w:ascii="Arial Narrow" w:hAnsi="Arial Narrow" w:cs="Arial Narrow" w:eastAsia="Arial Narrow" w:hint="default"/>
                <w:sz w:val="21"/>
                <w:szCs w:val="21"/>
              </w:rPr>
            </w:pPr>
            <w:r>
              <w:rPr>
                <w:rFonts w:ascii="Arial Narrow"/>
                <w:sz w:val="21"/>
              </w:rPr>
              <w:t>6.6227</w:t>
            </w:r>
          </w:p>
        </w:tc>
        <w:tc>
          <w:tcPr>
            <w:tcW w:w="14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left="477" w:right="0"/>
              <w:jc w:val="left"/>
              <w:rPr>
                <w:rFonts w:ascii="Arial Narrow" w:hAnsi="Arial Narrow" w:cs="Arial Narrow" w:eastAsia="Arial Narrow" w:hint="default"/>
                <w:sz w:val="21"/>
                <w:szCs w:val="21"/>
              </w:rPr>
            </w:pPr>
            <w:r>
              <w:rPr>
                <w:rFonts w:ascii="Arial Narrow"/>
                <w:sz w:val="21"/>
              </w:rPr>
              <w:t>477,523.16</w:t>
            </w:r>
          </w:p>
        </w:tc>
      </w:tr>
    </w:tbl>
    <w:p>
      <w:pPr>
        <w:spacing w:before="87"/>
        <w:ind w:left="644"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年末预付款项前五名列示如下：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3083"/>
        <w:gridCol w:w="1242"/>
        <w:gridCol w:w="2982"/>
        <w:gridCol w:w="1537"/>
      </w:tblGrid>
      <w:tr>
        <w:trPr>
          <w:trHeight w:val="412" w:hRule="exact"/>
        </w:trPr>
        <w:tc>
          <w:tcPr>
            <w:tcW w:w="308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0"/>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24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left="88" w:right="0"/>
              <w:jc w:val="left"/>
              <w:rPr>
                <w:rFonts w:ascii="宋体" w:hAnsi="宋体" w:cs="宋体" w:eastAsia="宋体" w:hint="default"/>
                <w:sz w:val="21"/>
                <w:szCs w:val="21"/>
              </w:rPr>
            </w:pPr>
            <w:r>
              <w:rPr>
                <w:rFonts w:ascii="宋体" w:hAnsi="宋体" w:cs="宋体" w:eastAsia="宋体" w:hint="default"/>
                <w:sz w:val="21"/>
                <w:szCs w:val="21"/>
              </w:rPr>
              <w:t>与本公司关</w:t>
            </w:r>
          </w:p>
        </w:tc>
        <w:tc>
          <w:tcPr>
            <w:tcW w:w="298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854"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153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0"/>
              <w:ind w:left="236" w:right="0"/>
              <w:jc w:val="left"/>
              <w:rPr>
                <w:rFonts w:ascii="宋体" w:hAnsi="宋体" w:cs="宋体" w:eastAsia="宋体" w:hint="default"/>
                <w:sz w:val="21"/>
                <w:szCs w:val="21"/>
              </w:rPr>
            </w:pPr>
            <w:r>
              <w:rPr>
                <w:rFonts w:ascii="宋体" w:hAnsi="宋体" w:cs="宋体" w:eastAsia="宋体" w:hint="default"/>
                <w:sz w:val="21"/>
                <w:szCs w:val="21"/>
              </w:rPr>
              <w:t>未结算原因</w:t>
            </w:r>
          </w:p>
        </w:tc>
      </w:tr>
    </w:tbl>
    <w:p>
      <w:pPr>
        <w:spacing w:after="0" w:line="240" w:lineRule="auto"/>
        <w:jc w:val="left"/>
        <w:rPr>
          <w:rFonts w:ascii="宋体" w:hAnsi="宋体" w:cs="宋体" w:eastAsia="宋体" w:hint="default"/>
          <w:sz w:val="21"/>
          <w:szCs w:val="21"/>
        </w:rPr>
        <w:sectPr>
          <w:pgSz w:w="12240" w:h="15840"/>
          <w:pgMar w:header="0" w:footer="708" w:top="1360" w:bottom="900" w:left="1580" w:right="158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083"/>
        <w:gridCol w:w="1242"/>
        <w:gridCol w:w="1078"/>
        <w:gridCol w:w="919"/>
        <w:gridCol w:w="985"/>
        <w:gridCol w:w="1537"/>
      </w:tblGrid>
      <w:tr>
        <w:trPr>
          <w:trHeight w:val="559" w:hRule="exact"/>
        </w:trPr>
        <w:tc>
          <w:tcPr>
            <w:tcW w:w="3083" w:type="dxa"/>
            <w:tcBorders>
              <w:top w:val="single" w:sz="6" w:space="0" w:color="000000"/>
              <w:left w:val="single" w:sz="6" w:space="0" w:color="000000"/>
              <w:bottom w:val="single" w:sz="6" w:space="0" w:color="000000"/>
              <w:right w:val="single" w:sz="6" w:space="0" w:color="000000"/>
            </w:tcBorders>
            <w:shd w:val="clear" w:color="auto" w:fill="C0C0C0"/>
          </w:tcPr>
          <w:p>
            <w:pPr/>
          </w:p>
        </w:tc>
        <w:tc>
          <w:tcPr>
            <w:tcW w:w="1242" w:type="dxa"/>
            <w:tcBorders>
              <w:top w:val="single" w:sz="6" w:space="0" w:color="000000"/>
              <w:left w:val="single" w:sz="6" w:space="0" w:color="000000"/>
              <w:bottom w:val="single" w:sz="6" w:space="0" w:color="000000"/>
              <w:right w:val="single" w:sz="6" w:space="0" w:color="000000"/>
            </w:tcBorders>
            <w:shd w:val="clear" w:color="auto" w:fill="C0C0C0"/>
          </w:tcPr>
          <w:p>
            <w:pPr/>
          </w:p>
        </w:tc>
        <w:tc>
          <w:tcPr>
            <w:tcW w:w="10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111"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9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预付时间</w:t>
            </w:r>
          </w:p>
        </w:tc>
        <w:tc>
          <w:tcPr>
            <w:tcW w:w="98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占总额比</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例</w:t>
            </w:r>
          </w:p>
        </w:tc>
        <w:tc>
          <w:tcPr>
            <w:tcW w:w="1537" w:type="dxa"/>
            <w:tcBorders>
              <w:top w:val="single" w:sz="6" w:space="0" w:color="000000"/>
              <w:left w:val="single" w:sz="6" w:space="0" w:color="000000"/>
              <w:bottom w:val="single" w:sz="6" w:space="0" w:color="000000"/>
              <w:right w:val="single" w:sz="6" w:space="0" w:color="000000"/>
            </w:tcBorders>
            <w:shd w:val="clear" w:color="auto" w:fill="C0C0C0"/>
          </w:tcPr>
          <w:p>
            <w:pPr/>
          </w:p>
        </w:tc>
      </w:tr>
      <w:tr>
        <w:trPr>
          <w:trHeight w:val="413"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0" w:right="0"/>
              <w:jc w:val="left"/>
              <w:rPr>
                <w:rFonts w:ascii="宋体" w:hAnsi="宋体" w:cs="宋体" w:eastAsia="宋体" w:hint="default"/>
                <w:sz w:val="21"/>
                <w:szCs w:val="21"/>
              </w:rPr>
            </w:pPr>
            <w:r>
              <w:rPr>
                <w:rFonts w:ascii="宋体" w:hAnsi="宋体" w:cs="宋体" w:eastAsia="宋体" w:hint="default"/>
                <w:sz w:val="21"/>
                <w:szCs w:val="21"/>
              </w:rPr>
              <w:t>厦门美园系统工程有限公司</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非关联单位</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7"/>
              <w:jc w:val="right"/>
              <w:rPr>
                <w:rFonts w:ascii="Arial Narrow" w:hAnsi="Arial Narrow" w:cs="Arial Narrow" w:eastAsia="Arial Narrow" w:hint="default"/>
                <w:sz w:val="21"/>
                <w:szCs w:val="21"/>
              </w:rPr>
            </w:pPr>
            <w:r>
              <w:rPr>
                <w:rFonts w:ascii="Arial Narrow"/>
                <w:spacing w:val="-1"/>
                <w:sz w:val="21"/>
              </w:rPr>
              <w:t>2,759,379.26</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0"/>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27.95%</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合同未履行完毕</w:t>
            </w:r>
          </w:p>
        </w:tc>
      </w:tr>
      <w:tr>
        <w:trPr>
          <w:trHeight w:val="412"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 w:right="0"/>
              <w:jc w:val="left"/>
              <w:rPr>
                <w:rFonts w:ascii="宋体" w:hAnsi="宋体" w:cs="宋体" w:eastAsia="宋体" w:hint="default"/>
                <w:sz w:val="22"/>
                <w:szCs w:val="22"/>
              </w:rPr>
            </w:pPr>
            <w:r>
              <w:rPr>
                <w:rFonts w:ascii="宋体" w:hAnsi="宋体" w:cs="宋体" w:eastAsia="宋体" w:hint="default"/>
                <w:sz w:val="22"/>
                <w:szCs w:val="22"/>
              </w:rPr>
              <w:t>无锡江南计算技术研究所</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非关联单位</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7"/>
              <w:jc w:val="right"/>
              <w:rPr>
                <w:rFonts w:ascii="Arial Narrow" w:hAnsi="Arial Narrow" w:cs="Arial Narrow" w:eastAsia="Arial Narrow" w:hint="default"/>
                <w:sz w:val="21"/>
                <w:szCs w:val="21"/>
              </w:rPr>
            </w:pPr>
            <w:r>
              <w:rPr>
                <w:rFonts w:ascii="Arial Narrow"/>
                <w:spacing w:val="-1"/>
                <w:sz w:val="21"/>
              </w:rPr>
              <w:t>2,564,102.57</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0"/>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25.97%</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合同未履行完毕</w:t>
            </w:r>
          </w:p>
        </w:tc>
      </w:tr>
      <w:tr>
        <w:trPr>
          <w:trHeight w:val="412"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0" w:right="0"/>
              <w:jc w:val="left"/>
              <w:rPr>
                <w:rFonts w:ascii="宋体" w:hAnsi="宋体" w:cs="宋体" w:eastAsia="宋体" w:hint="default"/>
                <w:sz w:val="21"/>
                <w:szCs w:val="21"/>
              </w:rPr>
            </w:pPr>
            <w:r>
              <w:rPr>
                <w:rFonts w:ascii="宋体" w:hAnsi="宋体" w:cs="宋体" w:eastAsia="宋体" w:hint="default"/>
                <w:sz w:val="21"/>
                <w:szCs w:val="21"/>
              </w:rPr>
              <w:t>厦门长益经济发展有限公司</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非关联单位</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8"/>
              <w:jc w:val="right"/>
              <w:rPr>
                <w:rFonts w:ascii="Arial Narrow" w:hAnsi="Arial Narrow" w:cs="Arial Narrow" w:eastAsia="Arial Narrow" w:hint="default"/>
                <w:sz w:val="21"/>
                <w:szCs w:val="21"/>
              </w:rPr>
            </w:pPr>
            <w:r>
              <w:rPr>
                <w:rFonts w:ascii="Arial Narrow"/>
                <w:spacing w:val="-1"/>
                <w:sz w:val="21"/>
              </w:rPr>
              <w:t>525,470.09</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0"/>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5.32%</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合同未履行完毕</w:t>
            </w:r>
          </w:p>
        </w:tc>
      </w:tr>
      <w:tr>
        <w:trPr>
          <w:trHeight w:val="413"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0" w:right="0"/>
              <w:jc w:val="left"/>
              <w:rPr>
                <w:rFonts w:ascii="宋体" w:hAnsi="宋体" w:cs="宋体" w:eastAsia="宋体" w:hint="default"/>
                <w:sz w:val="21"/>
                <w:szCs w:val="21"/>
              </w:rPr>
            </w:pPr>
            <w:r>
              <w:rPr>
                <w:rFonts w:ascii="宋体" w:hAnsi="宋体" w:cs="宋体" w:eastAsia="宋体" w:hint="default"/>
                <w:sz w:val="21"/>
                <w:szCs w:val="21"/>
              </w:rPr>
              <w:t>厦门创同电子有限公司</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非关联单位</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8"/>
              <w:jc w:val="right"/>
              <w:rPr>
                <w:rFonts w:ascii="Arial Narrow" w:hAnsi="Arial Narrow" w:cs="Arial Narrow" w:eastAsia="Arial Narrow" w:hint="default"/>
                <w:sz w:val="21"/>
                <w:szCs w:val="21"/>
              </w:rPr>
            </w:pPr>
            <w:r>
              <w:rPr>
                <w:rFonts w:ascii="Arial Narrow"/>
                <w:spacing w:val="-1"/>
                <w:sz w:val="21"/>
              </w:rPr>
              <w:t>346,284.61</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0"/>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3.51%</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合同未履行完毕</w:t>
            </w:r>
          </w:p>
        </w:tc>
      </w:tr>
      <w:tr>
        <w:trPr>
          <w:trHeight w:val="412" w:hRule="exact"/>
        </w:trPr>
        <w:tc>
          <w:tcPr>
            <w:tcW w:w="30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left="20" w:right="0"/>
              <w:jc w:val="left"/>
              <w:rPr>
                <w:rFonts w:ascii="Times New Roman" w:hAnsi="Times New Roman" w:cs="Times New Roman" w:eastAsia="Times New Roman" w:hint="default"/>
                <w:sz w:val="21"/>
                <w:szCs w:val="21"/>
              </w:rPr>
            </w:pPr>
            <w:r>
              <w:rPr>
                <w:rFonts w:ascii="Times New Roman"/>
                <w:spacing w:val="-4"/>
                <w:sz w:val="21"/>
              </w:rPr>
              <w:t>Wayer </w:t>
            </w:r>
            <w:r>
              <w:rPr>
                <w:rFonts w:ascii="Times New Roman"/>
                <w:sz w:val="21"/>
              </w:rPr>
              <w:t>electronic limited</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非关联单位</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8"/>
              <w:jc w:val="right"/>
              <w:rPr>
                <w:rFonts w:ascii="Arial Narrow" w:hAnsi="Arial Narrow" w:cs="Arial Narrow" w:eastAsia="Arial Narrow" w:hint="default"/>
                <w:sz w:val="21"/>
                <w:szCs w:val="21"/>
              </w:rPr>
            </w:pPr>
            <w:r>
              <w:rPr>
                <w:rFonts w:ascii="Arial Narrow"/>
                <w:spacing w:val="-1"/>
                <w:sz w:val="21"/>
              </w:rPr>
              <w:t>291,606.27</w:t>
            </w:r>
          </w:p>
        </w:tc>
        <w:tc>
          <w:tcPr>
            <w:tcW w:w="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0"/>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w:t>
            </w: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2.95%</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21" w:right="0"/>
              <w:jc w:val="left"/>
              <w:rPr>
                <w:rFonts w:ascii="宋体" w:hAnsi="宋体" w:cs="宋体" w:eastAsia="宋体" w:hint="default"/>
                <w:sz w:val="21"/>
                <w:szCs w:val="21"/>
              </w:rPr>
            </w:pPr>
            <w:r>
              <w:rPr>
                <w:rFonts w:ascii="宋体" w:hAnsi="宋体" w:cs="宋体" w:eastAsia="宋体" w:hint="default"/>
                <w:sz w:val="21"/>
                <w:szCs w:val="21"/>
              </w:rPr>
              <w:t>合同未履行完毕</w:t>
            </w:r>
          </w:p>
        </w:tc>
      </w:tr>
      <w:tr>
        <w:trPr>
          <w:trHeight w:val="413" w:hRule="exact"/>
        </w:trPr>
        <w:tc>
          <w:tcPr>
            <w:tcW w:w="4325" w:type="dxa"/>
            <w:gridSpan w:val="2"/>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8"/>
              <w:jc w:val="right"/>
              <w:rPr>
                <w:rFonts w:ascii="Arial Narrow" w:hAnsi="Arial Narrow" w:cs="Arial Narrow" w:eastAsia="Arial Narrow" w:hint="default"/>
                <w:sz w:val="21"/>
                <w:szCs w:val="21"/>
              </w:rPr>
            </w:pPr>
            <w:r>
              <w:rPr>
                <w:rFonts w:ascii="Arial Narrow"/>
                <w:spacing w:val="-1"/>
                <w:sz w:val="21"/>
              </w:rPr>
              <w:t>6,486,842.80</w:t>
            </w:r>
          </w:p>
        </w:tc>
        <w:tc>
          <w:tcPr>
            <w:tcW w:w="919" w:type="dxa"/>
            <w:tcBorders>
              <w:top w:val="single" w:sz="6" w:space="0" w:color="000000"/>
              <w:left w:val="single" w:sz="6" w:space="0" w:color="000000"/>
              <w:bottom w:val="single" w:sz="6" w:space="0" w:color="000000"/>
              <w:right w:val="single" w:sz="6" w:space="0" w:color="000000"/>
            </w:tcBorders>
          </w:tcPr>
          <w:p>
            <w:pPr/>
          </w:p>
        </w:tc>
        <w:tc>
          <w:tcPr>
            <w:tcW w:w="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6"/>
              <w:jc w:val="right"/>
              <w:rPr>
                <w:rFonts w:ascii="Arial Narrow" w:hAnsi="Arial Narrow" w:cs="Arial Narrow" w:eastAsia="Arial Narrow" w:hint="default"/>
                <w:sz w:val="21"/>
                <w:szCs w:val="21"/>
              </w:rPr>
            </w:pPr>
            <w:r>
              <w:rPr>
                <w:rFonts w:ascii="Arial Narrow"/>
                <w:w w:val="95"/>
                <w:sz w:val="21"/>
              </w:rPr>
              <w:t>65.70%</w:t>
            </w:r>
            <w:r>
              <w:rPr>
                <w:rFonts w:ascii="Arial Narrow"/>
                <w:sz w:val="21"/>
              </w:rPr>
            </w:r>
          </w:p>
        </w:tc>
        <w:tc>
          <w:tcPr>
            <w:tcW w:w="1537" w:type="dxa"/>
            <w:tcBorders>
              <w:top w:val="single" w:sz="6" w:space="0" w:color="000000"/>
              <w:left w:val="single" w:sz="6" w:space="0" w:color="000000"/>
              <w:bottom w:val="single" w:sz="6" w:space="0" w:color="000000"/>
              <w:right w:val="single" w:sz="6" w:space="0" w:color="000000"/>
            </w:tcBorders>
          </w:tcPr>
          <w:p>
            <w:pPr/>
          </w:p>
        </w:tc>
      </w:tr>
    </w:tbl>
    <w:p>
      <w:pPr>
        <w:spacing w:before="86"/>
        <w:ind w:left="644"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年末无账龄超过一年且金额较大的预付款项。</w:t>
      </w:r>
    </w:p>
    <w:p>
      <w:pPr>
        <w:spacing w:line="338" w:lineRule="auto" w:before="118"/>
        <w:ind w:left="220" w:right="214" w:firstLine="424"/>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截至</w:t>
      </w:r>
      <w:r>
        <w:rPr>
          <w:rFonts w:ascii="宋体" w:hAnsi="宋体" w:cs="宋体" w:eastAsia="宋体" w:hint="default"/>
          <w:spacing w:val="-49"/>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9"/>
          <w:sz w:val="21"/>
          <w:szCs w:val="21"/>
        </w:rPr>
        <w:t> </w:t>
      </w:r>
      <w:r>
        <w:rPr>
          <w:rFonts w:ascii="宋体" w:hAnsi="宋体" w:cs="宋体" w:eastAsia="宋体" w:hint="default"/>
          <w:sz w:val="21"/>
          <w:szCs w:val="21"/>
        </w:rPr>
        <w:t>日止，预付款项余额中无持有本公司</w:t>
      </w:r>
      <w:r>
        <w:rPr>
          <w:rFonts w:ascii="宋体" w:hAnsi="宋体" w:cs="宋体" w:eastAsia="宋体" w:hint="default"/>
          <w:spacing w:val="-4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（含</w:t>
      </w:r>
      <w:r>
        <w:rPr>
          <w:rFonts w:ascii="宋体" w:hAnsi="宋体" w:cs="宋体" w:eastAsia="宋体" w:hint="default"/>
          <w:spacing w:val="-49"/>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 份的股东单位款项及关联方欠款。</w:t>
      </w:r>
    </w:p>
    <w:p>
      <w:pPr>
        <w:spacing w:line="338" w:lineRule="auto" w:before="47"/>
        <w:ind w:left="219" w:right="100" w:firstLine="425"/>
        <w:jc w:val="left"/>
        <w:rPr>
          <w:rFonts w:ascii="宋体" w:hAnsi="宋体" w:cs="宋体" w:eastAsia="宋体" w:hint="default"/>
          <w:sz w:val="21"/>
          <w:szCs w:val="21"/>
        </w:rPr>
      </w:pPr>
      <w:r>
        <w:rPr>
          <w:rFonts w:ascii="Arial Narrow" w:hAnsi="Arial Narrow" w:cs="Arial Narrow" w:eastAsia="Arial Narrow" w:hint="default"/>
          <w:w w:val="99"/>
          <w:sz w:val="21"/>
          <w:szCs w:val="21"/>
        </w:rPr>
        <w:t>5</w:t>
      </w:r>
      <w:r>
        <w:rPr>
          <w:rFonts w:ascii="宋体" w:hAnsi="宋体" w:cs="宋体" w:eastAsia="宋体" w:hint="default"/>
          <w:w w:val="99"/>
          <w:sz w:val="21"/>
          <w:szCs w:val="21"/>
        </w:rPr>
        <w:t>、 </w:t>
      </w:r>
      <w:r>
        <w:rPr>
          <w:rFonts w:ascii="宋体" w:hAnsi="宋体" w:cs="宋体" w:eastAsia="宋体" w:hint="default"/>
          <w:sz w:val="21"/>
          <w:szCs w:val="21"/>
        </w:rPr>
        <w:t>年末预付款项余额较年初增加</w:t>
      </w:r>
      <w:r>
        <w:rPr>
          <w:rFonts w:ascii="宋体" w:hAnsi="宋体" w:cs="宋体" w:eastAsia="宋体" w:hint="default"/>
          <w:spacing w:val="-27"/>
          <w:sz w:val="21"/>
          <w:szCs w:val="21"/>
        </w:rPr>
        <w:t> </w:t>
      </w:r>
      <w:r>
        <w:rPr>
          <w:rFonts w:ascii="Arial Narrow" w:hAnsi="Arial Narrow" w:cs="Arial Narrow" w:eastAsia="Arial Narrow" w:hint="default"/>
          <w:spacing w:val="-7"/>
          <w:w w:val="99"/>
          <w:sz w:val="21"/>
          <w:szCs w:val="21"/>
        </w:rPr>
        <w:t>136.89%</w:t>
      </w:r>
      <w:r>
        <w:rPr>
          <w:rFonts w:ascii="宋体" w:hAnsi="宋体" w:cs="宋体" w:eastAsia="宋体" w:hint="default"/>
          <w:spacing w:val="-7"/>
          <w:w w:val="99"/>
          <w:sz w:val="21"/>
          <w:szCs w:val="21"/>
        </w:rPr>
        <w:t>，主要系公司经营规模扩大，存货采购需求增加，</w:t>
      </w:r>
      <w:r>
        <w:rPr>
          <w:rFonts w:ascii="宋体" w:hAnsi="宋体" w:cs="宋体" w:eastAsia="宋体" w:hint="default"/>
          <w:w w:val="99"/>
          <w:sz w:val="21"/>
          <w:szCs w:val="21"/>
        </w:rPr>
        <w:t> </w:t>
      </w:r>
      <w:r>
        <w:rPr>
          <w:rFonts w:ascii="宋体" w:hAnsi="宋体" w:cs="宋体" w:eastAsia="宋体" w:hint="default"/>
          <w:sz w:val="21"/>
          <w:szCs w:val="21"/>
        </w:rPr>
        <w:t>预付货款相应增加所致。</w:t>
      </w:r>
    </w:p>
    <w:p>
      <w:pPr>
        <w:tabs>
          <w:tab w:pos="1479" w:val="left" w:leader="none"/>
        </w:tabs>
        <w:spacing w:line="408" w:lineRule="auto" w:before="107"/>
        <w:ind w:left="639" w:right="5708"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应收利息</w:t>
      </w:r>
      <w:r>
        <w:rPr>
          <w:rFonts w:ascii="宋体" w:hAnsi="宋体" w:cs="宋体" w:eastAsia="宋体" w:hint="default"/>
          <w:b/>
          <w:bCs/>
          <w:spacing w:val="1"/>
          <w:w w:val="99"/>
          <w:sz w:val="21"/>
          <w:szCs w:val="21"/>
        </w:rPr>
        <w:t> </w:t>
      </w:r>
      <w:r>
        <w:rPr>
          <w:rFonts w:ascii="宋体" w:hAnsi="宋体" w:cs="宋体" w:eastAsia="宋体" w:hint="default"/>
          <w:sz w:val="21"/>
          <w:szCs w:val="21"/>
        </w:rPr>
        <w:t>应收利息明细项目列示如下：</w:t>
      </w:r>
    </w:p>
    <w:tbl>
      <w:tblPr>
        <w:tblW w:w="0" w:type="auto"/>
        <w:jc w:val="left"/>
        <w:tblInd w:w="110" w:type="dxa"/>
        <w:tblLayout w:type="fixed"/>
        <w:tblCellMar>
          <w:top w:w="0" w:type="dxa"/>
          <w:left w:w="0" w:type="dxa"/>
          <w:bottom w:w="0" w:type="dxa"/>
          <w:right w:w="0" w:type="dxa"/>
        </w:tblCellMar>
        <w:tblLook w:val="01E0"/>
      </w:tblPr>
      <w:tblGrid>
        <w:gridCol w:w="2944"/>
        <w:gridCol w:w="2951"/>
        <w:gridCol w:w="2950"/>
      </w:tblGrid>
      <w:tr>
        <w:trPr>
          <w:trHeight w:val="355" w:hRule="exact"/>
        </w:trPr>
        <w:tc>
          <w:tcPr>
            <w:tcW w:w="29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525" w:val="left" w:leader="none"/>
              </w:tabs>
              <w:spacing w:line="269" w:lineRule="exact"/>
              <w:ind w:left="10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5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9" w:lineRule="exact"/>
              <w:ind w:left="890"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295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9" w:lineRule="exact"/>
              <w:ind w:left="890"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54"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left="100" w:right="0"/>
              <w:jc w:val="left"/>
              <w:rPr>
                <w:rFonts w:ascii="宋体" w:hAnsi="宋体" w:cs="宋体" w:eastAsia="宋体" w:hint="default"/>
                <w:sz w:val="21"/>
                <w:szCs w:val="21"/>
              </w:rPr>
            </w:pPr>
            <w:r>
              <w:rPr>
                <w:rFonts w:ascii="宋体" w:hAnsi="宋体" w:cs="宋体" w:eastAsia="宋体" w:hint="default"/>
                <w:sz w:val="21"/>
                <w:szCs w:val="21"/>
              </w:rPr>
              <w:t>定期存款利息</w:t>
            </w:r>
          </w:p>
        </w:tc>
        <w:tc>
          <w:tcPr>
            <w:tcW w:w="29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827" w:right="0"/>
              <w:jc w:val="left"/>
              <w:rPr>
                <w:rFonts w:ascii="Arial Narrow" w:hAnsi="Arial Narrow" w:cs="Arial Narrow" w:eastAsia="Arial Narrow" w:hint="default"/>
                <w:sz w:val="21"/>
                <w:szCs w:val="21"/>
              </w:rPr>
            </w:pPr>
            <w:r>
              <w:rPr>
                <w:rFonts w:ascii="Arial Narrow"/>
                <w:sz w:val="21"/>
              </w:rPr>
              <w:t>6,665,465.63</w:t>
            </w:r>
          </w:p>
        </w:tc>
        <w:tc>
          <w:tcPr>
            <w:tcW w:w="29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9"/>
              <w:jc w:val="right"/>
              <w:rPr>
                <w:rFonts w:ascii="Arial Narrow" w:hAnsi="Arial Narrow" w:cs="Arial Narrow" w:eastAsia="Arial Narrow" w:hint="default"/>
                <w:sz w:val="21"/>
                <w:szCs w:val="21"/>
              </w:rPr>
            </w:pPr>
            <w:r>
              <w:rPr>
                <w:rFonts w:ascii="Arial Narrow"/>
                <w:sz w:val="21"/>
              </w:rPr>
              <w:t>-</w:t>
            </w:r>
          </w:p>
        </w:tc>
      </w:tr>
    </w:tbl>
    <w:p>
      <w:pPr>
        <w:tabs>
          <w:tab w:pos="1479" w:val="left" w:leader="none"/>
        </w:tabs>
        <w:spacing w:before="22"/>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、其他应收款按类别分析列示如下：</w:t>
      </w:r>
    </w:p>
    <w:p>
      <w:pPr>
        <w:spacing w:line="240" w:lineRule="auto" w:before="11"/>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3204"/>
        <w:gridCol w:w="1318"/>
        <w:gridCol w:w="896"/>
        <w:gridCol w:w="1222"/>
        <w:gridCol w:w="811"/>
        <w:gridCol w:w="1393"/>
      </w:tblGrid>
      <w:tr>
        <w:trPr>
          <w:trHeight w:val="412" w:hRule="exact"/>
        </w:trPr>
        <w:tc>
          <w:tcPr>
            <w:tcW w:w="320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8"/>
                <w:szCs w:val="18"/>
              </w:rPr>
            </w:pPr>
          </w:p>
          <w:p>
            <w:pPr>
              <w:pStyle w:val="TableParagraph"/>
              <w:tabs>
                <w:tab w:pos="421"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5640"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412" w:hRule="exact"/>
        </w:trPr>
        <w:tc>
          <w:tcPr>
            <w:tcW w:w="3204" w:type="dxa"/>
            <w:vMerge/>
            <w:tcBorders>
              <w:left w:val="single" w:sz="6" w:space="0" w:color="000000"/>
              <w:right w:val="single" w:sz="6" w:space="0" w:color="000000"/>
            </w:tcBorders>
            <w:shd w:val="clear" w:color="auto" w:fill="C0C0C0"/>
          </w:tcPr>
          <w:p>
            <w:pPr/>
          </w:p>
        </w:tc>
        <w:tc>
          <w:tcPr>
            <w:tcW w:w="221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03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7"/>
              <w:ind w:left="58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3"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59" w:hRule="exact"/>
        </w:trPr>
        <w:tc>
          <w:tcPr>
            <w:tcW w:w="3204" w:type="dxa"/>
            <w:vMerge/>
            <w:tcBorders>
              <w:left w:val="single" w:sz="6" w:space="0" w:color="000000"/>
              <w:bottom w:val="single" w:sz="6" w:space="0" w:color="000000"/>
              <w:right w:val="single" w:sz="6" w:space="0" w:color="000000"/>
            </w:tcBorders>
            <w:shd w:val="clear" w:color="auto" w:fill="C0C0C0"/>
          </w:tcPr>
          <w:p>
            <w:pP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2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1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left="188"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4" w:lineRule="exact"/>
              <w:ind w:left="18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393" w:type="dxa"/>
            <w:vMerge/>
            <w:tcBorders>
              <w:left w:val="single" w:sz="6" w:space="0" w:color="000000"/>
              <w:bottom w:val="single" w:sz="6" w:space="0" w:color="000000"/>
              <w:right w:val="single" w:sz="6" w:space="0" w:color="000000"/>
            </w:tcBorders>
            <w:shd w:val="clear" w:color="auto" w:fill="C0C0C0"/>
          </w:tcPr>
          <w:p>
            <w:pPr/>
          </w:p>
        </w:tc>
      </w:tr>
      <w:tr>
        <w:trPr>
          <w:trHeight w:val="640"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7" w:lineRule="exact"/>
              <w:ind w:left="100" w:right="0"/>
              <w:jc w:val="left"/>
              <w:rPr>
                <w:rFonts w:ascii="宋体" w:hAnsi="宋体" w:cs="宋体" w:eastAsia="宋体" w:hint="default"/>
                <w:sz w:val="24"/>
                <w:szCs w:val="24"/>
              </w:rPr>
            </w:pPr>
            <w:r>
              <w:rPr>
                <w:rFonts w:ascii="宋体" w:hAnsi="宋体" w:cs="宋体" w:eastAsia="宋体" w:hint="default"/>
                <w:sz w:val="24"/>
                <w:szCs w:val="24"/>
              </w:rPr>
              <w:t>单项金额重大并单项计提坏</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99"/>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99"/>
              <w:jc w:val="right"/>
              <w:rPr>
                <w:rFonts w:ascii="Arial Narrow" w:hAnsi="Arial Narrow" w:cs="Arial Narrow" w:eastAsia="Arial Narrow" w:hint="default"/>
                <w:sz w:val="21"/>
                <w:szCs w:val="21"/>
              </w:rPr>
            </w:pPr>
            <w:r>
              <w:rPr>
                <w:rFonts w:ascii="Arial Narrow"/>
                <w:sz w:val="21"/>
              </w:rPr>
              <w:t>-</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99"/>
              <w:jc w:val="right"/>
              <w:rPr>
                <w:rFonts w:ascii="Arial Narrow" w:hAnsi="Arial Narrow" w:cs="Arial Narrow" w:eastAsia="Arial Narrow" w:hint="default"/>
                <w:sz w:val="21"/>
                <w:szCs w:val="21"/>
              </w:rPr>
            </w:pPr>
            <w:r>
              <w:rPr>
                <w:rFonts w:ascii="Arial Narrow"/>
                <w:sz w:val="21"/>
              </w:rPr>
              <w:t>-</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99"/>
              <w:jc w:val="right"/>
              <w:rPr>
                <w:rFonts w:ascii="Arial Narrow" w:hAnsi="Arial Narrow" w:cs="Arial Narrow" w:eastAsia="Arial Narrow" w:hint="default"/>
                <w:sz w:val="21"/>
                <w:szCs w:val="21"/>
              </w:rPr>
            </w:pPr>
            <w:r>
              <w:rPr>
                <w:rFonts w:ascii="Arial Narrow"/>
                <w:sz w:val="21"/>
              </w:rPr>
              <w:t>-</w:t>
            </w:r>
          </w:p>
        </w:tc>
      </w:tr>
      <w:tr>
        <w:trPr>
          <w:trHeight w:val="412"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24,940,908.04</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1,909,444.31</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7.66%</w:t>
            </w:r>
            <w:r>
              <w:rPr>
                <w:rFonts w:ascii="Arial Narrow"/>
                <w:sz w:val="21"/>
              </w:rPr>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23,031,463.73</w:t>
            </w:r>
          </w:p>
        </w:tc>
      </w:tr>
      <w:tr>
        <w:trPr>
          <w:trHeight w:val="413"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3,981,510.12</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15.96%</w:t>
            </w:r>
            <w:r>
              <w:rPr>
                <w:rFonts w:ascii="Arial Narrow"/>
                <w:sz w:val="21"/>
              </w:rPr>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9"/>
              <w:jc w:val="right"/>
              <w:rPr>
                <w:rFonts w:ascii="Arial Narrow" w:hAnsi="Arial Narrow" w:cs="Arial Narrow" w:eastAsia="Arial Narrow" w:hint="default"/>
                <w:sz w:val="21"/>
                <w:szCs w:val="21"/>
              </w:rPr>
            </w:pPr>
            <w:r>
              <w:rPr>
                <w:rFonts w:ascii="Arial Narrow"/>
                <w:sz w:val="21"/>
              </w:rPr>
              <w:t>-</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3,981,510.12</w:t>
            </w:r>
          </w:p>
        </w:tc>
      </w:tr>
      <w:tr>
        <w:trPr>
          <w:trHeight w:val="412"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20,959,397.92</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84.04%</w:t>
            </w:r>
            <w:r>
              <w:rPr>
                <w:rFonts w:ascii="Arial Narrow"/>
                <w:sz w:val="21"/>
              </w:rPr>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1,909,444.31</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3"/>
                <w:sz w:val="21"/>
              </w:rPr>
              <w:t>9.11%</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8"/>
              <w:jc w:val="right"/>
              <w:rPr>
                <w:rFonts w:ascii="Arial Narrow" w:hAnsi="Arial Narrow" w:cs="Arial Narrow" w:eastAsia="Arial Narrow" w:hint="default"/>
                <w:sz w:val="21"/>
                <w:szCs w:val="21"/>
              </w:rPr>
            </w:pPr>
            <w:r>
              <w:rPr>
                <w:rFonts w:ascii="Arial Narrow"/>
                <w:spacing w:val="-1"/>
                <w:sz w:val="21"/>
              </w:rPr>
              <w:t>19,049,953.61</w:t>
            </w:r>
          </w:p>
        </w:tc>
      </w:tr>
      <w:tr>
        <w:trPr>
          <w:trHeight w:val="559"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431"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27"/>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24,940,908.04</w:t>
            </w:r>
          </w:p>
        </w:tc>
        <w:tc>
          <w:tcPr>
            <w:tcW w:w="896"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2"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1,909,444.31</w:t>
            </w:r>
          </w:p>
        </w:tc>
        <w:tc>
          <w:tcPr>
            <w:tcW w:w="811"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75"/>
              <w:ind w:right="96"/>
              <w:jc w:val="right"/>
              <w:rPr>
                <w:rFonts w:ascii="Arial Narrow" w:hAnsi="Arial Narrow" w:cs="Arial Narrow" w:eastAsia="Arial Narrow" w:hint="default"/>
                <w:sz w:val="21"/>
                <w:szCs w:val="21"/>
              </w:rPr>
            </w:pPr>
            <w:r>
              <w:rPr>
                <w:rFonts w:ascii="Arial Narrow"/>
                <w:w w:val="95"/>
                <w:sz w:val="21"/>
              </w:rPr>
              <w:t>7.66%</w:t>
            </w:r>
            <w:r>
              <w:rPr>
                <w:rFonts w:ascii="Arial Narrow"/>
                <w:sz w:val="21"/>
              </w:rPr>
            </w:r>
          </w:p>
        </w:tc>
        <w:tc>
          <w:tcPr>
            <w:tcW w:w="1393"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75"/>
              <w:ind w:right="97"/>
              <w:jc w:val="right"/>
              <w:rPr>
                <w:rFonts w:ascii="Arial Narrow" w:hAnsi="Arial Narrow" w:cs="Arial Narrow" w:eastAsia="Arial Narrow" w:hint="default"/>
                <w:sz w:val="21"/>
                <w:szCs w:val="21"/>
              </w:rPr>
            </w:pPr>
            <w:r>
              <w:rPr>
                <w:rFonts w:ascii="Arial Narrow"/>
                <w:spacing w:val="-1"/>
                <w:sz w:val="21"/>
              </w:rPr>
              <w:t>23,031,463.73</w:t>
            </w:r>
          </w:p>
        </w:tc>
      </w:tr>
      <w:tr>
        <w:trPr>
          <w:trHeight w:val="338" w:hRule="exact"/>
        </w:trPr>
        <w:tc>
          <w:tcPr>
            <w:tcW w:w="3204" w:type="dxa"/>
            <w:vMerge w:val="restart"/>
            <w:tcBorders>
              <w:top w:val="single" w:sz="6" w:space="0" w:color="000000"/>
              <w:left w:val="single" w:sz="6" w:space="0" w:color="000000"/>
              <w:right w:val="single" w:sz="6" w:space="0" w:color="000000"/>
            </w:tcBorders>
            <w:shd w:val="clear" w:color="auto" w:fill="C0C0C0"/>
          </w:tcPr>
          <w:p>
            <w:pPr>
              <w:pStyle w:val="TableParagraph"/>
              <w:tabs>
                <w:tab w:pos="479" w:val="left" w:leader="none"/>
              </w:tabs>
              <w:spacing w:line="266" w:lineRule="exact"/>
              <w:ind w:right="0"/>
              <w:jc w:val="center"/>
              <w:rPr>
                <w:rFonts w:ascii="宋体" w:hAnsi="宋体" w:cs="宋体" w:eastAsia="宋体" w:hint="default"/>
                <w:sz w:val="24"/>
                <w:szCs w:val="24"/>
              </w:rPr>
            </w:pPr>
            <w:r>
              <w:rPr>
                <w:rFonts w:ascii="宋体" w:hAnsi="宋体" w:cs="宋体" w:eastAsia="宋体" w:hint="default"/>
                <w:sz w:val="24"/>
                <w:szCs w:val="24"/>
              </w:rPr>
              <w:t>类</w:t>
              <w:tab/>
              <w:t>别</w:t>
            </w:r>
          </w:p>
        </w:tc>
        <w:tc>
          <w:tcPr>
            <w:tcW w:w="5640"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37" w:hRule="exact"/>
        </w:trPr>
        <w:tc>
          <w:tcPr>
            <w:tcW w:w="3204" w:type="dxa"/>
            <w:vMerge/>
            <w:tcBorders>
              <w:left w:val="single" w:sz="6" w:space="0" w:color="000000"/>
              <w:bottom w:val="single" w:sz="6" w:space="0" w:color="000000"/>
              <w:right w:val="single" w:sz="6" w:space="0" w:color="000000"/>
            </w:tcBorders>
            <w:shd w:val="clear" w:color="auto" w:fill="C0C0C0"/>
          </w:tcPr>
          <w:p>
            <w:pPr/>
          </w:p>
        </w:tc>
        <w:tc>
          <w:tcPr>
            <w:tcW w:w="221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03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58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4" w:lineRule="exact"/>
              <w:ind w:right="1"/>
              <w:jc w:val="center"/>
              <w:rPr>
                <w:rFonts w:ascii="宋体" w:hAnsi="宋体" w:cs="宋体" w:eastAsia="宋体" w:hint="default"/>
                <w:sz w:val="21"/>
                <w:szCs w:val="21"/>
              </w:rPr>
            </w:pPr>
            <w:r>
              <w:rPr>
                <w:rFonts w:ascii="宋体" w:hAnsi="宋体" w:cs="宋体" w:eastAsia="宋体" w:hint="default"/>
                <w:sz w:val="21"/>
                <w:szCs w:val="21"/>
              </w:rPr>
              <w:t>净额</w:t>
            </w:r>
          </w:p>
        </w:tc>
      </w:tr>
    </w:tbl>
    <w:p>
      <w:pPr>
        <w:spacing w:after="0" w:line="264" w:lineRule="exact"/>
        <w:jc w:val="center"/>
        <w:rPr>
          <w:rFonts w:ascii="宋体" w:hAnsi="宋体" w:cs="宋体" w:eastAsia="宋体" w:hint="default"/>
          <w:sz w:val="21"/>
          <w:szCs w:val="21"/>
        </w:rPr>
        <w:sectPr>
          <w:footerReference w:type="default" r:id="rId69"/>
          <w:pgSz w:w="12240" w:h="15840"/>
          <w:pgMar w:footer="688" w:header="0" w:top="1360" w:bottom="880" w:left="1580" w:right="1580"/>
          <w:pgNumType w:start="120"/>
        </w:sectPr>
      </w:pPr>
    </w:p>
    <w:p>
      <w:pPr>
        <w:spacing w:line="240" w:lineRule="auto" w:before="2"/>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204"/>
        <w:gridCol w:w="1318"/>
        <w:gridCol w:w="896"/>
        <w:gridCol w:w="1232"/>
        <w:gridCol w:w="800"/>
        <w:gridCol w:w="1393"/>
      </w:tblGrid>
      <w:tr>
        <w:trPr>
          <w:trHeight w:val="559" w:hRule="exact"/>
        </w:trPr>
        <w:tc>
          <w:tcPr>
            <w:tcW w:w="3204" w:type="dxa"/>
            <w:tcBorders>
              <w:top w:val="single" w:sz="6" w:space="0" w:color="000000"/>
              <w:left w:val="single" w:sz="6" w:space="0" w:color="000000"/>
              <w:bottom w:val="single" w:sz="6" w:space="0" w:color="000000"/>
              <w:right w:val="single" w:sz="6" w:space="0" w:color="000000"/>
            </w:tcBorders>
            <w:shd w:val="clear" w:color="auto" w:fill="C0C0C0"/>
          </w:tcPr>
          <w:p>
            <w:pP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23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0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left="183"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4" w:lineRule="exact"/>
              <w:ind w:left="183"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393" w:type="dxa"/>
            <w:tcBorders>
              <w:top w:val="single" w:sz="6" w:space="0" w:color="000000"/>
              <w:left w:val="single" w:sz="6" w:space="0" w:color="000000"/>
              <w:bottom w:val="single" w:sz="6" w:space="0" w:color="000000"/>
              <w:right w:val="single" w:sz="6" w:space="0" w:color="000000"/>
            </w:tcBorders>
            <w:shd w:val="clear" w:color="auto" w:fill="C0C0C0"/>
          </w:tcPr>
          <w:p>
            <w:pPr/>
          </w:p>
        </w:tc>
      </w:tr>
      <w:tr>
        <w:trPr>
          <w:trHeight w:val="640"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单项金额重大并单项计提坏</w:t>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5,716,060.18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640,003.79</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3"/>
              <w:jc w:val="right"/>
              <w:rPr>
                <w:rFonts w:ascii="Arial Narrow" w:hAnsi="Arial Narrow" w:cs="Arial Narrow" w:eastAsia="Arial Narrow" w:hint="default"/>
                <w:sz w:val="21"/>
                <w:szCs w:val="21"/>
              </w:rPr>
            </w:pPr>
            <w:r>
              <w:rPr>
                <w:rFonts w:ascii="Arial Narrow"/>
                <w:spacing w:val="-3"/>
                <w:sz w:val="21"/>
              </w:rPr>
              <w:t>11.20%</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5,076,056.39</w:t>
            </w:r>
          </w:p>
        </w:tc>
      </w:tr>
      <w:tr>
        <w:trPr>
          <w:trHeight w:val="355"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2,241,812.48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45"/>
              <w:jc w:val="right"/>
              <w:rPr>
                <w:rFonts w:ascii="Arial Narrow" w:hAnsi="Arial Narrow" w:cs="Arial Narrow" w:eastAsia="Arial Narrow" w:hint="default"/>
                <w:sz w:val="21"/>
                <w:szCs w:val="21"/>
              </w:rPr>
            </w:pPr>
            <w:r>
              <w:rPr>
                <w:rFonts w:ascii="Arial Narrow"/>
                <w:w w:val="95"/>
                <w:sz w:val="21"/>
              </w:rPr>
              <w:t>39.22%</w:t>
            </w:r>
            <w:r>
              <w:rPr>
                <w:rFonts w:ascii="Arial Narrow"/>
                <w:sz w:val="21"/>
              </w:rPr>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2,241,812.48</w:t>
            </w:r>
          </w:p>
        </w:tc>
      </w:tr>
      <w:tr>
        <w:trPr>
          <w:trHeight w:val="354"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3,474,247.70</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45"/>
              <w:jc w:val="right"/>
              <w:rPr>
                <w:rFonts w:ascii="Arial Narrow" w:hAnsi="Arial Narrow" w:cs="Arial Narrow" w:eastAsia="Arial Narrow" w:hint="default"/>
                <w:sz w:val="21"/>
                <w:szCs w:val="21"/>
              </w:rPr>
            </w:pPr>
            <w:r>
              <w:rPr>
                <w:rFonts w:ascii="Arial Narrow"/>
                <w:w w:val="95"/>
                <w:sz w:val="21"/>
              </w:rPr>
              <w:t>60.78%</w:t>
            </w:r>
            <w:r>
              <w:rPr>
                <w:rFonts w:ascii="Arial Narrow"/>
                <w:sz w:val="21"/>
              </w:rPr>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640,003.79</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18.42%</w:t>
            </w:r>
            <w:r>
              <w:rPr>
                <w:rFonts w:ascii="Arial Narrow"/>
                <w:sz w:val="21"/>
              </w:rPr>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2,834,243.91</w:t>
            </w:r>
          </w:p>
        </w:tc>
      </w:tr>
      <w:tr>
        <w:trPr>
          <w:trHeight w:val="560"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5,716,060.18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20" w:right="0"/>
              <w:jc w:val="left"/>
              <w:rPr>
                <w:rFonts w:ascii="Arial Narrow" w:hAnsi="Arial Narrow" w:cs="Arial Narrow" w:eastAsia="Arial Narrow" w:hint="default"/>
                <w:sz w:val="21"/>
                <w:szCs w:val="21"/>
              </w:rPr>
            </w:pPr>
            <w:r>
              <w:rPr>
                <w:rFonts w:ascii="Arial Narrow"/>
                <w:sz w:val="21"/>
              </w:rPr>
              <w:t>100%</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640,003.79</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3"/>
              <w:jc w:val="right"/>
              <w:rPr>
                <w:rFonts w:ascii="Arial Narrow" w:hAnsi="Arial Narrow" w:cs="Arial Narrow" w:eastAsia="Arial Narrow" w:hint="default"/>
                <w:sz w:val="21"/>
                <w:szCs w:val="21"/>
              </w:rPr>
            </w:pPr>
            <w:r>
              <w:rPr>
                <w:rFonts w:ascii="Arial Narrow"/>
                <w:spacing w:val="-3"/>
                <w:sz w:val="21"/>
              </w:rPr>
              <w:t>11.20%</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5,076,056.39</w:t>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组合中，按账龄分析法计提坏账准备的其他应收款：</w:t>
      </w:r>
    </w:p>
    <w:p>
      <w:pPr>
        <w:spacing w:line="240" w:lineRule="auto" w:before="3"/>
        <w:rPr>
          <w:rFonts w:ascii="宋体" w:hAnsi="宋体" w:cs="宋体" w:eastAsia="宋体"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1969"/>
        <w:gridCol w:w="1907"/>
        <w:gridCol w:w="1318"/>
        <w:gridCol w:w="1744"/>
        <w:gridCol w:w="1907"/>
      </w:tblGrid>
      <w:tr>
        <w:trPr>
          <w:trHeight w:val="338"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51"/>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right="1"/>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13"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9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79"/>
              <w:ind w:right="97"/>
              <w:jc w:val="right"/>
              <w:rPr>
                <w:rFonts w:ascii="Arial Narrow" w:hAnsi="Arial Narrow" w:cs="Arial Narrow" w:eastAsia="Arial Narrow" w:hint="default"/>
                <w:sz w:val="21"/>
                <w:szCs w:val="21"/>
              </w:rPr>
            </w:pPr>
            <w:r>
              <w:rPr>
                <w:rFonts w:ascii="Arial Narrow"/>
                <w:spacing w:val="-1"/>
                <w:sz w:val="21"/>
              </w:rPr>
              <w:t>18,520,603.62</w:t>
            </w:r>
          </w:p>
        </w:tc>
        <w:tc>
          <w:tcPr>
            <w:tcW w:w="131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79"/>
              <w:ind w:right="96"/>
              <w:jc w:val="right"/>
              <w:rPr>
                <w:rFonts w:ascii="Arial Narrow" w:hAnsi="Arial Narrow" w:cs="Arial Narrow" w:eastAsia="Arial Narrow" w:hint="default"/>
                <w:sz w:val="21"/>
                <w:szCs w:val="21"/>
              </w:rPr>
            </w:pPr>
            <w:r>
              <w:rPr>
                <w:rFonts w:ascii="Arial Narrow"/>
                <w:w w:val="95"/>
                <w:sz w:val="21"/>
              </w:rPr>
              <w:t>88.36%</w:t>
            </w:r>
            <w:r>
              <w:rPr>
                <w:rFonts w:ascii="Arial Narrow"/>
                <w:sz w:val="21"/>
              </w:rPr>
            </w:r>
          </w:p>
        </w:tc>
        <w:tc>
          <w:tcPr>
            <w:tcW w:w="1744"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79"/>
              <w:ind w:right="98"/>
              <w:jc w:val="right"/>
              <w:rPr>
                <w:rFonts w:ascii="Arial Narrow" w:hAnsi="Arial Narrow" w:cs="Arial Narrow" w:eastAsia="Arial Narrow" w:hint="default"/>
                <w:sz w:val="21"/>
                <w:szCs w:val="21"/>
              </w:rPr>
            </w:pPr>
            <w:r>
              <w:rPr>
                <w:rFonts w:ascii="Arial Narrow"/>
                <w:spacing w:val="-1"/>
                <w:sz w:val="21"/>
              </w:rPr>
              <w:t>926,030.18</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79"/>
              <w:ind w:right="97"/>
              <w:jc w:val="right"/>
              <w:rPr>
                <w:rFonts w:ascii="Arial Narrow" w:hAnsi="Arial Narrow" w:cs="Arial Narrow" w:eastAsia="Arial Narrow" w:hint="default"/>
                <w:sz w:val="21"/>
                <w:szCs w:val="21"/>
              </w:rPr>
            </w:pPr>
            <w:r>
              <w:rPr>
                <w:rFonts w:ascii="Arial Narrow"/>
                <w:spacing w:val="-1"/>
                <w:sz w:val="21"/>
              </w:rPr>
              <w:t>17,594,573.44</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1,435,241.30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6.85%</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143,524.13</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1,291,717.17</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327,326.00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1.56%</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163,663.00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163,663.00</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676,227.00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3.23%</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676,227.00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79"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20,959,397.92</w:t>
            </w:r>
          </w:p>
        </w:tc>
        <w:tc>
          <w:tcPr>
            <w:tcW w:w="1318"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1,909,444.31</w:t>
            </w:r>
          </w:p>
        </w:tc>
        <w:tc>
          <w:tcPr>
            <w:tcW w:w="1907" w:type="dxa"/>
            <w:tcBorders>
              <w:top w:val="single" w:sz="6" w:space="0" w:color="000000"/>
              <w:left w:val="single" w:sz="6" w:space="0" w:color="000000"/>
              <w:bottom w:val="single" w:sz="20" w:space="0" w:color="C0C0C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19,049,953.61</w:t>
            </w:r>
          </w:p>
        </w:tc>
      </w:tr>
      <w:tr>
        <w:trPr>
          <w:trHeight w:val="330"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43"/>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9" w:lineRule="exact"/>
              <w:ind w:right="1"/>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14"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9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1"/>
                <w:sz w:val="21"/>
              </w:rPr>
              <w:t>2,342,269.80</w:t>
            </w:r>
          </w:p>
        </w:tc>
        <w:tc>
          <w:tcPr>
            <w:tcW w:w="1318"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6"/>
              <w:jc w:val="right"/>
              <w:rPr>
                <w:rFonts w:ascii="Arial Narrow" w:hAnsi="Arial Narrow" w:cs="Arial Narrow" w:eastAsia="Arial Narrow" w:hint="default"/>
                <w:sz w:val="21"/>
                <w:szCs w:val="21"/>
              </w:rPr>
            </w:pPr>
            <w:r>
              <w:rPr>
                <w:rFonts w:ascii="Arial Narrow"/>
                <w:w w:val="95"/>
                <w:sz w:val="21"/>
              </w:rPr>
              <w:t>67.42%</w:t>
            </w:r>
            <w:r>
              <w:rPr>
                <w:rFonts w:ascii="Arial Narrow"/>
                <w:sz w:val="21"/>
              </w:rPr>
            </w:r>
          </w:p>
        </w:tc>
        <w:tc>
          <w:tcPr>
            <w:tcW w:w="1744"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3"/>
                <w:sz w:val="21"/>
              </w:rPr>
              <w:t>117,113.49</w:t>
            </w:r>
          </w:p>
        </w:tc>
        <w:tc>
          <w:tcPr>
            <w:tcW w:w="1907"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1"/>
                <w:sz w:val="21"/>
              </w:rPr>
              <w:t>2,225,156.31</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405,750.90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spacing w:val="-3"/>
                <w:sz w:val="21"/>
              </w:rPr>
              <w:t>11.68%</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40,575.09</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365,175.81</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487,823.58</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14.04%</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243,911.79</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243,911.79</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238,403.42</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6.86%</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238,403.42</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3,474,247.70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640,003.79</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2,834,243.91</w:t>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、其他应收款前五名列示如下：</w:t>
      </w:r>
    </w:p>
    <w:p>
      <w:pPr>
        <w:spacing w:line="240" w:lineRule="auto" w:before="11"/>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2410"/>
        <w:gridCol w:w="1434"/>
        <w:gridCol w:w="1158"/>
        <w:gridCol w:w="1319"/>
        <w:gridCol w:w="973"/>
        <w:gridCol w:w="1550"/>
      </w:tblGrid>
      <w:tr>
        <w:trPr>
          <w:trHeight w:val="833" w:hRule="exact"/>
        </w:trPr>
        <w:tc>
          <w:tcPr>
            <w:tcW w:w="241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77"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43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89" w:right="0"/>
              <w:jc w:val="left"/>
              <w:rPr>
                <w:rFonts w:ascii="宋体" w:hAnsi="宋体" w:cs="宋体" w:eastAsia="宋体" w:hint="default"/>
                <w:sz w:val="21"/>
                <w:szCs w:val="21"/>
              </w:rPr>
            </w:pPr>
            <w:r>
              <w:rPr>
                <w:rFonts w:ascii="宋体" w:hAnsi="宋体" w:cs="宋体" w:eastAsia="宋体" w:hint="default"/>
                <w:sz w:val="21"/>
                <w:szCs w:val="21"/>
              </w:rPr>
              <w:t>款项内容</w:t>
            </w:r>
          </w:p>
        </w:tc>
        <w:tc>
          <w:tcPr>
            <w:tcW w:w="115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9"/>
              <w:ind w:left="362" w:right="149" w:hanging="210"/>
              <w:jc w:val="left"/>
              <w:rPr>
                <w:rFonts w:ascii="宋体" w:hAnsi="宋体" w:cs="宋体" w:eastAsia="宋体" w:hint="default"/>
                <w:sz w:val="21"/>
                <w:szCs w:val="21"/>
              </w:rPr>
            </w:pPr>
            <w:r>
              <w:rPr>
                <w:rFonts w:ascii="宋体" w:hAnsi="宋体" w:cs="宋体" w:eastAsia="宋体" w:hint="default"/>
                <w:sz w:val="21"/>
                <w:szCs w:val="21"/>
              </w:rPr>
              <w:t>与本公司 关系</w:t>
            </w:r>
          </w:p>
        </w:tc>
        <w:tc>
          <w:tcPr>
            <w:tcW w:w="13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9"/>
              <w:ind w:left="545" w:right="126" w:hanging="420"/>
              <w:jc w:val="left"/>
              <w:rPr>
                <w:rFonts w:ascii="宋体" w:hAnsi="宋体" w:cs="宋体" w:eastAsia="宋体" w:hint="default"/>
                <w:sz w:val="21"/>
                <w:szCs w:val="21"/>
              </w:rPr>
            </w:pPr>
            <w:r>
              <w:rPr>
                <w:rFonts w:ascii="宋体" w:hAnsi="宋体" w:cs="宋体" w:eastAsia="宋体" w:hint="default"/>
                <w:sz w:val="21"/>
                <w:szCs w:val="21"/>
              </w:rPr>
              <w:t>年末账面余 额</w:t>
            </w:r>
          </w:p>
        </w:tc>
        <w:tc>
          <w:tcPr>
            <w:tcW w:w="97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账龄</w:t>
            </w:r>
          </w:p>
        </w:tc>
        <w:tc>
          <w:tcPr>
            <w:tcW w:w="155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占其他应收款</w:t>
            </w:r>
          </w:p>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总额的比例</w:t>
            </w:r>
          </w:p>
          <w:p>
            <w:pPr>
              <w:pStyle w:val="TableParagraph"/>
              <w:spacing w:line="288"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w:t>
            </w:r>
          </w:p>
        </w:tc>
      </w:tr>
      <w:tr>
        <w:trPr>
          <w:trHeight w:val="559"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厦门火炬集团</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购房意向保</w:t>
            </w:r>
            <w:r>
              <w:rPr>
                <w:rFonts w:ascii="宋体" w:hAnsi="宋体" w:cs="宋体" w:eastAsia="宋体" w:hint="default"/>
                <w:spacing w:val="-63"/>
                <w:sz w:val="21"/>
                <w:szCs w:val="21"/>
              </w:rPr>
              <w:t> </w:t>
            </w:r>
            <w:r>
              <w:rPr>
                <w:rFonts w:ascii="宋体" w:hAnsi="宋体" w:cs="宋体" w:eastAsia="宋体" w:hint="default"/>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证金</w:t>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10,000,000.00</w:t>
            </w:r>
          </w:p>
        </w:tc>
        <w:tc>
          <w:tcPr>
            <w:tcW w:w="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年以内</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5"/>
              <w:jc w:val="right"/>
              <w:rPr>
                <w:rFonts w:ascii="Arial Narrow" w:hAnsi="Arial Narrow" w:cs="Arial Narrow" w:eastAsia="Arial Narrow" w:hint="default"/>
                <w:sz w:val="21"/>
                <w:szCs w:val="21"/>
              </w:rPr>
            </w:pPr>
            <w:r>
              <w:rPr>
                <w:rFonts w:ascii="Arial Narrow"/>
                <w:w w:val="95"/>
                <w:sz w:val="21"/>
              </w:rPr>
              <w:t>40.09%</w:t>
            </w:r>
            <w:r>
              <w:rPr>
                <w:rFonts w:ascii="Arial Narrow"/>
                <w:sz w:val="21"/>
              </w:rPr>
            </w:r>
          </w:p>
        </w:tc>
      </w:tr>
      <w:tr>
        <w:trPr>
          <w:trHeight w:val="559"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厦门市国税局直属局</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应收增值税</w:t>
            </w:r>
            <w:r>
              <w:rPr>
                <w:rFonts w:ascii="宋体" w:hAnsi="宋体" w:cs="宋体" w:eastAsia="宋体" w:hint="default"/>
                <w:spacing w:val="-63"/>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退税款</w:t>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pacing w:val="-2"/>
                <w:sz w:val="21"/>
              </w:rPr>
              <w:t>3,309,011.60</w:t>
            </w:r>
          </w:p>
        </w:tc>
        <w:tc>
          <w:tcPr>
            <w:tcW w:w="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年以内</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5"/>
              <w:jc w:val="right"/>
              <w:rPr>
                <w:rFonts w:ascii="Arial Narrow" w:hAnsi="Arial Narrow" w:cs="Arial Narrow" w:eastAsia="Arial Narrow" w:hint="default"/>
                <w:sz w:val="21"/>
                <w:szCs w:val="21"/>
              </w:rPr>
            </w:pPr>
            <w:r>
              <w:rPr>
                <w:rFonts w:ascii="Arial Narrow"/>
                <w:w w:val="95"/>
                <w:sz w:val="21"/>
              </w:rPr>
              <w:t>13.27%</w:t>
            </w:r>
            <w:r>
              <w:rPr>
                <w:rFonts w:ascii="Arial Narrow"/>
                <w:sz w:val="21"/>
              </w:rPr>
            </w:r>
          </w:p>
        </w:tc>
      </w:tr>
      <w:tr>
        <w:trPr>
          <w:trHeight w:val="355"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云南省公安厅</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1,000,000.00</w:t>
            </w:r>
          </w:p>
        </w:tc>
        <w:tc>
          <w:tcPr>
            <w:tcW w:w="973"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年以内</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5"/>
              <w:jc w:val="right"/>
              <w:rPr>
                <w:rFonts w:ascii="Arial Narrow" w:hAnsi="Arial Narrow" w:cs="Arial Narrow" w:eastAsia="Arial Narrow" w:hint="default"/>
                <w:sz w:val="21"/>
                <w:szCs w:val="21"/>
              </w:rPr>
            </w:pPr>
            <w:r>
              <w:rPr>
                <w:rFonts w:ascii="Arial Narrow"/>
                <w:w w:val="95"/>
                <w:sz w:val="21"/>
              </w:rPr>
              <w:t>4.01%</w:t>
            </w:r>
            <w:r>
              <w:rPr>
                <w:rFonts w:ascii="Arial Narrow"/>
                <w:sz w:val="21"/>
              </w:rPr>
            </w:r>
          </w:p>
        </w:tc>
      </w:tr>
      <w:tr>
        <w:trPr>
          <w:trHeight w:val="355"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广西省公安厅</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1,000,000.00</w:t>
            </w:r>
          </w:p>
        </w:tc>
        <w:tc>
          <w:tcPr>
            <w:tcW w:w="973"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年以内</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5"/>
              <w:jc w:val="right"/>
              <w:rPr>
                <w:rFonts w:ascii="Arial Narrow" w:hAnsi="Arial Narrow" w:cs="Arial Narrow" w:eastAsia="Arial Narrow" w:hint="default"/>
                <w:sz w:val="21"/>
                <w:szCs w:val="21"/>
              </w:rPr>
            </w:pPr>
            <w:r>
              <w:rPr>
                <w:rFonts w:ascii="Arial Narrow"/>
                <w:w w:val="95"/>
                <w:sz w:val="21"/>
              </w:rPr>
              <w:t>4.01%</w:t>
            </w:r>
            <w:r>
              <w:rPr>
                <w:rFonts w:ascii="Arial Narrow"/>
                <w:sz w:val="21"/>
              </w:rPr>
            </w:r>
          </w:p>
        </w:tc>
      </w:tr>
      <w:tr>
        <w:trPr>
          <w:trHeight w:val="355"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浙江省嘉兴市公安局</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640,000.00</w:t>
            </w:r>
          </w:p>
        </w:tc>
        <w:tc>
          <w:tcPr>
            <w:tcW w:w="973"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17"/>
                <w:sz w:val="21"/>
                <w:szCs w:val="21"/>
              </w:rPr>
              <w:t> </w:t>
            </w:r>
            <w:r>
              <w:rPr>
                <w:rFonts w:ascii="宋体" w:hAnsi="宋体" w:cs="宋体" w:eastAsia="宋体" w:hint="default"/>
                <w:sz w:val="21"/>
                <w:szCs w:val="21"/>
              </w:rPr>
              <w:t>年以内</w:t>
            </w: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5"/>
              <w:jc w:val="right"/>
              <w:rPr>
                <w:rFonts w:ascii="Arial Narrow" w:hAnsi="Arial Narrow" w:cs="Arial Narrow" w:eastAsia="Arial Narrow" w:hint="default"/>
                <w:sz w:val="21"/>
                <w:szCs w:val="21"/>
              </w:rPr>
            </w:pPr>
            <w:r>
              <w:rPr>
                <w:rFonts w:ascii="Arial Narrow"/>
                <w:w w:val="95"/>
                <w:sz w:val="21"/>
              </w:rPr>
              <w:t>2.57%</w:t>
            </w:r>
            <w:r>
              <w:rPr>
                <w:rFonts w:ascii="Arial Narrow"/>
                <w:sz w:val="21"/>
              </w:rPr>
            </w:r>
          </w:p>
        </w:tc>
      </w:tr>
      <w:tr>
        <w:trPr>
          <w:trHeight w:val="354"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34" w:type="dxa"/>
            <w:tcBorders>
              <w:top w:val="single" w:sz="6" w:space="0" w:color="000000"/>
              <w:left w:val="single" w:sz="6" w:space="0" w:color="000000"/>
              <w:bottom w:val="single" w:sz="6" w:space="0" w:color="000000"/>
              <w:right w:val="single" w:sz="6" w:space="0" w:color="000000"/>
            </w:tcBorders>
          </w:tcPr>
          <w:p>
            <w:pPr/>
          </w:p>
        </w:tc>
        <w:tc>
          <w:tcPr>
            <w:tcW w:w="1158"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15,949,011.60</w:t>
            </w:r>
          </w:p>
        </w:tc>
        <w:tc>
          <w:tcPr>
            <w:tcW w:w="973" w:type="dxa"/>
            <w:tcBorders>
              <w:top w:val="single" w:sz="6" w:space="0" w:color="000000"/>
              <w:left w:val="single" w:sz="6" w:space="0" w:color="000000"/>
              <w:bottom w:val="single" w:sz="6" w:space="0" w:color="000000"/>
              <w:right w:val="single" w:sz="6" w:space="0" w:color="000000"/>
            </w:tcBorders>
          </w:tcPr>
          <w:p>
            <w:pPr/>
          </w:p>
        </w:tc>
        <w:tc>
          <w:tcPr>
            <w:tcW w:w="15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5"/>
              <w:jc w:val="right"/>
              <w:rPr>
                <w:rFonts w:ascii="Arial Narrow" w:hAnsi="Arial Narrow" w:cs="Arial Narrow" w:eastAsia="Arial Narrow" w:hint="default"/>
                <w:sz w:val="21"/>
                <w:szCs w:val="21"/>
              </w:rPr>
            </w:pPr>
            <w:r>
              <w:rPr>
                <w:rFonts w:ascii="Arial Narrow"/>
                <w:w w:val="95"/>
                <w:sz w:val="21"/>
              </w:rPr>
              <w:t>63.95%</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80"/>
        </w:sectPr>
      </w:pPr>
    </w:p>
    <w:p>
      <w:pPr>
        <w:spacing w:line="316" w:lineRule="auto" w:before="24"/>
        <w:ind w:left="219" w:right="218" w:firstLine="420"/>
        <w:jc w:val="left"/>
        <w:rPr>
          <w:rFonts w:ascii="宋体" w:hAnsi="宋体" w:cs="宋体" w:eastAsia="宋体" w:hint="default"/>
          <w:sz w:val="21"/>
          <w:szCs w:val="21"/>
        </w:rPr>
      </w:pPr>
      <w:r>
        <w:rPr>
          <w:rFonts w:ascii="Arial Narrow" w:hAnsi="Arial Narrow" w:cs="Arial Narrow" w:eastAsia="Arial Narrow" w:hint="default"/>
          <w:spacing w:val="-4"/>
          <w:sz w:val="21"/>
          <w:szCs w:val="21"/>
        </w:rPr>
        <w:t>3</w:t>
      </w:r>
      <w:r>
        <w:rPr>
          <w:rFonts w:ascii="宋体" w:hAnsi="宋体" w:cs="宋体" w:eastAsia="宋体" w:hint="default"/>
          <w:spacing w:val="-4"/>
          <w:sz w:val="21"/>
          <w:szCs w:val="21"/>
        </w:rPr>
        <w:t>、截至</w:t>
      </w:r>
      <w:r>
        <w:rPr>
          <w:rFonts w:ascii="宋体" w:hAnsi="宋体" w:cs="宋体" w:eastAsia="宋体" w:hint="default"/>
          <w:spacing w:val="-57"/>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日止，其他应收款余额中无持有本公司</w:t>
      </w:r>
      <w:r>
        <w:rPr>
          <w:rFonts w:ascii="宋体" w:hAnsi="宋体" w:cs="宋体" w:eastAsia="宋体" w:hint="default"/>
          <w:spacing w:val="-57"/>
          <w:sz w:val="21"/>
          <w:szCs w:val="21"/>
        </w:rPr>
        <w:t> </w:t>
      </w:r>
      <w:r>
        <w:rPr>
          <w:rFonts w:ascii="Arial Narrow" w:hAnsi="Arial Narrow" w:cs="Arial Narrow" w:eastAsia="Arial Narrow" w:hint="default"/>
          <w:spacing w:val="-5"/>
          <w:sz w:val="21"/>
          <w:szCs w:val="21"/>
        </w:rPr>
        <w:t>5%</w:t>
      </w:r>
      <w:r>
        <w:rPr>
          <w:rFonts w:ascii="宋体" w:hAnsi="宋体" w:cs="宋体" w:eastAsia="宋体" w:hint="default"/>
          <w:spacing w:val="-5"/>
          <w:sz w:val="21"/>
          <w:szCs w:val="21"/>
        </w:rPr>
        <w:t>（含</w:t>
      </w:r>
      <w:r>
        <w:rPr>
          <w:rFonts w:ascii="宋体" w:hAnsi="宋体" w:cs="宋体" w:eastAsia="宋体" w:hint="default"/>
          <w:spacing w:val="-57"/>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 份的股东单位及关联方欠款。</w:t>
      </w:r>
    </w:p>
    <w:p>
      <w:pPr>
        <w:spacing w:line="316" w:lineRule="auto" w:before="158"/>
        <w:ind w:left="219" w:right="203" w:firstLine="42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、年末其他应收款余额较年初增加</w:t>
      </w:r>
      <w:r>
        <w:rPr>
          <w:rFonts w:ascii="宋体" w:hAnsi="宋体" w:cs="宋体" w:eastAsia="宋体" w:hint="default"/>
          <w:spacing w:val="-13"/>
          <w:sz w:val="21"/>
          <w:szCs w:val="21"/>
        </w:rPr>
        <w:t> </w:t>
      </w:r>
      <w:r>
        <w:rPr>
          <w:rFonts w:ascii="Arial Narrow" w:hAnsi="Arial Narrow" w:cs="Arial Narrow" w:eastAsia="Arial Narrow" w:hint="default"/>
          <w:sz w:val="21"/>
          <w:szCs w:val="21"/>
        </w:rPr>
        <w:t>336.33%</w:t>
      </w:r>
      <w:r>
        <w:rPr>
          <w:rFonts w:ascii="宋体" w:hAnsi="宋体" w:cs="宋体" w:eastAsia="宋体" w:hint="default"/>
          <w:sz w:val="21"/>
          <w:szCs w:val="21"/>
        </w:rPr>
        <w:t>，主要系新增应收厦门火炬集团购房意向保证 金</w:t>
      </w:r>
      <w:r>
        <w:rPr>
          <w:rFonts w:ascii="宋体" w:hAnsi="宋体" w:cs="宋体" w:eastAsia="宋体" w:hint="default"/>
          <w:spacing w:val="-54"/>
          <w:sz w:val="21"/>
          <w:szCs w:val="21"/>
        </w:rPr>
        <w:t> </w:t>
      </w:r>
      <w:r>
        <w:rPr>
          <w:rFonts w:ascii="Arial Narrow" w:hAnsi="Arial Narrow" w:cs="Arial Narrow" w:eastAsia="Arial Narrow" w:hint="default"/>
          <w:sz w:val="21"/>
          <w:szCs w:val="21"/>
        </w:rPr>
        <w:t>1,000</w:t>
      </w:r>
      <w:r>
        <w:rPr>
          <w:rFonts w:ascii="Arial Narrow" w:hAnsi="Arial Narrow" w:cs="Arial Narrow" w:eastAsia="Arial Narrow" w:hint="default"/>
          <w:spacing w:val="3"/>
          <w:sz w:val="21"/>
          <w:szCs w:val="21"/>
        </w:rPr>
        <w:t> </w:t>
      </w:r>
      <w:r>
        <w:rPr>
          <w:rFonts w:ascii="宋体" w:hAnsi="宋体" w:cs="宋体" w:eastAsia="宋体" w:hint="default"/>
          <w:sz w:val="21"/>
          <w:szCs w:val="21"/>
        </w:rPr>
        <w:t>万元及由于经营规模扩大相应的质保金、投标保证金及履约保证金增加所致。</w:t>
      </w:r>
    </w:p>
    <w:p>
      <w:pPr>
        <w:tabs>
          <w:tab w:pos="1479" w:val="left" w:leader="none"/>
        </w:tabs>
        <w:spacing w:before="137"/>
        <w:ind w:left="639" w:right="180" w:firstLine="0"/>
        <w:jc w:val="left"/>
        <w:rPr>
          <w:rFonts w:ascii="宋体" w:hAnsi="宋体" w:cs="宋体" w:eastAsia="宋体" w:hint="default"/>
          <w:sz w:val="21"/>
          <w:szCs w:val="21"/>
        </w:rPr>
      </w:pPr>
      <w:r>
        <w:rPr>
          <w:rFonts w:ascii="宋体" w:hAnsi="宋体" w:cs="宋体" w:eastAsia="宋体" w:hint="default"/>
          <w:b/>
          <w:bCs/>
          <w:w w:val="95"/>
          <w:sz w:val="21"/>
          <w:szCs w:val="21"/>
        </w:rPr>
        <w:t>（六）</w:t>
        <w:tab/>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5"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存货分类列示如下：</w:t>
      </w:r>
    </w:p>
    <w:p>
      <w:pPr>
        <w:spacing w:line="240" w:lineRule="auto" w:before="12"/>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1702"/>
        <w:gridCol w:w="1319"/>
        <w:gridCol w:w="935"/>
        <w:gridCol w:w="1318"/>
        <w:gridCol w:w="1319"/>
        <w:gridCol w:w="935"/>
        <w:gridCol w:w="1318"/>
      </w:tblGrid>
      <w:tr>
        <w:trPr>
          <w:trHeight w:val="355" w:hRule="exact"/>
        </w:trPr>
        <w:tc>
          <w:tcPr>
            <w:tcW w:w="1702"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0"/>
              <w:ind w:right="0"/>
              <w:jc w:val="left"/>
              <w:rPr>
                <w:rFonts w:ascii="宋体" w:hAnsi="宋体" w:cs="宋体" w:eastAsia="宋体" w:hint="default"/>
                <w:sz w:val="20"/>
                <w:szCs w:val="20"/>
              </w:rPr>
            </w:pPr>
          </w:p>
          <w:p>
            <w:pPr>
              <w:pStyle w:val="TableParagraph"/>
              <w:tabs>
                <w:tab w:pos="949" w:val="left" w:leader="none"/>
              </w:tabs>
              <w:spacing w:line="240" w:lineRule="auto"/>
              <w:ind w:left="52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571"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148"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571"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148"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559" w:hRule="exact"/>
        </w:trPr>
        <w:tc>
          <w:tcPr>
            <w:tcW w:w="1702" w:type="dxa"/>
            <w:vMerge/>
            <w:tcBorders>
              <w:left w:val="single" w:sz="6" w:space="0" w:color="000000"/>
              <w:bottom w:val="single" w:sz="6" w:space="0" w:color="000000"/>
              <w:right w:val="single" w:sz="6" w:space="0" w:color="000000"/>
            </w:tcBorders>
            <w:shd w:val="clear" w:color="auto" w:fill="C0C0C0"/>
          </w:tcPr>
          <w:p>
            <w:pPr/>
          </w:p>
        </w:tc>
        <w:tc>
          <w:tcPr>
            <w:tcW w:w="13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93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跌价准</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备</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1"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3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93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跌价准</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备</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1"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356"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14,932,901.03</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14,932,901.03</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5,683,523.49</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5,683,523.49</w:t>
            </w:r>
          </w:p>
        </w:tc>
      </w:tr>
      <w:tr>
        <w:trPr>
          <w:trHeight w:val="355"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1,466,709.34</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1,466,709.34</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1,517,183.42</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1,517,183.42</w:t>
            </w:r>
          </w:p>
        </w:tc>
      </w:tr>
      <w:tr>
        <w:trPr>
          <w:trHeight w:val="355"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18,396,458.30</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18,396,458.30</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8,646,772.40</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8,646,772.40</w:t>
            </w:r>
          </w:p>
        </w:tc>
      </w:tr>
      <w:tr>
        <w:trPr>
          <w:trHeight w:val="354"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发出商品</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42,242,193.00</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42,242,193.00</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6,560,265.53</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6,560,265.53</w:t>
            </w:r>
          </w:p>
        </w:tc>
      </w:tr>
      <w:tr>
        <w:trPr>
          <w:trHeight w:val="355"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周转材料</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821,425.87</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821,425.87</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398,682.85</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398,682.85</w:t>
            </w:r>
          </w:p>
        </w:tc>
      </w:tr>
      <w:tr>
        <w:trPr>
          <w:trHeight w:val="355"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委托加工物资</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2,654,123.72</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2,654,123.72</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1,276,179.68</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1,276,179.68</w:t>
            </w:r>
          </w:p>
        </w:tc>
      </w:tr>
      <w:tr>
        <w:trPr>
          <w:trHeight w:val="354" w:hRule="exact"/>
        </w:trPr>
        <w:tc>
          <w:tcPr>
            <w:tcW w:w="1702" w:type="dxa"/>
            <w:tcBorders>
              <w:top w:val="single" w:sz="6" w:space="0" w:color="000000"/>
              <w:left w:val="single" w:sz="6" w:space="0" w:color="000000"/>
              <w:bottom w:val="single" w:sz="6" w:space="0" w:color="000000"/>
              <w:right w:val="single" w:sz="6" w:space="0" w:color="000000"/>
            </w:tcBorders>
          </w:tcPr>
          <w:p>
            <w:pPr>
              <w:pStyle w:val="TableParagraph"/>
              <w:tabs>
                <w:tab w:pos="949" w:val="left" w:leader="none"/>
              </w:tabs>
              <w:spacing w:line="274" w:lineRule="exact"/>
              <w:ind w:left="52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80,513,811.26</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2"/>
                <w:sz w:val="21"/>
              </w:rPr>
              <w:t>80,513,811.26</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24,082,607.37</w:t>
            </w:r>
          </w:p>
        </w:tc>
        <w:tc>
          <w:tcPr>
            <w:tcW w:w="9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24,082,607.37</w:t>
            </w:r>
          </w:p>
        </w:tc>
      </w:tr>
    </w:tbl>
    <w:p>
      <w:pPr>
        <w:spacing w:line="338" w:lineRule="auto" w:before="87"/>
        <w:ind w:left="219" w:right="203" w:firstLine="42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、年末存货余额较年初增加</w:t>
      </w:r>
      <w:r>
        <w:rPr>
          <w:rFonts w:ascii="宋体" w:hAnsi="宋体" w:cs="宋体" w:eastAsia="宋体" w:hint="default"/>
          <w:spacing w:val="-13"/>
          <w:sz w:val="21"/>
          <w:szCs w:val="21"/>
        </w:rPr>
        <w:t> </w:t>
      </w:r>
      <w:r>
        <w:rPr>
          <w:rFonts w:ascii="Arial Narrow" w:hAnsi="Arial Narrow" w:cs="Arial Narrow" w:eastAsia="Arial Narrow" w:hint="default"/>
          <w:sz w:val="21"/>
          <w:szCs w:val="21"/>
        </w:rPr>
        <w:t>234.32%</w:t>
      </w:r>
      <w:r>
        <w:rPr>
          <w:rFonts w:ascii="宋体" w:hAnsi="宋体" w:cs="宋体" w:eastAsia="宋体" w:hint="default"/>
          <w:sz w:val="21"/>
          <w:szCs w:val="21"/>
        </w:rPr>
        <w:t>，主要系本公司经营规模扩大，年末销售和生产备货 及已发货未验收商品大幅增加所致。</w:t>
      </w:r>
    </w:p>
    <w:p>
      <w:pPr>
        <w:tabs>
          <w:tab w:pos="1479" w:val="left" w:leader="none"/>
        </w:tabs>
        <w:spacing w:before="167"/>
        <w:ind w:left="639"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（七）</w:t>
        <w:tab/>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、固定资产及其累计折旧明细项目列示和增减变动列示如下：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2548"/>
        <w:gridCol w:w="1386"/>
        <w:gridCol w:w="1014"/>
        <w:gridCol w:w="1246"/>
        <w:gridCol w:w="1246"/>
        <w:gridCol w:w="1405"/>
      </w:tblGrid>
      <w:tr>
        <w:trPr>
          <w:trHeight w:val="383" w:hRule="exact"/>
        </w:trPr>
        <w:tc>
          <w:tcPr>
            <w:tcW w:w="254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3"/>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38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53"/>
              <w:jc w:val="right"/>
              <w:rPr>
                <w:rFonts w:ascii="宋体" w:hAnsi="宋体" w:cs="宋体" w:eastAsia="宋体" w:hint="default"/>
                <w:sz w:val="21"/>
                <w:szCs w:val="21"/>
              </w:rPr>
            </w:pPr>
            <w:r>
              <w:rPr>
                <w:rFonts w:ascii="宋体" w:hAnsi="宋体" w:cs="宋体" w:eastAsia="宋体" w:hint="default"/>
                <w:sz w:val="21"/>
                <w:szCs w:val="21"/>
              </w:rPr>
              <w:t>年初账面余额</w:t>
            </w:r>
          </w:p>
        </w:tc>
        <w:tc>
          <w:tcPr>
            <w:tcW w:w="2260"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left="597"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24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89"/>
              <w:jc w:val="right"/>
              <w:rPr>
                <w:rFonts w:ascii="宋体" w:hAnsi="宋体" w:cs="宋体" w:eastAsia="宋体" w:hint="default"/>
                <w:sz w:val="21"/>
                <w:szCs w:val="21"/>
              </w:rPr>
            </w:pPr>
            <w:r>
              <w:rPr>
                <w:rFonts w:ascii="宋体" w:hAnsi="宋体" w:cs="宋体" w:eastAsia="宋体" w:hint="default"/>
                <w:sz w:val="21"/>
                <w:szCs w:val="21"/>
              </w:rPr>
              <w:t>本年减少额</w:t>
            </w:r>
          </w:p>
        </w:tc>
        <w:tc>
          <w:tcPr>
            <w:tcW w:w="14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62"/>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宋体" w:hAnsi="宋体" w:cs="宋体" w:eastAsia="宋体" w:hint="default"/>
                <w:sz w:val="21"/>
                <w:szCs w:val="21"/>
              </w:rPr>
              <w:t>一、固定资产原价合计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46"/>
              <w:jc w:val="right"/>
              <w:rPr>
                <w:rFonts w:ascii="Arial Narrow" w:hAnsi="Arial Narrow" w:cs="Arial Narrow" w:eastAsia="Arial Narrow" w:hint="default"/>
                <w:sz w:val="21"/>
                <w:szCs w:val="21"/>
              </w:rPr>
            </w:pPr>
            <w:r>
              <w:rPr>
                <w:rFonts w:ascii="Arial Narrow"/>
                <w:spacing w:val="-1"/>
                <w:sz w:val="21"/>
              </w:rPr>
              <w:t>43,889,944.66</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1107" w:right="0"/>
              <w:jc w:val="left"/>
              <w:rPr>
                <w:rFonts w:ascii="Arial Narrow" w:hAnsi="Arial Narrow" w:cs="Arial Narrow" w:eastAsia="Arial Narrow" w:hint="default"/>
                <w:sz w:val="21"/>
                <w:szCs w:val="21"/>
              </w:rPr>
            </w:pPr>
            <w:r>
              <w:rPr>
                <w:rFonts w:ascii="Arial Narrow"/>
                <w:sz w:val="21"/>
              </w:rPr>
              <w:t>11,887,039.45</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46"/>
              <w:jc w:val="right"/>
              <w:rPr>
                <w:rFonts w:ascii="Arial Narrow" w:hAnsi="Arial Narrow" w:cs="Arial Narrow" w:eastAsia="Arial Narrow" w:hint="default"/>
                <w:sz w:val="21"/>
                <w:szCs w:val="21"/>
              </w:rPr>
            </w:pPr>
            <w:r>
              <w:rPr>
                <w:rFonts w:ascii="Arial Narrow"/>
                <w:spacing w:val="-2"/>
                <w:sz w:val="21"/>
              </w:rPr>
              <w:t>55,776,984.11</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、房屋建筑物</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36,018,963.69</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333" w:right="0"/>
              <w:jc w:val="left"/>
              <w:rPr>
                <w:rFonts w:ascii="Arial Narrow" w:hAnsi="Arial Narrow" w:cs="Arial Narrow" w:eastAsia="Arial Narrow" w:hint="default"/>
                <w:sz w:val="21"/>
                <w:szCs w:val="21"/>
              </w:rPr>
            </w:pPr>
            <w:r>
              <w:rPr>
                <w:rFonts w:ascii="Arial Narrow"/>
                <w:sz w:val="21"/>
              </w:rPr>
              <w:t>309,100.29</w:t>
            </w:r>
          </w:p>
        </w:tc>
        <w:tc>
          <w:tcPr>
            <w:tcW w:w="1246" w:type="dxa"/>
            <w:tcBorders>
              <w:top w:val="single" w:sz="6" w:space="0" w:color="000000"/>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36,328,063.98</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、运输设备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2,598,072.70</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189" w:right="0"/>
              <w:jc w:val="left"/>
              <w:rPr>
                <w:rFonts w:ascii="Arial Narrow" w:hAnsi="Arial Narrow" w:cs="Arial Narrow" w:eastAsia="Arial Narrow" w:hint="default"/>
                <w:sz w:val="21"/>
                <w:szCs w:val="21"/>
              </w:rPr>
            </w:pPr>
            <w:r>
              <w:rPr>
                <w:rFonts w:ascii="Arial Narrow"/>
                <w:sz w:val="21"/>
              </w:rPr>
              <w:t>3,996,252.36</w:t>
            </w:r>
          </w:p>
        </w:tc>
        <w:tc>
          <w:tcPr>
            <w:tcW w:w="1246" w:type="dxa"/>
            <w:tcBorders>
              <w:top w:val="single" w:sz="6" w:space="0" w:color="000000"/>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6,594,325.06</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、电子及办公设备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5,272,908.27</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1189" w:right="0"/>
              <w:jc w:val="left"/>
              <w:rPr>
                <w:rFonts w:ascii="Arial Narrow" w:hAnsi="Arial Narrow" w:cs="Arial Narrow" w:eastAsia="Arial Narrow" w:hint="default"/>
                <w:sz w:val="21"/>
                <w:szCs w:val="21"/>
              </w:rPr>
            </w:pPr>
            <w:r>
              <w:rPr>
                <w:rFonts w:ascii="Arial Narrow"/>
                <w:sz w:val="21"/>
              </w:rPr>
              <w:t>7,581,686.80</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12,854,595.07</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77"/>
              <w:jc w:val="right"/>
              <w:rPr>
                <w:rFonts w:ascii="宋体" w:hAnsi="宋体" w:cs="宋体" w:eastAsia="宋体" w:hint="default"/>
                <w:sz w:val="21"/>
                <w:szCs w:val="21"/>
              </w:rPr>
            </w:pPr>
            <w:r>
              <w:rPr>
                <w:rFonts w:ascii="宋体" w:hAnsi="宋体" w:cs="宋体" w:eastAsia="宋体" w:hint="default"/>
                <w:sz w:val="21"/>
                <w:szCs w:val="21"/>
              </w:rPr>
              <w:t>本年新增</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95" w:right="0"/>
              <w:jc w:val="left"/>
              <w:rPr>
                <w:rFonts w:ascii="宋体" w:hAnsi="宋体" w:cs="宋体" w:eastAsia="宋体" w:hint="default"/>
                <w:sz w:val="21"/>
                <w:szCs w:val="21"/>
              </w:rPr>
            </w:pPr>
            <w:r>
              <w:rPr>
                <w:rFonts w:ascii="宋体" w:hAnsi="宋体" w:cs="宋体" w:eastAsia="宋体" w:hint="default"/>
                <w:sz w:val="21"/>
                <w:szCs w:val="21"/>
              </w:rPr>
              <w:t>本年计提</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6,340,096.44</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4,857,325.83</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2"/>
                <w:sz w:val="21"/>
              </w:rPr>
              <w:t>11,197,422.27</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、房屋建筑物</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3,553,932.04</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2,660,454.38</w:t>
            </w:r>
          </w:p>
        </w:tc>
        <w:tc>
          <w:tcPr>
            <w:tcW w:w="1246" w:type="dxa"/>
            <w:tcBorders>
              <w:top w:val="single" w:sz="6" w:space="0" w:color="000000"/>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6,214,386.42</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、运输设备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1,336,609.57</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639,405.48</w:t>
            </w:r>
          </w:p>
        </w:tc>
        <w:tc>
          <w:tcPr>
            <w:tcW w:w="1246" w:type="dxa"/>
            <w:tcBorders>
              <w:top w:val="single" w:sz="6" w:space="0" w:color="000000"/>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1,976,015.05</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、电子及办公设备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1,449,554.83</w:t>
            </w:r>
          </w:p>
        </w:tc>
        <w:tc>
          <w:tcPr>
            <w:tcW w:w="10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1,557,465.97</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3,007,020.80</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宋体" w:hAnsi="宋体" w:cs="宋体" w:eastAsia="宋体" w:hint="default"/>
                <w:sz w:val="21"/>
                <w:szCs w:val="21"/>
              </w:rPr>
              <w:t>三、固定资产净值合计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37,549,848.22</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44,579,561.84</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、房屋建筑物</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1"/>
                <w:sz w:val="21"/>
              </w:rPr>
              <w:t>32,465,031.65</w:t>
            </w:r>
          </w:p>
        </w:tc>
        <w:tc>
          <w:tcPr>
            <w:tcW w:w="2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6"/>
              <w:jc w:val="right"/>
              <w:rPr>
                <w:rFonts w:ascii="Arial Narrow" w:hAnsi="Arial Narrow" w:cs="Arial Narrow" w:eastAsia="Arial Narrow" w:hint="default"/>
                <w:sz w:val="21"/>
                <w:szCs w:val="21"/>
              </w:rPr>
            </w:pPr>
            <w:r>
              <w:rPr>
                <w:rFonts w:ascii="Arial Narrow"/>
                <w:spacing w:val="-2"/>
                <w:sz w:val="21"/>
              </w:rPr>
              <w:t>30,113,677.56</w:t>
            </w:r>
          </w:p>
        </w:tc>
      </w:tr>
    </w:tbl>
    <w:p>
      <w:pPr>
        <w:spacing w:after="0" w:line="240" w:lineRule="auto"/>
        <w:jc w:val="right"/>
        <w:rPr>
          <w:rFonts w:ascii="Arial Narrow" w:hAnsi="Arial Narrow" w:cs="Arial Narrow" w:eastAsia="Arial Narrow" w:hint="default"/>
          <w:sz w:val="21"/>
          <w:szCs w:val="21"/>
        </w:rPr>
        <w:sectPr>
          <w:pgSz w:w="12240" w:h="15840"/>
          <w:pgMar w:header="0" w:footer="688" w:top="1380" w:bottom="900" w:left="1580" w:right="1580"/>
        </w:sectPr>
      </w:pPr>
    </w:p>
    <w:p>
      <w:pPr>
        <w:spacing w:line="240" w:lineRule="auto" w:before="2"/>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2548"/>
        <w:gridCol w:w="1386"/>
        <w:gridCol w:w="2260"/>
        <w:gridCol w:w="1246"/>
        <w:gridCol w:w="1405"/>
      </w:tblGrid>
      <w:tr>
        <w:trPr>
          <w:trHeight w:val="383" w:hRule="exact"/>
        </w:trPr>
        <w:tc>
          <w:tcPr>
            <w:tcW w:w="254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3"/>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38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53"/>
              <w:jc w:val="right"/>
              <w:rPr>
                <w:rFonts w:ascii="宋体" w:hAnsi="宋体" w:cs="宋体" w:eastAsia="宋体" w:hint="default"/>
                <w:sz w:val="21"/>
                <w:szCs w:val="21"/>
              </w:rPr>
            </w:pPr>
            <w:r>
              <w:rPr>
                <w:rFonts w:ascii="宋体" w:hAnsi="宋体" w:cs="宋体" w:eastAsia="宋体" w:hint="default"/>
                <w:sz w:val="21"/>
                <w:szCs w:val="21"/>
              </w:rPr>
              <w:t>年初账面余额</w:t>
            </w:r>
          </w:p>
        </w:tc>
        <w:tc>
          <w:tcPr>
            <w:tcW w:w="22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left="597"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24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89"/>
              <w:jc w:val="right"/>
              <w:rPr>
                <w:rFonts w:ascii="宋体" w:hAnsi="宋体" w:cs="宋体" w:eastAsia="宋体" w:hint="default"/>
                <w:sz w:val="21"/>
                <w:szCs w:val="21"/>
              </w:rPr>
            </w:pPr>
            <w:r>
              <w:rPr>
                <w:rFonts w:ascii="宋体" w:hAnsi="宋体" w:cs="宋体" w:eastAsia="宋体" w:hint="default"/>
                <w:sz w:val="21"/>
                <w:szCs w:val="21"/>
              </w:rPr>
              <w:t>本年减少额</w:t>
            </w:r>
          </w:p>
        </w:tc>
        <w:tc>
          <w:tcPr>
            <w:tcW w:w="14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3"/>
              <w:ind w:right="62"/>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、运输设备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1,261,463.13</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4,618,310.01</w:t>
            </w:r>
          </w:p>
        </w:tc>
      </w:tr>
      <w:tr>
        <w:trPr>
          <w:trHeight w:val="38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、电子及办公设备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3,823,353.44</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47"/>
              <w:jc w:val="right"/>
              <w:rPr>
                <w:rFonts w:ascii="Arial Narrow" w:hAnsi="Arial Narrow" w:cs="Arial Narrow" w:eastAsia="Arial Narrow" w:hint="default"/>
                <w:sz w:val="21"/>
                <w:szCs w:val="21"/>
              </w:rPr>
            </w:pPr>
            <w:r>
              <w:rPr>
                <w:rFonts w:ascii="Arial Narrow"/>
                <w:spacing w:val="-1"/>
                <w:sz w:val="21"/>
              </w:rPr>
              <w:t>9,847,574.27</w:t>
            </w:r>
          </w:p>
        </w:tc>
      </w:tr>
      <w:tr>
        <w:trPr>
          <w:trHeight w:val="559"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87"/>
                <w:sz w:val="21"/>
                <w:szCs w:val="21"/>
              </w:rPr>
              <w:t>、</w:t>
            </w:r>
            <w:r>
              <w:rPr>
                <w:rFonts w:ascii="宋体" w:hAnsi="宋体" w:cs="宋体" w:eastAsia="宋体" w:hint="default"/>
                <w:sz w:val="21"/>
                <w:szCs w:val="21"/>
              </w:rPr>
              <w:t>固定资产减值准备累计</w:t>
            </w:r>
          </w:p>
          <w:p>
            <w:pPr>
              <w:pStyle w:val="TableParagraph"/>
              <w:spacing w:line="274" w:lineRule="exact"/>
              <w:ind w:left="49" w:right="0"/>
              <w:jc w:val="left"/>
              <w:rPr>
                <w:rFonts w:ascii="宋体" w:hAnsi="宋体" w:cs="宋体" w:eastAsia="宋体" w:hint="default"/>
                <w:sz w:val="21"/>
                <w:szCs w:val="21"/>
              </w:rPr>
            </w:pPr>
            <w:r>
              <w:rPr>
                <w:rFonts w:ascii="宋体" w:hAnsi="宋体" w:cs="宋体" w:eastAsia="宋体" w:hint="default"/>
                <w:sz w:val="21"/>
                <w:szCs w:val="21"/>
              </w:rPr>
              <w:t>金额合计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、房屋建筑物</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、运输设备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、电子及办公设备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49"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87"/>
                <w:sz w:val="21"/>
                <w:szCs w:val="21"/>
              </w:rPr>
              <w:t>、</w:t>
            </w:r>
            <w:r>
              <w:rPr>
                <w:rFonts w:ascii="宋体" w:hAnsi="宋体" w:cs="宋体" w:eastAsia="宋体" w:hint="default"/>
                <w:sz w:val="21"/>
                <w:szCs w:val="21"/>
              </w:rPr>
              <w:t>固定资产账面价值合计</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37,549,848.22</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6"/>
              <w:jc w:val="right"/>
              <w:rPr>
                <w:rFonts w:ascii="Arial Narrow" w:hAnsi="Arial Narrow" w:cs="Arial Narrow" w:eastAsia="Arial Narrow" w:hint="default"/>
                <w:sz w:val="21"/>
                <w:szCs w:val="21"/>
              </w:rPr>
            </w:pPr>
            <w:r>
              <w:rPr>
                <w:rFonts w:ascii="Arial Narrow"/>
                <w:spacing w:val="-1"/>
                <w:sz w:val="21"/>
              </w:rPr>
              <w:t>44,579,561.84</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、房屋建筑物</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6"/>
              <w:jc w:val="right"/>
              <w:rPr>
                <w:rFonts w:ascii="Arial Narrow" w:hAnsi="Arial Narrow" w:cs="Arial Narrow" w:eastAsia="Arial Narrow" w:hint="default"/>
                <w:sz w:val="21"/>
                <w:szCs w:val="21"/>
              </w:rPr>
            </w:pPr>
            <w:r>
              <w:rPr>
                <w:rFonts w:ascii="Arial Narrow"/>
                <w:spacing w:val="-1"/>
                <w:sz w:val="21"/>
              </w:rPr>
              <w:t>32,465,031.65</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6"/>
              <w:jc w:val="right"/>
              <w:rPr>
                <w:rFonts w:ascii="Arial Narrow" w:hAnsi="Arial Narrow" w:cs="Arial Narrow" w:eastAsia="Arial Narrow" w:hint="default"/>
                <w:sz w:val="21"/>
                <w:szCs w:val="21"/>
              </w:rPr>
            </w:pPr>
            <w:r>
              <w:rPr>
                <w:rFonts w:ascii="Arial Narrow"/>
                <w:spacing w:val="-2"/>
                <w:sz w:val="21"/>
              </w:rPr>
              <w:t>30,113,677.56</w:t>
            </w:r>
          </w:p>
        </w:tc>
      </w:tr>
      <w:tr>
        <w:trPr>
          <w:trHeight w:val="354"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、机器设备</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1,261,463.13</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4,618,310.01</w:t>
            </w:r>
          </w:p>
        </w:tc>
      </w:tr>
      <w:tr>
        <w:trPr>
          <w:trHeight w:val="355" w:hRule="exact"/>
        </w:trPr>
        <w:tc>
          <w:tcPr>
            <w:tcW w:w="254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left="49"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、运输工具</w:t>
            </w:r>
          </w:p>
        </w:tc>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3,823,353.44</w:t>
            </w:r>
          </w:p>
        </w:tc>
        <w:tc>
          <w:tcPr>
            <w:tcW w:w="2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9,847,574.27</w:t>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、年末固定资产未发生减值损失，无需计提减值准备。</w:t>
      </w:r>
    </w:p>
    <w:p>
      <w:pPr>
        <w:tabs>
          <w:tab w:pos="1479" w:val="left" w:leader="none"/>
        </w:tabs>
        <w:spacing w:before="178"/>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（八）</w:t>
        <w:tab/>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、在建工程分项列示如下：</w:t>
      </w:r>
    </w:p>
    <w:p>
      <w:pPr>
        <w:spacing w:line="240" w:lineRule="auto" w:before="13"/>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213"/>
        <w:gridCol w:w="1121"/>
        <w:gridCol w:w="1031"/>
        <w:gridCol w:w="1120"/>
        <w:gridCol w:w="1132"/>
        <w:gridCol w:w="1009"/>
        <w:gridCol w:w="1219"/>
      </w:tblGrid>
      <w:tr>
        <w:trPr>
          <w:trHeight w:val="338" w:hRule="exact"/>
        </w:trPr>
        <w:tc>
          <w:tcPr>
            <w:tcW w:w="2213" w:type="dxa"/>
            <w:vMerge w:val="restart"/>
            <w:tcBorders>
              <w:top w:val="single" w:sz="6" w:space="0" w:color="000000"/>
              <w:left w:val="single" w:sz="6" w:space="0" w:color="000000"/>
              <w:right w:val="single" w:sz="6" w:space="0" w:color="000000"/>
            </w:tcBorders>
            <w:shd w:val="clear" w:color="auto" w:fill="C0C0C0"/>
          </w:tcPr>
          <w:p>
            <w:pPr>
              <w:pStyle w:val="TableParagraph"/>
              <w:tabs>
                <w:tab w:pos="421" w:val="left" w:leader="none"/>
              </w:tabs>
              <w:spacing w:line="240" w:lineRule="auto" w:before="151"/>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71"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998"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360"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042"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38" w:hRule="exact"/>
        </w:trPr>
        <w:tc>
          <w:tcPr>
            <w:tcW w:w="2213" w:type="dxa"/>
            <w:vMerge/>
            <w:tcBorders>
              <w:left w:val="single" w:sz="6" w:space="0" w:color="000000"/>
              <w:bottom w:val="single" w:sz="6" w:space="0" w:color="000000"/>
              <w:right w:val="single" w:sz="6" w:space="0" w:color="000000"/>
            </w:tcBorders>
            <w:shd w:val="clear" w:color="auto" w:fill="C0C0C0"/>
          </w:tcPr>
          <w:p>
            <w:pPr/>
          </w:p>
        </w:tc>
        <w:tc>
          <w:tcPr>
            <w:tcW w:w="11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4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3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86"/>
              <w:jc w:val="right"/>
              <w:rPr>
                <w:rFonts w:ascii="宋体" w:hAnsi="宋体" w:cs="宋体" w:eastAsia="宋体" w:hint="default"/>
                <w:sz w:val="21"/>
                <w:szCs w:val="21"/>
              </w:rPr>
            </w:pPr>
            <w:r>
              <w:rPr>
                <w:rFonts w:ascii="宋体" w:hAnsi="宋体" w:cs="宋体" w:eastAsia="宋体" w:hint="default"/>
                <w:sz w:val="21"/>
                <w:szCs w:val="21"/>
              </w:rPr>
              <w:t>减值准备</w:t>
            </w:r>
          </w:p>
        </w:tc>
        <w:tc>
          <w:tcPr>
            <w:tcW w:w="11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31" w:right="0"/>
              <w:jc w:val="left"/>
              <w:rPr>
                <w:rFonts w:ascii="宋体" w:hAnsi="宋体" w:cs="宋体" w:eastAsia="宋体" w:hint="default"/>
                <w:sz w:val="21"/>
                <w:szCs w:val="21"/>
              </w:rPr>
            </w:pPr>
            <w:r>
              <w:rPr>
                <w:rFonts w:ascii="宋体" w:hAnsi="宋体" w:cs="宋体" w:eastAsia="宋体" w:hint="default"/>
                <w:sz w:val="21"/>
                <w:szCs w:val="21"/>
              </w:rPr>
              <w:t>账面净额</w:t>
            </w:r>
          </w:p>
        </w:tc>
        <w:tc>
          <w:tcPr>
            <w:tcW w:w="113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49"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0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77"/>
              <w:jc w:val="right"/>
              <w:rPr>
                <w:rFonts w:ascii="宋体" w:hAnsi="宋体" w:cs="宋体" w:eastAsia="宋体" w:hint="default"/>
                <w:sz w:val="21"/>
                <w:szCs w:val="21"/>
              </w:rPr>
            </w:pPr>
            <w:r>
              <w:rPr>
                <w:rFonts w:ascii="宋体" w:hAnsi="宋体" w:cs="宋体" w:eastAsia="宋体" w:hint="default"/>
                <w:sz w:val="21"/>
                <w:szCs w:val="21"/>
              </w:rPr>
              <w:t>减值准备</w:t>
            </w:r>
          </w:p>
        </w:tc>
        <w:tc>
          <w:tcPr>
            <w:tcW w:w="12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82" w:right="0"/>
              <w:jc w:val="left"/>
              <w:rPr>
                <w:rFonts w:ascii="宋体" w:hAnsi="宋体" w:cs="宋体" w:eastAsia="宋体" w:hint="default"/>
                <w:sz w:val="21"/>
                <w:szCs w:val="21"/>
              </w:rPr>
            </w:pPr>
            <w:r>
              <w:rPr>
                <w:rFonts w:ascii="宋体" w:hAnsi="宋体" w:cs="宋体" w:eastAsia="宋体" w:hint="default"/>
                <w:sz w:val="21"/>
                <w:szCs w:val="21"/>
              </w:rPr>
              <w:t>账面净额</w:t>
            </w:r>
          </w:p>
        </w:tc>
      </w:tr>
      <w:tr>
        <w:trPr>
          <w:trHeight w:val="372" w:hRule="exact"/>
        </w:trPr>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left="49" w:right="0"/>
              <w:jc w:val="left"/>
              <w:rPr>
                <w:rFonts w:ascii="宋体" w:hAnsi="宋体" w:cs="宋体" w:eastAsia="宋体" w:hint="default"/>
                <w:sz w:val="21"/>
                <w:szCs w:val="21"/>
              </w:rPr>
            </w:pPr>
            <w:r>
              <w:rPr>
                <w:rFonts w:ascii="宋体" w:hAnsi="宋体" w:cs="宋体" w:eastAsia="宋体" w:hint="default"/>
                <w:sz w:val="21"/>
                <w:szCs w:val="21"/>
              </w:rPr>
              <w:t>超算中心</w:t>
            </w:r>
          </w:p>
        </w:tc>
        <w:tc>
          <w:tcPr>
            <w:tcW w:w="1121"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7"/>
              <w:jc w:val="right"/>
              <w:rPr>
                <w:rFonts w:ascii="Arial Narrow" w:hAnsi="Arial Narrow" w:cs="Arial Narrow" w:eastAsia="Arial Narrow" w:hint="default"/>
                <w:sz w:val="21"/>
                <w:szCs w:val="21"/>
              </w:rPr>
            </w:pPr>
            <w:r>
              <w:rPr>
                <w:rFonts w:ascii="Arial Narrow"/>
                <w:spacing w:val="-1"/>
                <w:sz w:val="21"/>
              </w:rPr>
              <w:t>4,699,290.12</w:t>
            </w:r>
          </w:p>
        </w:tc>
        <w:tc>
          <w:tcPr>
            <w:tcW w:w="1031"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8"/>
              <w:jc w:val="right"/>
              <w:rPr>
                <w:rFonts w:ascii="Arial Narrow" w:hAnsi="Arial Narrow" w:cs="Arial Narrow" w:eastAsia="Arial Narrow" w:hint="default"/>
                <w:sz w:val="21"/>
                <w:szCs w:val="21"/>
              </w:rPr>
            </w:pPr>
            <w:r>
              <w:rPr>
                <w:rFonts w:ascii="Arial Narrow"/>
                <w:sz w:val="21"/>
              </w:rPr>
              <w:t>-</w:t>
            </w:r>
          </w:p>
        </w:tc>
        <w:tc>
          <w:tcPr>
            <w:tcW w:w="112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7"/>
              <w:jc w:val="right"/>
              <w:rPr>
                <w:rFonts w:ascii="Arial Narrow" w:hAnsi="Arial Narrow" w:cs="Arial Narrow" w:eastAsia="Arial Narrow" w:hint="default"/>
                <w:sz w:val="21"/>
                <w:szCs w:val="21"/>
              </w:rPr>
            </w:pPr>
            <w:r>
              <w:rPr>
                <w:rFonts w:ascii="Arial Narrow"/>
                <w:spacing w:val="-1"/>
                <w:sz w:val="21"/>
              </w:rPr>
              <w:t>4,699,290.12</w:t>
            </w:r>
          </w:p>
        </w:tc>
        <w:tc>
          <w:tcPr>
            <w:tcW w:w="113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7"/>
              <w:jc w:val="right"/>
              <w:rPr>
                <w:rFonts w:ascii="Arial Narrow" w:hAnsi="Arial Narrow" w:cs="Arial Narrow" w:eastAsia="Arial Narrow" w:hint="default"/>
                <w:sz w:val="21"/>
                <w:szCs w:val="21"/>
              </w:rPr>
            </w:pPr>
            <w:r>
              <w:rPr>
                <w:rFonts w:ascii="Arial Narrow"/>
                <w:sz w:val="21"/>
              </w:rPr>
              <w:t>-</w:t>
            </w:r>
          </w:p>
        </w:tc>
        <w:tc>
          <w:tcPr>
            <w:tcW w:w="1009"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7"/>
              <w:jc w:val="right"/>
              <w:rPr>
                <w:rFonts w:ascii="Arial Narrow" w:hAnsi="Arial Narrow" w:cs="Arial Narrow" w:eastAsia="Arial Narrow" w:hint="default"/>
                <w:sz w:val="21"/>
                <w:szCs w:val="21"/>
              </w:rPr>
            </w:pPr>
            <w:r>
              <w:rPr>
                <w:rFonts w:ascii="Arial Narrow"/>
                <w:sz w:val="21"/>
              </w:rPr>
              <w:t>-</w:t>
            </w:r>
          </w:p>
        </w:tc>
        <w:tc>
          <w:tcPr>
            <w:tcW w:w="1219"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47"/>
              <w:jc w:val="right"/>
              <w:rPr>
                <w:rFonts w:ascii="Arial Narrow" w:hAnsi="Arial Narrow" w:cs="Arial Narrow" w:eastAsia="Arial Narrow" w:hint="default"/>
                <w:sz w:val="21"/>
                <w:szCs w:val="21"/>
              </w:rPr>
            </w:pPr>
            <w:r>
              <w:rPr>
                <w:rFonts w:ascii="Arial Narrow"/>
                <w:sz w:val="21"/>
              </w:rPr>
              <w:t>-</w:t>
            </w:r>
          </w:p>
        </w:tc>
      </w:tr>
      <w:tr>
        <w:trPr>
          <w:trHeight w:val="559" w:hRule="exact"/>
        </w:trPr>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9" w:right="0"/>
              <w:jc w:val="left"/>
              <w:rPr>
                <w:rFonts w:ascii="Arial Narrow" w:hAnsi="Arial Narrow" w:cs="Arial Narrow" w:eastAsia="Arial Narrow" w:hint="default"/>
                <w:sz w:val="21"/>
                <w:szCs w:val="21"/>
              </w:rPr>
            </w:pPr>
            <w:r>
              <w:rPr>
                <w:rFonts w:ascii="宋体" w:hAnsi="宋体" w:cs="宋体" w:eastAsia="宋体" w:hint="default"/>
                <w:sz w:val="21"/>
                <w:szCs w:val="21"/>
              </w:rPr>
              <w:t>软件园二期观日路</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p>
          <w:p>
            <w:pPr>
              <w:pStyle w:val="TableParagraph"/>
              <w:spacing w:line="280" w:lineRule="exact"/>
              <w:ind w:left="49"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Arial Narrow" w:hAnsi="Arial Narrow" w:cs="Arial Narrow" w:eastAsia="Arial Narrow" w:hint="default"/>
                <w:sz w:val="21"/>
                <w:szCs w:val="21"/>
              </w:rPr>
              <w:t>103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单元装修工程</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17,100.00</w:t>
            </w:r>
          </w:p>
        </w:tc>
        <w:tc>
          <w:tcPr>
            <w:tcW w:w="10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17,100.00</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r>
      <w:tr>
        <w:trPr>
          <w:trHeight w:val="559" w:hRule="exact"/>
        </w:trPr>
        <w:tc>
          <w:tcPr>
            <w:tcW w:w="221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49" w:right="0"/>
              <w:jc w:val="left"/>
              <w:rPr>
                <w:rFonts w:ascii="Arial Narrow" w:hAnsi="Arial Narrow" w:cs="Arial Narrow" w:eastAsia="Arial Narrow" w:hint="default"/>
                <w:sz w:val="21"/>
                <w:szCs w:val="21"/>
              </w:rPr>
            </w:pPr>
            <w:r>
              <w:rPr>
                <w:rFonts w:ascii="宋体" w:hAnsi="宋体" w:cs="宋体" w:eastAsia="宋体" w:hint="default"/>
                <w:sz w:val="21"/>
                <w:szCs w:val="21"/>
              </w:rPr>
              <w:t>软件园二期观日路</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p>
          <w:p>
            <w:pPr>
              <w:pStyle w:val="TableParagraph"/>
              <w:spacing w:line="281" w:lineRule="exact"/>
              <w:ind w:left="49"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Arial Narrow" w:hAnsi="Arial Narrow" w:cs="Arial Narrow" w:eastAsia="Arial Narrow" w:hint="default"/>
                <w:sz w:val="21"/>
                <w:szCs w:val="21"/>
              </w:rPr>
              <w:t>403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单元装修工程</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56,597.40</w:t>
            </w:r>
          </w:p>
        </w:tc>
        <w:tc>
          <w:tcPr>
            <w:tcW w:w="10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56,597.40</w:t>
            </w:r>
          </w:p>
        </w:tc>
        <w:tc>
          <w:tcPr>
            <w:tcW w:w="1132" w:type="dxa"/>
            <w:tcBorders>
              <w:top w:val="single" w:sz="6" w:space="0" w:color="000000"/>
              <w:left w:val="single" w:sz="6" w:space="0" w:color="000000"/>
              <w:bottom w:val="single" w:sz="6" w:space="0" w:color="000000"/>
              <w:right w:val="single" w:sz="6" w:space="0" w:color="000000"/>
            </w:tcBorders>
          </w:tcPr>
          <w:p>
            <w:pPr/>
          </w:p>
        </w:tc>
        <w:tc>
          <w:tcPr>
            <w:tcW w:w="1009" w:type="dxa"/>
            <w:tcBorders>
              <w:top w:val="single" w:sz="6" w:space="0" w:color="000000"/>
              <w:left w:val="single" w:sz="6" w:space="0" w:color="000000"/>
              <w:bottom w:val="single" w:sz="6" w:space="0" w:color="000000"/>
              <w:right w:val="single" w:sz="6" w:space="0" w:color="000000"/>
            </w:tcBorders>
          </w:tcPr>
          <w:p>
            <w:pPr/>
          </w:p>
        </w:tc>
        <w:tc>
          <w:tcPr>
            <w:tcW w:w="1219" w:type="dxa"/>
            <w:tcBorders>
              <w:top w:val="single" w:sz="6" w:space="0" w:color="000000"/>
              <w:left w:val="single" w:sz="6" w:space="0" w:color="000000"/>
              <w:bottom w:val="single" w:sz="6" w:space="0" w:color="000000"/>
              <w:right w:val="single" w:sz="6" w:space="0" w:color="000000"/>
            </w:tcBorders>
          </w:tcPr>
          <w:p>
            <w:pPr/>
          </w:p>
        </w:tc>
      </w:tr>
      <w:tr>
        <w:trPr>
          <w:trHeight w:val="355" w:hRule="exact"/>
        </w:trPr>
        <w:tc>
          <w:tcPr>
            <w:tcW w:w="2213"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4,772,987.52</w:t>
            </w:r>
          </w:p>
        </w:tc>
        <w:tc>
          <w:tcPr>
            <w:tcW w:w="10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4,772,987.52</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r>
    </w:tbl>
    <w:p>
      <w:pPr>
        <w:spacing w:line="257" w:lineRule="exact"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、在建工程明细项目列示基本情况及增减变动列示如下：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1826"/>
        <w:gridCol w:w="1216"/>
        <w:gridCol w:w="635"/>
        <w:gridCol w:w="1201"/>
        <w:gridCol w:w="988"/>
        <w:gridCol w:w="738"/>
        <w:gridCol w:w="1121"/>
        <w:gridCol w:w="1120"/>
      </w:tblGrid>
      <w:tr>
        <w:trPr>
          <w:trHeight w:val="354" w:hRule="exact"/>
        </w:trPr>
        <w:tc>
          <w:tcPr>
            <w:tcW w:w="1826"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工程名称</w:t>
            </w:r>
          </w:p>
        </w:tc>
        <w:tc>
          <w:tcPr>
            <w:tcW w:w="1216"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79" w:right="0"/>
              <w:jc w:val="left"/>
              <w:rPr>
                <w:rFonts w:ascii="宋体" w:hAnsi="宋体" w:cs="宋体" w:eastAsia="宋体" w:hint="default"/>
                <w:sz w:val="21"/>
                <w:szCs w:val="21"/>
              </w:rPr>
            </w:pPr>
            <w:r>
              <w:rPr>
                <w:rFonts w:ascii="宋体" w:hAnsi="宋体" w:cs="宋体" w:eastAsia="宋体" w:hint="default"/>
                <w:sz w:val="21"/>
                <w:szCs w:val="21"/>
              </w:rPr>
              <w:t>预算金额</w:t>
            </w:r>
          </w:p>
        </w:tc>
        <w:tc>
          <w:tcPr>
            <w:tcW w:w="635"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162"/>
              <w:ind w:left="100" w:right="97"/>
              <w:jc w:val="left"/>
              <w:rPr>
                <w:rFonts w:ascii="宋体" w:hAnsi="宋体" w:cs="宋体" w:eastAsia="宋体" w:hint="default"/>
                <w:sz w:val="21"/>
                <w:szCs w:val="21"/>
              </w:rPr>
            </w:pPr>
            <w:r>
              <w:rPr>
                <w:rFonts w:ascii="宋体" w:hAnsi="宋体" w:cs="宋体" w:eastAsia="宋体" w:hint="default"/>
                <w:sz w:val="21"/>
                <w:szCs w:val="21"/>
              </w:rPr>
              <w:t>资金 来源</w:t>
            </w:r>
          </w:p>
        </w:tc>
        <w:tc>
          <w:tcPr>
            <w:tcW w:w="2927"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826"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2240"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587" w:right="0"/>
              <w:jc w:val="left"/>
              <w:rPr>
                <w:rFonts w:ascii="宋体" w:hAnsi="宋体" w:cs="宋体" w:eastAsia="宋体" w:hint="default"/>
                <w:sz w:val="21"/>
                <w:szCs w:val="21"/>
              </w:rPr>
            </w:pPr>
            <w:r>
              <w:rPr>
                <w:rFonts w:ascii="宋体" w:hAnsi="宋体" w:cs="宋体" w:eastAsia="宋体" w:hint="default"/>
                <w:sz w:val="21"/>
                <w:szCs w:val="21"/>
              </w:rPr>
              <w:t>本年增加额</w:t>
            </w:r>
          </w:p>
        </w:tc>
      </w:tr>
      <w:tr>
        <w:trPr>
          <w:trHeight w:val="559" w:hRule="exact"/>
        </w:trPr>
        <w:tc>
          <w:tcPr>
            <w:tcW w:w="1826" w:type="dxa"/>
            <w:vMerge/>
            <w:tcBorders>
              <w:left w:val="single" w:sz="6" w:space="0" w:color="000000"/>
              <w:bottom w:val="single" w:sz="6" w:space="0" w:color="000000"/>
              <w:right w:val="single" w:sz="6" w:space="0" w:color="000000"/>
            </w:tcBorders>
            <w:shd w:val="clear" w:color="auto" w:fill="C0C0C0"/>
          </w:tcPr>
          <w:p>
            <w:pPr/>
          </w:p>
        </w:tc>
        <w:tc>
          <w:tcPr>
            <w:tcW w:w="1216" w:type="dxa"/>
            <w:vMerge/>
            <w:tcBorders>
              <w:left w:val="single" w:sz="6" w:space="0" w:color="000000"/>
              <w:bottom w:val="single" w:sz="6" w:space="0" w:color="000000"/>
              <w:right w:val="single" w:sz="6" w:space="0" w:color="000000"/>
            </w:tcBorders>
            <w:shd w:val="clear" w:color="auto" w:fill="C0C0C0"/>
          </w:tcPr>
          <w:p>
            <w:pPr/>
          </w:p>
        </w:tc>
        <w:tc>
          <w:tcPr>
            <w:tcW w:w="635" w:type="dxa"/>
            <w:vMerge/>
            <w:tcBorders>
              <w:left w:val="single" w:sz="6" w:space="0" w:color="000000"/>
              <w:bottom w:val="single" w:sz="6" w:space="0" w:color="000000"/>
              <w:right w:val="single" w:sz="6" w:space="0" w:color="000000"/>
            </w:tcBorders>
            <w:shd w:val="clear" w:color="auto" w:fill="C0C0C0"/>
          </w:tcPr>
          <w:p>
            <w:pPr/>
          </w:p>
        </w:tc>
        <w:tc>
          <w:tcPr>
            <w:tcW w:w="120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8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8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65" w:right="0"/>
              <w:jc w:val="left"/>
              <w:rPr>
                <w:rFonts w:ascii="宋体" w:hAnsi="宋体" w:cs="宋体" w:eastAsia="宋体" w:hint="default"/>
                <w:sz w:val="21"/>
                <w:szCs w:val="21"/>
              </w:rPr>
            </w:pPr>
            <w:r>
              <w:rPr>
                <w:rFonts w:ascii="宋体" w:hAnsi="宋体" w:cs="宋体" w:eastAsia="宋体" w:hint="default"/>
                <w:sz w:val="21"/>
                <w:szCs w:val="21"/>
              </w:rPr>
              <w:t>其中：利</w:t>
            </w:r>
          </w:p>
          <w:p>
            <w:pPr>
              <w:pStyle w:val="TableParagraph"/>
              <w:spacing w:line="274" w:lineRule="exact"/>
              <w:ind w:left="65" w:right="0"/>
              <w:jc w:val="left"/>
              <w:rPr>
                <w:rFonts w:ascii="宋体" w:hAnsi="宋体" w:cs="宋体" w:eastAsia="宋体" w:hint="default"/>
                <w:sz w:val="21"/>
                <w:szCs w:val="21"/>
              </w:rPr>
            </w:pPr>
            <w:r>
              <w:rPr>
                <w:rFonts w:ascii="宋体" w:hAnsi="宋体" w:cs="宋体" w:eastAsia="宋体" w:hint="default"/>
                <w:sz w:val="21"/>
                <w:szCs w:val="21"/>
              </w:rPr>
              <w:t>息资本化</w:t>
            </w:r>
          </w:p>
        </w:tc>
        <w:tc>
          <w:tcPr>
            <w:tcW w:w="73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51" w:right="0"/>
              <w:jc w:val="left"/>
              <w:rPr>
                <w:rFonts w:ascii="宋体" w:hAnsi="宋体" w:cs="宋体" w:eastAsia="宋体" w:hint="default"/>
                <w:sz w:val="21"/>
                <w:szCs w:val="21"/>
              </w:rPr>
            </w:pPr>
            <w:r>
              <w:rPr>
                <w:rFonts w:ascii="宋体" w:hAnsi="宋体" w:cs="宋体" w:eastAsia="宋体" w:hint="default"/>
                <w:sz w:val="21"/>
                <w:szCs w:val="21"/>
              </w:rPr>
              <w:t>减值</w:t>
            </w:r>
          </w:p>
          <w:p>
            <w:pPr>
              <w:pStyle w:val="TableParagraph"/>
              <w:spacing w:line="274" w:lineRule="exact"/>
              <w:ind w:left="151"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1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4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1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pacing w:val="-9"/>
                <w:sz w:val="21"/>
                <w:szCs w:val="21"/>
              </w:rPr>
              <w:t>其中：利息</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资本化</w:t>
            </w:r>
          </w:p>
        </w:tc>
      </w:tr>
      <w:tr>
        <w:trPr>
          <w:trHeight w:val="560" w:hRule="exact"/>
        </w:trPr>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9" w:right="0"/>
              <w:jc w:val="left"/>
              <w:rPr>
                <w:rFonts w:ascii="宋体" w:hAnsi="宋体" w:cs="宋体" w:eastAsia="宋体" w:hint="default"/>
                <w:sz w:val="21"/>
                <w:szCs w:val="21"/>
              </w:rPr>
            </w:pPr>
            <w:r>
              <w:rPr>
                <w:rFonts w:ascii="宋体" w:hAnsi="宋体" w:cs="宋体" w:eastAsia="宋体" w:hint="default"/>
                <w:sz w:val="21"/>
                <w:szCs w:val="21"/>
              </w:rPr>
              <w:t>超算中心</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pacing w:val="-1"/>
                <w:sz w:val="21"/>
              </w:rPr>
              <w:t>43,715,700.00</w:t>
            </w:r>
          </w:p>
        </w:tc>
        <w:tc>
          <w:tcPr>
            <w:tcW w:w="63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自有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w:t>
            </w:r>
          </w:p>
        </w:tc>
        <w:tc>
          <w:tcPr>
            <w:tcW w:w="1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9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pacing w:val="-1"/>
                <w:sz w:val="21"/>
              </w:rPr>
              <w:t>4,699,290.12</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r>
      <w:tr>
        <w:trPr>
          <w:trHeight w:val="832" w:hRule="exact"/>
        </w:trPr>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pacing w:val="3"/>
                <w:sz w:val="21"/>
                <w:szCs w:val="21"/>
              </w:rPr>
              <w:t>软件园二期观日路</w:t>
            </w:r>
            <w:r>
              <w:rPr>
                <w:rFonts w:ascii="宋体" w:hAnsi="宋体" w:cs="宋体" w:eastAsia="宋体" w:hint="default"/>
                <w:sz w:val="21"/>
                <w:szCs w:val="21"/>
              </w:rPr>
            </w:r>
          </w:p>
          <w:p>
            <w:pPr>
              <w:pStyle w:val="TableParagraph"/>
              <w:spacing w:line="272" w:lineRule="exact" w:before="26"/>
              <w:ind w:left="49" w:right="48"/>
              <w:jc w:val="left"/>
              <w:rPr>
                <w:rFonts w:ascii="宋体" w:hAnsi="宋体" w:cs="宋体" w:eastAsia="宋体" w:hint="default"/>
                <w:sz w:val="21"/>
                <w:szCs w:val="21"/>
              </w:rPr>
            </w:pPr>
            <w:r>
              <w:rPr>
                <w:rFonts w:ascii="Arial Narrow" w:hAnsi="Arial Narrow" w:cs="Arial Narrow" w:eastAsia="Arial Narrow" w:hint="default"/>
                <w:sz w:val="21"/>
                <w:szCs w:val="21"/>
              </w:rPr>
              <w:t>12 </w:t>
            </w:r>
            <w:r>
              <w:rPr>
                <w:rFonts w:ascii="宋体" w:hAnsi="宋体" w:cs="宋体" w:eastAsia="宋体" w:hint="default"/>
                <w:sz w:val="21"/>
                <w:szCs w:val="21"/>
              </w:rPr>
              <w:t>号 </w:t>
            </w:r>
            <w:r>
              <w:rPr>
                <w:rFonts w:ascii="Arial Narrow" w:hAnsi="Arial Narrow" w:cs="Arial Narrow" w:eastAsia="Arial Narrow" w:hint="default"/>
                <w:sz w:val="21"/>
                <w:szCs w:val="21"/>
              </w:rPr>
              <w:t>103</w:t>
            </w:r>
            <w:r>
              <w:rPr>
                <w:rFonts w:ascii="Arial Narrow" w:hAnsi="Arial Narrow" w:cs="Arial Narrow" w:eastAsia="Arial Narrow" w:hint="default"/>
                <w:spacing w:val="-20"/>
                <w:sz w:val="21"/>
                <w:szCs w:val="21"/>
              </w:rPr>
              <w:t> </w:t>
            </w:r>
            <w:r>
              <w:rPr>
                <w:rFonts w:ascii="宋体" w:hAnsi="宋体" w:cs="宋体" w:eastAsia="宋体" w:hint="default"/>
                <w:sz w:val="21"/>
                <w:szCs w:val="21"/>
              </w:rPr>
              <w:t>单元装修 工程</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439,738.33</w:t>
            </w:r>
          </w:p>
        </w:tc>
        <w:tc>
          <w:tcPr>
            <w:tcW w:w="635" w:type="dxa"/>
            <w:tcBorders>
              <w:top w:val="single" w:sz="6" w:space="0" w:color="000000"/>
              <w:left w:val="single" w:sz="6" w:space="0" w:color="000000"/>
              <w:bottom w:val="single" w:sz="6" w:space="0" w:color="000000"/>
              <w:right w:val="single" w:sz="6" w:space="0" w:color="000000"/>
            </w:tcBorders>
          </w:tcPr>
          <w:p>
            <w:pPr/>
          </w:p>
        </w:tc>
        <w:tc>
          <w:tcPr>
            <w:tcW w:w="1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9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c>
          <w:tcPr>
            <w:tcW w:w="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456,838.33</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r>
      <w:tr>
        <w:trPr>
          <w:trHeight w:val="832" w:hRule="exact"/>
        </w:trPr>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pacing w:val="3"/>
                <w:sz w:val="21"/>
                <w:szCs w:val="21"/>
              </w:rPr>
              <w:t>软件园二期观日路</w:t>
            </w:r>
            <w:r>
              <w:rPr>
                <w:rFonts w:ascii="宋体" w:hAnsi="宋体" w:cs="宋体" w:eastAsia="宋体" w:hint="default"/>
                <w:sz w:val="21"/>
                <w:szCs w:val="21"/>
              </w:rPr>
            </w:r>
          </w:p>
          <w:p>
            <w:pPr>
              <w:pStyle w:val="TableParagraph"/>
              <w:spacing w:line="272" w:lineRule="exact" w:before="26"/>
              <w:ind w:left="49" w:right="48"/>
              <w:jc w:val="left"/>
              <w:rPr>
                <w:rFonts w:ascii="宋体" w:hAnsi="宋体" w:cs="宋体" w:eastAsia="宋体" w:hint="default"/>
                <w:sz w:val="21"/>
                <w:szCs w:val="21"/>
              </w:rPr>
            </w:pPr>
            <w:r>
              <w:rPr>
                <w:rFonts w:ascii="Arial Narrow" w:hAnsi="Arial Narrow" w:cs="Arial Narrow" w:eastAsia="Arial Narrow" w:hint="default"/>
                <w:sz w:val="21"/>
                <w:szCs w:val="21"/>
              </w:rPr>
              <w:t>12 </w:t>
            </w:r>
            <w:r>
              <w:rPr>
                <w:rFonts w:ascii="宋体" w:hAnsi="宋体" w:cs="宋体" w:eastAsia="宋体" w:hint="default"/>
                <w:sz w:val="21"/>
                <w:szCs w:val="21"/>
              </w:rPr>
              <w:t>号 </w:t>
            </w:r>
            <w:r>
              <w:rPr>
                <w:rFonts w:ascii="Arial Narrow" w:hAnsi="Arial Narrow" w:cs="Arial Narrow" w:eastAsia="Arial Narrow" w:hint="default"/>
                <w:sz w:val="21"/>
                <w:szCs w:val="21"/>
              </w:rPr>
              <w:t>203</w:t>
            </w:r>
            <w:r>
              <w:rPr>
                <w:rFonts w:ascii="Arial Narrow" w:hAnsi="Arial Narrow" w:cs="Arial Narrow" w:eastAsia="Arial Narrow" w:hint="default"/>
                <w:spacing w:val="-20"/>
                <w:sz w:val="21"/>
                <w:szCs w:val="21"/>
              </w:rPr>
              <w:t> </w:t>
            </w:r>
            <w:r>
              <w:rPr>
                <w:rFonts w:ascii="宋体" w:hAnsi="宋体" w:cs="宋体" w:eastAsia="宋体" w:hint="default"/>
                <w:sz w:val="21"/>
                <w:szCs w:val="21"/>
              </w:rPr>
              <w:t>单元装修 工程</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298,927.01</w:t>
            </w:r>
          </w:p>
        </w:tc>
        <w:tc>
          <w:tcPr>
            <w:tcW w:w="635" w:type="dxa"/>
            <w:tcBorders>
              <w:top w:val="single" w:sz="6" w:space="0" w:color="000000"/>
              <w:left w:val="single" w:sz="6" w:space="0" w:color="000000"/>
              <w:bottom w:val="single" w:sz="6" w:space="0" w:color="000000"/>
              <w:right w:val="single" w:sz="6" w:space="0" w:color="000000"/>
            </w:tcBorders>
          </w:tcPr>
          <w:p>
            <w:pPr/>
          </w:p>
        </w:tc>
        <w:tc>
          <w:tcPr>
            <w:tcW w:w="1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9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c>
          <w:tcPr>
            <w:tcW w:w="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298,927.01</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r>
      <w:tr>
        <w:trPr>
          <w:trHeight w:val="832" w:hRule="exact"/>
        </w:trPr>
        <w:tc>
          <w:tcPr>
            <w:tcW w:w="18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pacing w:val="3"/>
                <w:sz w:val="21"/>
                <w:szCs w:val="21"/>
              </w:rPr>
              <w:t>软件园二期观日路</w:t>
            </w:r>
            <w:r>
              <w:rPr>
                <w:rFonts w:ascii="宋体" w:hAnsi="宋体" w:cs="宋体" w:eastAsia="宋体" w:hint="default"/>
                <w:sz w:val="21"/>
                <w:szCs w:val="21"/>
              </w:rPr>
            </w:r>
          </w:p>
          <w:p>
            <w:pPr>
              <w:pStyle w:val="TableParagraph"/>
              <w:spacing w:line="272" w:lineRule="exact" w:before="26"/>
              <w:ind w:left="49" w:right="48"/>
              <w:jc w:val="left"/>
              <w:rPr>
                <w:rFonts w:ascii="宋体" w:hAnsi="宋体" w:cs="宋体" w:eastAsia="宋体" w:hint="default"/>
                <w:sz w:val="21"/>
                <w:szCs w:val="21"/>
              </w:rPr>
            </w:pPr>
            <w:r>
              <w:rPr>
                <w:rFonts w:ascii="Arial Narrow" w:hAnsi="Arial Narrow" w:cs="Arial Narrow" w:eastAsia="Arial Narrow" w:hint="default"/>
                <w:sz w:val="21"/>
                <w:szCs w:val="21"/>
              </w:rPr>
              <w:t>12 </w:t>
            </w:r>
            <w:r>
              <w:rPr>
                <w:rFonts w:ascii="宋体" w:hAnsi="宋体" w:cs="宋体" w:eastAsia="宋体" w:hint="default"/>
                <w:sz w:val="21"/>
                <w:szCs w:val="21"/>
              </w:rPr>
              <w:t>号 </w:t>
            </w:r>
            <w:r>
              <w:rPr>
                <w:rFonts w:ascii="Arial Narrow" w:hAnsi="Arial Narrow" w:cs="Arial Narrow" w:eastAsia="Arial Narrow" w:hint="default"/>
                <w:sz w:val="21"/>
                <w:szCs w:val="21"/>
              </w:rPr>
              <w:t>403</w:t>
            </w:r>
            <w:r>
              <w:rPr>
                <w:rFonts w:ascii="Arial Narrow" w:hAnsi="Arial Narrow" w:cs="Arial Narrow" w:eastAsia="Arial Narrow" w:hint="default"/>
                <w:spacing w:val="-20"/>
                <w:sz w:val="21"/>
                <w:szCs w:val="21"/>
              </w:rPr>
              <w:t> </w:t>
            </w:r>
            <w:r>
              <w:rPr>
                <w:rFonts w:ascii="宋体" w:hAnsi="宋体" w:cs="宋体" w:eastAsia="宋体" w:hint="default"/>
                <w:sz w:val="21"/>
                <w:szCs w:val="21"/>
              </w:rPr>
              <w:t>单元装修 工程</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557,155.00</w:t>
            </w:r>
          </w:p>
        </w:tc>
        <w:tc>
          <w:tcPr>
            <w:tcW w:w="635" w:type="dxa"/>
            <w:tcBorders>
              <w:top w:val="single" w:sz="6" w:space="0" w:color="000000"/>
              <w:left w:val="single" w:sz="6" w:space="0" w:color="000000"/>
              <w:bottom w:val="single" w:sz="6" w:space="0" w:color="000000"/>
              <w:right w:val="single" w:sz="6" w:space="0" w:color="000000"/>
            </w:tcBorders>
          </w:tcPr>
          <w:p>
            <w:pPr/>
          </w:p>
        </w:tc>
        <w:tc>
          <w:tcPr>
            <w:tcW w:w="1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9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c>
          <w:tcPr>
            <w:tcW w:w="7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z w:val="21"/>
              </w:rPr>
              <w:t>-</w:t>
            </w: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56,597.40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8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1826"/>
        <w:gridCol w:w="1216"/>
        <w:gridCol w:w="635"/>
        <w:gridCol w:w="1201"/>
        <w:gridCol w:w="988"/>
        <w:gridCol w:w="738"/>
        <w:gridCol w:w="1121"/>
        <w:gridCol w:w="1120"/>
      </w:tblGrid>
      <w:tr>
        <w:trPr>
          <w:trHeight w:val="354" w:hRule="exact"/>
        </w:trPr>
        <w:tc>
          <w:tcPr>
            <w:tcW w:w="1826" w:type="dxa"/>
            <w:tcBorders>
              <w:top w:val="single" w:sz="6" w:space="0" w:color="000000"/>
              <w:left w:val="single" w:sz="6" w:space="0" w:color="000000"/>
              <w:bottom w:val="single" w:sz="6" w:space="0" w:color="000000"/>
              <w:right w:val="single" w:sz="6" w:space="0" w:color="000000"/>
            </w:tcBorders>
          </w:tcPr>
          <w:p>
            <w:pPr>
              <w:pStyle w:val="TableParagraph"/>
              <w:tabs>
                <w:tab w:pos="1010" w:val="left" w:leader="none"/>
              </w:tabs>
              <w:spacing w:line="274" w:lineRule="exact"/>
              <w:ind w:left="58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216" w:type="dxa"/>
            <w:tcBorders>
              <w:top w:val="single" w:sz="6" w:space="0" w:color="000000"/>
              <w:left w:val="single" w:sz="6" w:space="0" w:color="000000"/>
              <w:bottom w:val="single" w:sz="6" w:space="0" w:color="000000"/>
              <w:right w:val="single" w:sz="6" w:space="0" w:color="000000"/>
            </w:tcBorders>
          </w:tcPr>
          <w:p>
            <w:pPr/>
          </w:p>
        </w:tc>
        <w:tc>
          <w:tcPr>
            <w:tcW w:w="635" w:type="dxa"/>
            <w:tcBorders>
              <w:top w:val="single" w:sz="6" w:space="0" w:color="000000"/>
              <w:left w:val="single" w:sz="6" w:space="0" w:color="000000"/>
              <w:bottom w:val="single" w:sz="6" w:space="0" w:color="000000"/>
              <w:right w:val="single" w:sz="6" w:space="0" w:color="000000"/>
            </w:tcBorders>
          </w:tcPr>
          <w:p>
            <w:pPr/>
          </w:p>
        </w:tc>
        <w:tc>
          <w:tcPr>
            <w:tcW w:w="1201" w:type="dxa"/>
            <w:tcBorders>
              <w:top w:val="single" w:sz="6" w:space="0" w:color="000000"/>
              <w:left w:val="single" w:sz="6" w:space="0" w:color="000000"/>
              <w:bottom w:val="single" w:sz="6" w:space="0" w:color="000000"/>
              <w:right w:val="single" w:sz="6" w:space="0" w:color="000000"/>
            </w:tcBorders>
          </w:tcPr>
          <w:p>
            <w:pPr/>
          </w:p>
        </w:tc>
        <w:tc>
          <w:tcPr>
            <w:tcW w:w="988" w:type="dxa"/>
            <w:tcBorders>
              <w:top w:val="single" w:sz="6" w:space="0" w:color="000000"/>
              <w:left w:val="single" w:sz="6" w:space="0" w:color="000000"/>
              <w:bottom w:val="single" w:sz="6" w:space="0" w:color="000000"/>
              <w:right w:val="single" w:sz="6" w:space="0" w:color="000000"/>
            </w:tcBorders>
          </w:tcPr>
          <w:p>
            <w:pPr/>
          </w:p>
        </w:tc>
        <w:tc>
          <w:tcPr>
            <w:tcW w:w="738" w:type="dxa"/>
            <w:tcBorders>
              <w:top w:val="single" w:sz="6" w:space="0" w:color="000000"/>
              <w:left w:val="single" w:sz="6" w:space="0" w:color="000000"/>
              <w:bottom w:val="single" w:sz="6" w:space="0" w:color="000000"/>
              <w:right w:val="single" w:sz="6" w:space="0" w:color="000000"/>
            </w:tcBorders>
          </w:tcPr>
          <w:p>
            <w:pPr/>
          </w:p>
        </w:tc>
        <w:tc>
          <w:tcPr>
            <w:tcW w:w="11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62" w:right="0"/>
              <w:jc w:val="left"/>
              <w:rPr>
                <w:rFonts w:ascii="Arial Narrow" w:hAnsi="Arial Narrow" w:cs="Arial Narrow" w:eastAsia="Arial Narrow" w:hint="default"/>
                <w:sz w:val="21"/>
                <w:szCs w:val="21"/>
              </w:rPr>
            </w:pPr>
            <w:r>
              <w:rPr>
                <w:rFonts w:ascii="Arial Narrow"/>
                <w:sz w:val="21"/>
              </w:rPr>
              <w:t>5,511,652.86</w:t>
            </w:r>
          </w:p>
        </w:tc>
        <w:tc>
          <w:tcPr>
            <w:tcW w:w="1120" w:type="dxa"/>
            <w:tcBorders>
              <w:top w:val="single" w:sz="6" w:space="0" w:color="000000"/>
              <w:left w:val="single" w:sz="6" w:space="0" w:color="000000"/>
              <w:bottom w:val="single" w:sz="6" w:space="0" w:color="000000"/>
              <w:right w:val="single" w:sz="6" w:space="0" w:color="000000"/>
            </w:tcBorders>
          </w:tcPr>
          <w:p>
            <w:pPr/>
          </w:p>
        </w:tc>
      </w:tr>
    </w:tbl>
    <w:p>
      <w:pPr>
        <w:spacing w:line="241" w:lineRule="exact" w:before="0"/>
        <w:ind w:left="640" w:right="0" w:firstLine="0"/>
        <w:jc w:val="left"/>
        <w:rPr>
          <w:rFonts w:ascii="宋体" w:hAnsi="宋体" w:cs="宋体" w:eastAsia="宋体" w:hint="default"/>
          <w:sz w:val="21"/>
          <w:szCs w:val="21"/>
        </w:rPr>
      </w:pPr>
      <w:r>
        <w:rPr>
          <w:rFonts w:ascii="宋体" w:hAnsi="宋体" w:cs="宋体" w:eastAsia="宋体" w:hint="default"/>
          <w:sz w:val="21"/>
          <w:szCs w:val="21"/>
        </w:rPr>
        <w:t>（续上表）</w:t>
      </w:r>
    </w:p>
    <w:p>
      <w:pPr>
        <w:spacing w:line="240" w:lineRule="auto" w:before="2"/>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2084"/>
        <w:gridCol w:w="1174"/>
        <w:gridCol w:w="1276"/>
        <w:gridCol w:w="1120"/>
        <w:gridCol w:w="1042"/>
        <w:gridCol w:w="739"/>
        <w:gridCol w:w="1410"/>
      </w:tblGrid>
      <w:tr>
        <w:trPr>
          <w:trHeight w:val="346" w:hRule="exact"/>
        </w:trPr>
        <w:tc>
          <w:tcPr>
            <w:tcW w:w="208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614" w:right="0"/>
              <w:jc w:val="left"/>
              <w:rPr>
                <w:rFonts w:ascii="宋体" w:hAnsi="宋体" w:cs="宋体" w:eastAsia="宋体" w:hint="default"/>
                <w:sz w:val="21"/>
                <w:szCs w:val="21"/>
              </w:rPr>
            </w:pPr>
            <w:r>
              <w:rPr>
                <w:rFonts w:ascii="宋体" w:hAnsi="宋体" w:cs="宋体" w:eastAsia="宋体" w:hint="default"/>
                <w:sz w:val="21"/>
                <w:szCs w:val="21"/>
              </w:rPr>
              <w:t>工程名称</w:t>
            </w:r>
          </w:p>
        </w:tc>
        <w:tc>
          <w:tcPr>
            <w:tcW w:w="2449"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left="691"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2900"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left="812"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1410"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154"/>
              <w:ind w:left="382" w:right="65" w:hanging="315"/>
              <w:jc w:val="left"/>
              <w:rPr>
                <w:rFonts w:ascii="宋体" w:hAnsi="宋体" w:cs="宋体" w:eastAsia="宋体" w:hint="default"/>
                <w:sz w:val="21"/>
                <w:szCs w:val="21"/>
              </w:rPr>
            </w:pPr>
            <w:r>
              <w:rPr>
                <w:rFonts w:ascii="宋体" w:hAnsi="宋体" w:cs="宋体" w:eastAsia="宋体" w:hint="default"/>
                <w:sz w:val="21"/>
                <w:szCs w:val="21"/>
              </w:rPr>
              <w:t>工程投入占预 算比例</w:t>
            </w:r>
          </w:p>
        </w:tc>
      </w:tr>
      <w:tr>
        <w:trPr>
          <w:trHeight w:val="560" w:hRule="exact"/>
        </w:trPr>
        <w:tc>
          <w:tcPr>
            <w:tcW w:w="2084" w:type="dxa"/>
            <w:vMerge/>
            <w:tcBorders>
              <w:left w:val="single" w:sz="6" w:space="0" w:color="000000"/>
              <w:bottom w:val="single" w:sz="6" w:space="0" w:color="000000"/>
              <w:right w:val="single" w:sz="6" w:space="0" w:color="000000"/>
            </w:tcBorders>
            <w:shd w:val="clear" w:color="auto" w:fill="C0C0C0"/>
          </w:tcPr>
          <w:p>
            <w:pPr/>
          </w:p>
        </w:tc>
        <w:tc>
          <w:tcPr>
            <w:tcW w:w="117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6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27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99"/>
                <w:sz w:val="21"/>
                <w:szCs w:val="21"/>
              </w:rPr>
              <w:t>：</w:t>
            </w:r>
            <w:r>
              <w:rPr>
                <w:rFonts w:ascii="宋体" w:hAnsi="宋体" w:cs="宋体" w:eastAsia="宋体" w:hint="default"/>
                <w:sz w:val="21"/>
                <w:szCs w:val="21"/>
              </w:rPr>
              <w:t>本年转</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固定资产</w:t>
            </w:r>
          </w:p>
        </w:tc>
        <w:tc>
          <w:tcPr>
            <w:tcW w:w="11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4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04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92" w:right="0"/>
              <w:jc w:val="left"/>
              <w:rPr>
                <w:rFonts w:ascii="宋体" w:hAnsi="宋体" w:cs="宋体" w:eastAsia="宋体" w:hint="default"/>
                <w:sz w:val="21"/>
                <w:szCs w:val="21"/>
              </w:rPr>
            </w:pPr>
            <w:r>
              <w:rPr>
                <w:rFonts w:ascii="宋体" w:hAnsi="宋体" w:cs="宋体" w:eastAsia="宋体" w:hint="default"/>
                <w:sz w:val="21"/>
                <w:szCs w:val="21"/>
              </w:rPr>
              <w:t>其中：利</w:t>
            </w:r>
          </w:p>
          <w:p>
            <w:pPr>
              <w:pStyle w:val="TableParagraph"/>
              <w:spacing w:line="274" w:lineRule="exact"/>
              <w:ind w:left="92" w:right="0"/>
              <w:jc w:val="left"/>
              <w:rPr>
                <w:rFonts w:ascii="宋体" w:hAnsi="宋体" w:cs="宋体" w:eastAsia="宋体" w:hint="default"/>
                <w:sz w:val="21"/>
                <w:szCs w:val="21"/>
              </w:rPr>
            </w:pPr>
            <w:r>
              <w:rPr>
                <w:rFonts w:ascii="宋体" w:hAnsi="宋体" w:cs="宋体" w:eastAsia="宋体" w:hint="default"/>
                <w:sz w:val="21"/>
                <w:szCs w:val="21"/>
              </w:rPr>
              <w:t>息资本化</w:t>
            </w:r>
          </w:p>
        </w:tc>
        <w:tc>
          <w:tcPr>
            <w:tcW w:w="73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52" w:right="0"/>
              <w:jc w:val="left"/>
              <w:rPr>
                <w:rFonts w:ascii="宋体" w:hAnsi="宋体" w:cs="宋体" w:eastAsia="宋体" w:hint="default"/>
                <w:sz w:val="21"/>
                <w:szCs w:val="21"/>
              </w:rPr>
            </w:pPr>
            <w:r>
              <w:rPr>
                <w:rFonts w:ascii="宋体" w:hAnsi="宋体" w:cs="宋体" w:eastAsia="宋体" w:hint="default"/>
                <w:sz w:val="21"/>
                <w:szCs w:val="21"/>
              </w:rPr>
              <w:t>减值</w:t>
            </w:r>
          </w:p>
          <w:p>
            <w:pPr>
              <w:pStyle w:val="TableParagraph"/>
              <w:spacing w:line="274" w:lineRule="exact"/>
              <w:ind w:left="152"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410" w:type="dxa"/>
            <w:vMerge/>
            <w:tcBorders>
              <w:left w:val="single" w:sz="6" w:space="0" w:color="000000"/>
              <w:bottom w:val="single" w:sz="6" w:space="0" w:color="000000"/>
              <w:right w:val="single" w:sz="6" w:space="0" w:color="000000"/>
            </w:tcBorders>
            <w:shd w:val="clear" w:color="auto" w:fill="C0C0C0"/>
          </w:tcPr>
          <w:p>
            <w:pPr/>
          </w:p>
        </w:tc>
      </w:tr>
      <w:tr>
        <w:trPr>
          <w:trHeight w:val="354" w:hRule="exact"/>
        </w:trPr>
        <w:tc>
          <w:tcPr>
            <w:tcW w:w="208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49" w:right="0"/>
              <w:jc w:val="left"/>
              <w:rPr>
                <w:rFonts w:ascii="宋体" w:hAnsi="宋体" w:cs="宋体" w:eastAsia="宋体" w:hint="default"/>
                <w:sz w:val="21"/>
                <w:szCs w:val="21"/>
              </w:rPr>
            </w:pPr>
            <w:r>
              <w:rPr>
                <w:rFonts w:ascii="宋体" w:hAnsi="宋体" w:cs="宋体" w:eastAsia="宋体" w:hint="default"/>
                <w:sz w:val="21"/>
                <w:szCs w:val="21"/>
              </w:rPr>
              <w:t>超算中心</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276" w:type="dxa"/>
            <w:tcBorders>
              <w:top w:val="single" w:sz="6" w:space="0" w:color="000000"/>
              <w:left w:val="single" w:sz="6" w:space="0" w:color="000000"/>
              <w:bottom w:val="single" w:sz="6" w:space="0" w:color="000000"/>
              <w:right w:val="single" w:sz="6" w:space="0" w:color="000000"/>
            </w:tcBorders>
          </w:tcPr>
          <w:p>
            <w:pP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4,699,290.12</w:t>
            </w:r>
          </w:p>
        </w:tc>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5"/>
              <w:jc w:val="right"/>
              <w:rPr>
                <w:rFonts w:ascii="Arial Narrow" w:hAnsi="Arial Narrow" w:cs="Arial Narrow" w:eastAsia="Arial Narrow" w:hint="default"/>
                <w:sz w:val="21"/>
                <w:szCs w:val="21"/>
              </w:rPr>
            </w:pPr>
            <w:r>
              <w:rPr>
                <w:rFonts w:ascii="Arial Narrow"/>
                <w:w w:val="95"/>
                <w:sz w:val="21"/>
              </w:rPr>
              <w:t>10.75%</w:t>
            </w:r>
            <w:r>
              <w:rPr>
                <w:rFonts w:ascii="Arial Narrow"/>
                <w:sz w:val="21"/>
              </w:rPr>
            </w:r>
          </w:p>
        </w:tc>
      </w:tr>
      <w:tr>
        <w:trPr>
          <w:trHeight w:val="560" w:hRule="exact"/>
        </w:trPr>
        <w:tc>
          <w:tcPr>
            <w:tcW w:w="208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49" w:right="0"/>
              <w:jc w:val="left"/>
              <w:rPr>
                <w:rFonts w:ascii="Arial Narrow" w:hAnsi="Arial Narrow" w:cs="Arial Narrow" w:eastAsia="Arial Narrow" w:hint="default"/>
                <w:sz w:val="21"/>
                <w:szCs w:val="21"/>
              </w:rPr>
            </w:pPr>
            <w:r>
              <w:rPr>
                <w:rFonts w:ascii="宋体" w:hAnsi="宋体" w:cs="宋体" w:eastAsia="宋体" w:hint="default"/>
                <w:sz w:val="21"/>
                <w:szCs w:val="21"/>
              </w:rPr>
              <w:t>软件园二期观日路</w:t>
            </w:r>
            <w:r>
              <w:rPr>
                <w:rFonts w:ascii="宋体" w:hAnsi="宋体" w:cs="宋体" w:eastAsia="宋体" w:hint="default"/>
                <w:spacing w:val="-7"/>
                <w:sz w:val="21"/>
                <w:szCs w:val="21"/>
              </w:rPr>
              <w:t> </w:t>
            </w:r>
            <w:r>
              <w:rPr>
                <w:rFonts w:ascii="Arial Narrow" w:hAnsi="Arial Narrow" w:cs="Arial Narrow" w:eastAsia="Arial Narrow" w:hint="default"/>
                <w:sz w:val="21"/>
                <w:szCs w:val="21"/>
              </w:rPr>
              <w:t>12</w:t>
            </w:r>
          </w:p>
          <w:p>
            <w:pPr>
              <w:pStyle w:val="TableParagraph"/>
              <w:spacing w:line="281" w:lineRule="exact"/>
              <w:ind w:left="49"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Arial Narrow" w:hAnsi="Arial Narrow" w:cs="Arial Narrow" w:eastAsia="Arial Narrow" w:hint="default"/>
                <w:sz w:val="21"/>
                <w:szCs w:val="21"/>
              </w:rPr>
              <w:t>103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单元装修工程</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439,738.33</w:t>
            </w:r>
          </w:p>
        </w:tc>
        <w:tc>
          <w:tcPr>
            <w:tcW w:w="1276" w:type="dxa"/>
            <w:tcBorders>
              <w:top w:val="single" w:sz="6" w:space="0" w:color="000000"/>
              <w:left w:val="single" w:sz="6" w:space="0" w:color="000000"/>
              <w:bottom w:val="single" w:sz="6" w:space="0" w:color="000000"/>
              <w:right w:val="single" w:sz="6" w:space="0" w:color="000000"/>
            </w:tcBorders>
          </w:tcPr>
          <w:p>
            <w:pP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17,100.00</w:t>
            </w:r>
          </w:p>
        </w:tc>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5"/>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r>
      <w:tr>
        <w:trPr>
          <w:trHeight w:val="559" w:hRule="exact"/>
        </w:trPr>
        <w:tc>
          <w:tcPr>
            <w:tcW w:w="208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49" w:right="0"/>
              <w:jc w:val="left"/>
              <w:rPr>
                <w:rFonts w:ascii="Arial Narrow" w:hAnsi="Arial Narrow" w:cs="Arial Narrow" w:eastAsia="Arial Narrow" w:hint="default"/>
                <w:sz w:val="21"/>
                <w:szCs w:val="21"/>
              </w:rPr>
            </w:pPr>
            <w:r>
              <w:rPr>
                <w:rFonts w:ascii="宋体" w:hAnsi="宋体" w:cs="宋体" w:eastAsia="宋体" w:hint="default"/>
                <w:sz w:val="21"/>
                <w:szCs w:val="21"/>
              </w:rPr>
              <w:t>软件园二期观日路</w:t>
            </w:r>
            <w:r>
              <w:rPr>
                <w:rFonts w:ascii="宋体" w:hAnsi="宋体" w:cs="宋体" w:eastAsia="宋体" w:hint="default"/>
                <w:spacing w:val="-7"/>
                <w:sz w:val="21"/>
                <w:szCs w:val="21"/>
              </w:rPr>
              <w:t> </w:t>
            </w:r>
            <w:r>
              <w:rPr>
                <w:rFonts w:ascii="Arial Narrow" w:hAnsi="Arial Narrow" w:cs="Arial Narrow" w:eastAsia="Arial Narrow" w:hint="default"/>
                <w:sz w:val="21"/>
                <w:szCs w:val="21"/>
              </w:rPr>
              <w:t>12</w:t>
            </w:r>
          </w:p>
          <w:p>
            <w:pPr>
              <w:pStyle w:val="TableParagraph"/>
              <w:spacing w:line="281" w:lineRule="exact"/>
              <w:ind w:left="49"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Arial Narrow" w:hAnsi="Arial Narrow" w:cs="Arial Narrow" w:eastAsia="Arial Narrow" w:hint="default"/>
                <w:sz w:val="21"/>
                <w:szCs w:val="21"/>
              </w:rPr>
              <w:t>203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单元装修工程</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298,927.01</w:t>
            </w:r>
          </w:p>
        </w:tc>
        <w:tc>
          <w:tcPr>
            <w:tcW w:w="1276" w:type="dxa"/>
            <w:tcBorders>
              <w:top w:val="single" w:sz="6" w:space="0" w:color="000000"/>
              <w:left w:val="single" w:sz="6" w:space="0" w:color="000000"/>
              <w:bottom w:val="single" w:sz="6" w:space="0" w:color="000000"/>
              <w:right w:val="single" w:sz="6" w:space="0" w:color="000000"/>
            </w:tcBorders>
          </w:tcPr>
          <w:p>
            <w:pP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5"/>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r>
      <w:tr>
        <w:trPr>
          <w:trHeight w:val="560" w:hRule="exact"/>
        </w:trPr>
        <w:tc>
          <w:tcPr>
            <w:tcW w:w="208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49" w:right="0"/>
              <w:jc w:val="left"/>
              <w:rPr>
                <w:rFonts w:ascii="Arial Narrow" w:hAnsi="Arial Narrow" w:cs="Arial Narrow" w:eastAsia="Arial Narrow" w:hint="default"/>
                <w:sz w:val="21"/>
                <w:szCs w:val="21"/>
              </w:rPr>
            </w:pPr>
            <w:r>
              <w:rPr>
                <w:rFonts w:ascii="宋体" w:hAnsi="宋体" w:cs="宋体" w:eastAsia="宋体" w:hint="default"/>
                <w:sz w:val="21"/>
                <w:szCs w:val="21"/>
              </w:rPr>
              <w:t>软件园二期观日路</w:t>
            </w:r>
            <w:r>
              <w:rPr>
                <w:rFonts w:ascii="宋体" w:hAnsi="宋体" w:cs="宋体" w:eastAsia="宋体" w:hint="default"/>
                <w:spacing w:val="-7"/>
                <w:sz w:val="21"/>
                <w:szCs w:val="21"/>
              </w:rPr>
              <w:t> </w:t>
            </w:r>
            <w:r>
              <w:rPr>
                <w:rFonts w:ascii="Arial Narrow" w:hAnsi="Arial Narrow" w:cs="Arial Narrow" w:eastAsia="Arial Narrow" w:hint="default"/>
                <w:sz w:val="21"/>
                <w:szCs w:val="21"/>
              </w:rPr>
              <w:t>12</w:t>
            </w:r>
          </w:p>
          <w:p>
            <w:pPr>
              <w:pStyle w:val="TableParagraph"/>
              <w:spacing w:line="281" w:lineRule="exact"/>
              <w:ind w:left="49"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4"/>
                <w:sz w:val="21"/>
                <w:szCs w:val="21"/>
              </w:rPr>
              <w:t> </w:t>
            </w:r>
            <w:r>
              <w:rPr>
                <w:rFonts w:ascii="Arial Narrow" w:hAnsi="Arial Narrow" w:cs="Arial Narrow" w:eastAsia="Arial Narrow" w:hint="default"/>
                <w:sz w:val="21"/>
                <w:szCs w:val="21"/>
              </w:rPr>
              <w:t>403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单元装修工程</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58"/>
              <w:jc w:val="right"/>
              <w:rPr>
                <w:rFonts w:ascii="Arial Narrow" w:hAnsi="Arial Narrow" w:cs="Arial Narrow" w:eastAsia="Arial Narrow" w:hint="default"/>
                <w:sz w:val="21"/>
                <w:szCs w:val="21"/>
              </w:rPr>
            </w:pPr>
            <w:r>
              <w:rPr>
                <w:rFonts w:ascii="Arial Narrow"/>
                <w:sz w:val="21"/>
              </w:rPr>
              <w:t>-</w:t>
            </w:r>
          </w:p>
        </w:tc>
        <w:tc>
          <w:tcPr>
            <w:tcW w:w="1276" w:type="dxa"/>
            <w:tcBorders>
              <w:top w:val="single" w:sz="6" w:space="0" w:color="000000"/>
              <w:left w:val="single" w:sz="6" w:space="0" w:color="000000"/>
              <w:bottom w:val="single" w:sz="6" w:space="0" w:color="000000"/>
              <w:right w:val="single" w:sz="6" w:space="0" w:color="000000"/>
            </w:tcBorders>
          </w:tcPr>
          <w:p>
            <w:pP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56,597.40</w:t>
            </w:r>
          </w:p>
        </w:tc>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z w:val="21"/>
              </w:rPr>
              <w:t>-</w:t>
            </w:r>
          </w:p>
        </w:tc>
        <w:tc>
          <w:tcPr>
            <w:tcW w:w="1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5"/>
              <w:jc w:val="right"/>
              <w:rPr>
                <w:rFonts w:ascii="Arial Narrow" w:hAnsi="Arial Narrow" w:cs="Arial Narrow" w:eastAsia="Arial Narrow" w:hint="default"/>
                <w:sz w:val="21"/>
                <w:szCs w:val="21"/>
              </w:rPr>
            </w:pPr>
            <w:r>
              <w:rPr>
                <w:rFonts w:ascii="Arial Narrow"/>
                <w:w w:val="95"/>
                <w:sz w:val="21"/>
              </w:rPr>
              <w:t>10.16%</w:t>
            </w:r>
            <w:r>
              <w:rPr>
                <w:rFonts w:ascii="Arial Narrow"/>
                <w:sz w:val="21"/>
              </w:rPr>
            </w:r>
          </w:p>
        </w:tc>
      </w:tr>
      <w:tr>
        <w:trPr>
          <w:trHeight w:val="354" w:hRule="exact"/>
        </w:trPr>
        <w:tc>
          <w:tcPr>
            <w:tcW w:w="208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pacing w:val="-1"/>
                <w:sz w:val="21"/>
              </w:rPr>
              <w:t>738,665.34</w:t>
            </w:r>
          </w:p>
        </w:tc>
        <w:tc>
          <w:tcPr>
            <w:tcW w:w="1276" w:type="dxa"/>
            <w:tcBorders>
              <w:top w:val="single" w:sz="6" w:space="0" w:color="000000"/>
              <w:left w:val="single" w:sz="6" w:space="0" w:color="000000"/>
              <w:bottom w:val="single" w:sz="6" w:space="0" w:color="000000"/>
              <w:right w:val="single" w:sz="6" w:space="0" w:color="000000"/>
            </w:tcBorders>
          </w:tcPr>
          <w:p>
            <w:pP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4,772,987.52</w:t>
            </w:r>
          </w:p>
        </w:tc>
        <w:tc>
          <w:tcPr>
            <w:tcW w:w="10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z w:val="21"/>
              </w:rPr>
              <w:t>-</w:t>
            </w:r>
          </w:p>
        </w:tc>
        <w:tc>
          <w:tcPr>
            <w:tcW w:w="1410" w:type="dxa"/>
            <w:tcBorders>
              <w:top w:val="single" w:sz="6" w:space="0" w:color="000000"/>
              <w:left w:val="single" w:sz="6" w:space="0" w:color="000000"/>
              <w:bottom w:val="single" w:sz="6" w:space="0" w:color="000000"/>
              <w:right w:val="single" w:sz="6" w:space="0" w:color="000000"/>
            </w:tcBorders>
          </w:tcPr>
          <w:p>
            <w:pPr/>
          </w:p>
        </w:tc>
      </w:tr>
    </w:tbl>
    <w:p>
      <w:pPr>
        <w:tabs>
          <w:tab w:pos="1479" w:val="left" w:leader="none"/>
        </w:tabs>
        <w:spacing w:before="27"/>
        <w:ind w:left="640" w:right="0" w:firstLine="0"/>
        <w:jc w:val="left"/>
        <w:rPr>
          <w:rFonts w:ascii="宋体" w:hAnsi="宋体" w:cs="宋体" w:eastAsia="宋体" w:hint="default"/>
          <w:sz w:val="21"/>
          <w:szCs w:val="21"/>
        </w:rPr>
      </w:pPr>
      <w:r>
        <w:rPr>
          <w:rFonts w:ascii="宋体" w:hAnsi="宋体" w:cs="宋体" w:eastAsia="宋体" w:hint="default"/>
          <w:b/>
          <w:bCs/>
          <w:w w:val="95"/>
          <w:sz w:val="21"/>
          <w:szCs w:val="21"/>
        </w:rPr>
        <w:t>（九）</w:t>
        <w:tab/>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9"/>
        <w:rPr>
          <w:rFonts w:ascii="宋体" w:hAnsi="宋体" w:cs="宋体" w:eastAsia="宋体" w:hint="default"/>
          <w:b/>
          <w:bCs/>
          <w:sz w:val="14"/>
          <w:szCs w:val="14"/>
        </w:rPr>
      </w:pPr>
    </w:p>
    <w:p>
      <w:pPr>
        <w:spacing w:before="0"/>
        <w:ind w:left="64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、无形资产明细项目列示和增减变动列示如下：</w:t>
      </w:r>
    </w:p>
    <w:p>
      <w:pPr>
        <w:spacing w:line="240" w:lineRule="auto" w:before="9"/>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2321"/>
        <w:gridCol w:w="1801"/>
        <w:gridCol w:w="1463"/>
        <w:gridCol w:w="1442"/>
        <w:gridCol w:w="1817"/>
      </w:tblGrid>
      <w:tr>
        <w:trPr>
          <w:trHeight w:val="300" w:hRule="exact"/>
        </w:trPr>
        <w:tc>
          <w:tcPr>
            <w:tcW w:w="23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32"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0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left="262"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146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left="199"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44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left="188"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81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2" w:lineRule="exact"/>
              <w:ind w:left="271" w:right="0"/>
              <w:jc w:val="lef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一、无形资产原价合计</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166,120.00</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758,602.34</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924,722.34</w:t>
            </w:r>
          </w:p>
        </w:tc>
      </w:tr>
      <w:tr>
        <w:trPr>
          <w:trHeight w:val="328"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计算机软件</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166,120.00</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493,202.34</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659,322.34</w:t>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265,400.00</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265,400.00</w:t>
            </w:r>
          </w:p>
        </w:tc>
      </w:tr>
      <w:tr>
        <w:trPr>
          <w:trHeight w:val="560"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二、无形资产累计摊销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额合计</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45,034.76</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92,435.20</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137,469.96</w:t>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计算机软件</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45,034.76</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82,331.87</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127,366.63</w:t>
            </w:r>
          </w:p>
        </w:tc>
      </w:tr>
      <w:tr>
        <w:trPr>
          <w:trHeight w:val="328"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10,103.33</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10,103.33</w:t>
            </w:r>
          </w:p>
        </w:tc>
      </w:tr>
      <w:tr>
        <w:trPr>
          <w:trHeight w:val="559"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三、无形资产账面价值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121,085.24</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666,167.14</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787,252.38</w:t>
            </w:r>
          </w:p>
        </w:tc>
      </w:tr>
      <w:tr>
        <w:trPr>
          <w:trHeight w:val="328"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计算机软件</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121,085.24</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410,870.47</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531,955.71</w:t>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8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c>
          <w:tcPr>
            <w:tcW w:w="14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255,296.67</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0"/>
              <w:jc w:val="right"/>
              <w:rPr>
                <w:rFonts w:ascii="Arial Narrow" w:hAnsi="Arial Narrow" w:cs="Arial Narrow" w:eastAsia="Arial Narrow" w:hint="default"/>
                <w:sz w:val="21"/>
                <w:szCs w:val="21"/>
              </w:rPr>
            </w:pPr>
            <w:r>
              <w:rPr>
                <w:rFonts w:ascii="Arial Narrow"/>
                <w:sz w:val="21"/>
              </w:rPr>
              <w:t>-</w:t>
            </w:r>
          </w:p>
        </w:tc>
        <w:tc>
          <w:tcPr>
            <w:tcW w:w="18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255,296.67</w:t>
            </w:r>
          </w:p>
        </w:tc>
      </w:tr>
    </w:tbl>
    <w:p>
      <w:pPr>
        <w:spacing w:line="257" w:lineRule="exact" w:before="0"/>
        <w:ind w:left="646"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开发支出</w:t>
      </w:r>
    </w:p>
    <w:p>
      <w:pPr>
        <w:spacing w:line="240" w:lineRule="auto" w:before="9"/>
        <w:rPr>
          <w:rFonts w:ascii="宋体" w:hAnsi="宋体" w:cs="宋体" w:eastAsia="宋体" w:hint="default"/>
          <w:sz w:val="11"/>
          <w:szCs w:val="11"/>
        </w:rPr>
      </w:pPr>
    </w:p>
    <w:tbl>
      <w:tblPr>
        <w:tblW w:w="0" w:type="auto"/>
        <w:jc w:val="left"/>
        <w:tblInd w:w="196" w:type="dxa"/>
        <w:tblLayout w:type="fixed"/>
        <w:tblCellMar>
          <w:top w:w="0" w:type="dxa"/>
          <w:left w:w="0" w:type="dxa"/>
          <w:bottom w:w="0" w:type="dxa"/>
          <w:right w:w="0" w:type="dxa"/>
        </w:tblCellMar>
        <w:tblLook w:val="01E0"/>
      </w:tblPr>
      <w:tblGrid>
        <w:gridCol w:w="2498"/>
        <w:gridCol w:w="1093"/>
        <w:gridCol w:w="1319"/>
        <w:gridCol w:w="1318"/>
        <w:gridCol w:w="1274"/>
        <w:gridCol w:w="1265"/>
      </w:tblGrid>
      <w:tr>
        <w:trPr>
          <w:trHeight w:val="373" w:hRule="exact"/>
        </w:trPr>
        <w:tc>
          <w:tcPr>
            <w:tcW w:w="2498" w:type="dxa"/>
            <w:vMerge w:val="restart"/>
            <w:tcBorders>
              <w:top w:val="single" w:sz="6" w:space="0" w:color="000000"/>
              <w:left w:val="single" w:sz="6"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21"/>
                <w:szCs w:val="21"/>
              </w:rPr>
            </w:pPr>
          </w:p>
          <w:p>
            <w:pPr>
              <w:pStyle w:val="TableParagraph"/>
              <w:tabs>
                <w:tab w:pos="1610" w:val="left" w:leader="none"/>
              </w:tabs>
              <w:spacing w:line="240" w:lineRule="auto"/>
              <w:ind w:left="66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093" w:type="dxa"/>
            <w:vMerge w:val="restart"/>
            <w:tcBorders>
              <w:top w:val="single" w:sz="6" w:space="0" w:color="000000"/>
              <w:left w:val="single" w:sz="4" w:space="0" w:color="000000"/>
              <w:right w:val="single" w:sz="4" w:space="0" w:color="000000"/>
            </w:tcBorders>
            <w:shd w:val="clear" w:color="auto" w:fill="C0C0C0"/>
          </w:tcPr>
          <w:p>
            <w:pPr>
              <w:pStyle w:val="TableParagraph"/>
              <w:spacing w:line="272" w:lineRule="exact" w:before="169"/>
              <w:ind w:left="331" w:right="120" w:hanging="210"/>
              <w:jc w:val="left"/>
              <w:rPr>
                <w:rFonts w:ascii="宋体" w:hAnsi="宋体" w:cs="宋体" w:eastAsia="宋体" w:hint="default"/>
                <w:sz w:val="21"/>
                <w:szCs w:val="21"/>
              </w:rPr>
            </w:pPr>
            <w:r>
              <w:rPr>
                <w:rFonts w:ascii="宋体" w:hAnsi="宋体" w:cs="宋体" w:eastAsia="宋体" w:hint="default"/>
                <w:sz w:val="21"/>
                <w:szCs w:val="21"/>
              </w:rPr>
              <w:t>年初账面 余额</w:t>
            </w:r>
          </w:p>
        </w:tc>
        <w:tc>
          <w:tcPr>
            <w:tcW w:w="1319" w:type="dxa"/>
            <w:vMerge w:val="restart"/>
            <w:tcBorders>
              <w:top w:val="single" w:sz="6" w:space="0" w:color="000000"/>
              <w:left w:val="single" w:sz="4" w:space="0" w:color="000000"/>
              <w:right w:val="single" w:sz="4" w:space="0" w:color="000000"/>
            </w:tcBorders>
            <w:shd w:val="clear" w:color="auto" w:fill="C0C0C0"/>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28"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2592" w:type="dxa"/>
            <w:gridSpan w:val="2"/>
            <w:tcBorders>
              <w:top w:val="single" w:sz="6"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8"/>
              <w:ind w:left="766"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265" w:type="dxa"/>
            <w:vMerge w:val="restart"/>
            <w:tcBorders>
              <w:top w:val="single" w:sz="6" w:space="0" w:color="000000"/>
              <w:left w:val="single" w:sz="4" w:space="0" w:color="000000"/>
              <w:right w:val="single" w:sz="6" w:space="0" w:color="000000"/>
            </w:tcBorders>
            <w:shd w:val="clear" w:color="auto" w:fill="C0C0C0"/>
          </w:tcPr>
          <w:p>
            <w:pPr>
              <w:pStyle w:val="TableParagraph"/>
              <w:spacing w:line="272" w:lineRule="exact" w:before="169"/>
              <w:ind w:left="416" w:right="204" w:hanging="210"/>
              <w:jc w:val="left"/>
              <w:rPr>
                <w:rFonts w:ascii="宋体" w:hAnsi="宋体" w:cs="宋体" w:eastAsia="宋体" w:hint="default"/>
                <w:sz w:val="21"/>
                <w:szCs w:val="21"/>
              </w:rPr>
            </w:pPr>
            <w:r>
              <w:rPr>
                <w:rFonts w:ascii="宋体" w:hAnsi="宋体" w:cs="宋体" w:eastAsia="宋体" w:hint="default"/>
                <w:sz w:val="21"/>
                <w:szCs w:val="21"/>
              </w:rPr>
              <w:t>年末账面 余额</w:t>
            </w:r>
          </w:p>
        </w:tc>
      </w:tr>
      <w:tr>
        <w:trPr>
          <w:trHeight w:val="554" w:hRule="exact"/>
        </w:trPr>
        <w:tc>
          <w:tcPr>
            <w:tcW w:w="2498" w:type="dxa"/>
            <w:vMerge/>
            <w:tcBorders>
              <w:left w:val="single" w:sz="6" w:space="0" w:color="000000"/>
              <w:bottom w:val="single" w:sz="4" w:space="0" w:color="000000"/>
              <w:right w:val="single" w:sz="4" w:space="0" w:color="000000"/>
            </w:tcBorders>
            <w:shd w:val="clear" w:color="auto" w:fill="C0C0C0"/>
          </w:tcPr>
          <w:p>
            <w:pPr/>
          </w:p>
        </w:tc>
        <w:tc>
          <w:tcPr>
            <w:tcW w:w="1093" w:type="dxa"/>
            <w:vMerge/>
            <w:tcBorders>
              <w:left w:val="single" w:sz="4" w:space="0" w:color="000000"/>
              <w:bottom w:val="single" w:sz="4" w:space="0" w:color="000000"/>
              <w:right w:val="single" w:sz="4" w:space="0" w:color="000000"/>
            </w:tcBorders>
            <w:shd w:val="clear" w:color="auto" w:fill="C0C0C0"/>
          </w:tcPr>
          <w:p>
            <w:pPr/>
          </w:p>
        </w:tc>
        <w:tc>
          <w:tcPr>
            <w:tcW w:w="1319" w:type="dxa"/>
            <w:vMerge/>
            <w:tcBorders>
              <w:left w:val="single" w:sz="4" w:space="0" w:color="000000"/>
              <w:bottom w:val="single" w:sz="4" w:space="0" w:color="000000"/>
              <w:right w:val="single" w:sz="4" w:space="0" w:color="000000"/>
            </w:tcBorders>
            <w:shd w:val="clear" w:color="auto" w:fill="C0C0C0"/>
          </w:tcPr>
          <w:p>
            <w:pPr/>
          </w:p>
        </w:tc>
        <w:tc>
          <w:tcPr>
            <w:tcW w:w="1318"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计入当期损</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益</w:t>
            </w:r>
          </w:p>
        </w:tc>
        <w:tc>
          <w:tcPr>
            <w:tcW w:w="127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确认为无形</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资产</w:t>
            </w:r>
          </w:p>
        </w:tc>
        <w:tc>
          <w:tcPr>
            <w:tcW w:w="1265" w:type="dxa"/>
            <w:vMerge/>
            <w:tcBorders>
              <w:left w:val="single" w:sz="4" w:space="0" w:color="000000"/>
              <w:bottom w:val="single" w:sz="4" w:space="0" w:color="000000"/>
              <w:right w:val="single" w:sz="6" w:space="0" w:color="000000"/>
            </w:tcBorders>
            <w:shd w:val="clear" w:color="auto" w:fill="C0C0C0"/>
          </w:tcPr>
          <w:p>
            <w:pPr/>
          </w:p>
        </w:tc>
      </w:tr>
      <w:tr>
        <w:trPr>
          <w:trHeight w:val="370"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283"/>
              <w:jc w:val="right"/>
              <w:rPr>
                <w:rFonts w:ascii="宋体" w:hAnsi="宋体" w:cs="宋体" w:eastAsia="宋体" w:hint="default"/>
                <w:sz w:val="21"/>
                <w:szCs w:val="21"/>
              </w:rPr>
            </w:pPr>
            <w:r>
              <w:rPr>
                <w:rFonts w:ascii="宋体" w:hAnsi="宋体" w:cs="宋体" w:eastAsia="宋体" w:hint="default"/>
                <w:sz w:val="21"/>
                <w:szCs w:val="21"/>
              </w:rPr>
              <w:t>电子数据取证产品项目</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Arial Narrow" w:hAnsi="Arial Narrow" w:cs="Arial Narrow" w:eastAsia="Arial Narrow" w:hint="default"/>
                <w:sz w:val="21"/>
                <w:szCs w:val="21"/>
              </w:rPr>
            </w:pPr>
            <w:r>
              <w:rPr>
                <w:rFonts w:ascii="Arial Narrow"/>
                <w:spacing w:val="-1"/>
                <w:sz w:val="21"/>
              </w:rPr>
              <w:t>22,777,103.93</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Arial Narrow" w:hAnsi="Arial Narrow" w:cs="Arial Narrow" w:eastAsia="Arial Narrow" w:hint="default"/>
                <w:sz w:val="21"/>
                <w:szCs w:val="21"/>
              </w:rPr>
            </w:pPr>
            <w:r>
              <w:rPr>
                <w:rFonts w:ascii="Arial Narrow"/>
                <w:spacing w:val="-1"/>
                <w:sz w:val="21"/>
              </w:rPr>
              <w:t>15,273,593.34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7"/>
              <w:ind w:right="100"/>
              <w:jc w:val="right"/>
              <w:rPr>
                <w:rFonts w:ascii="Arial Narrow" w:hAnsi="Arial Narrow" w:cs="Arial Narrow" w:eastAsia="Arial Narrow" w:hint="default"/>
                <w:sz w:val="21"/>
                <w:szCs w:val="21"/>
              </w:rPr>
            </w:pPr>
            <w:r>
              <w:rPr>
                <w:rFonts w:ascii="Arial Narrow"/>
                <w:spacing w:val="-1"/>
                <w:sz w:val="21"/>
              </w:rPr>
              <w:t>7,503,510.59</w:t>
            </w:r>
          </w:p>
        </w:tc>
      </w:tr>
      <w:tr>
        <w:trPr>
          <w:trHeight w:val="554"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其中：电子数据取证综合</w:t>
            </w:r>
          </w:p>
          <w:p>
            <w:pPr>
              <w:pStyle w:val="TableParagraph"/>
              <w:spacing w:line="274" w:lineRule="exact"/>
              <w:ind w:left="730" w:right="0"/>
              <w:jc w:val="left"/>
              <w:rPr>
                <w:rFonts w:ascii="宋体" w:hAnsi="宋体" w:cs="宋体" w:eastAsia="宋体" w:hint="default"/>
                <w:sz w:val="21"/>
                <w:szCs w:val="21"/>
              </w:rPr>
            </w:pPr>
            <w:r>
              <w:rPr>
                <w:rFonts w:ascii="宋体" w:hAnsi="宋体" w:cs="宋体" w:eastAsia="宋体" w:hint="default"/>
                <w:sz w:val="21"/>
                <w:szCs w:val="21"/>
              </w:rPr>
              <w:t>勘查平台</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3"/>
                <w:szCs w:val="2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2"/>
              <w:jc w:val="right"/>
              <w:rPr>
                <w:rFonts w:ascii="Arial Narrow" w:hAnsi="Arial Narrow" w:cs="Arial Narrow" w:eastAsia="Arial Narrow" w:hint="default"/>
                <w:sz w:val="21"/>
                <w:szCs w:val="21"/>
              </w:rPr>
            </w:pPr>
            <w:r>
              <w:rPr>
                <w:rFonts w:ascii="Arial Narrow"/>
                <w:spacing w:val="-1"/>
                <w:sz w:val="21"/>
              </w:rPr>
              <w:t>4,930,999.18</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Arial Narrow" w:hAnsi="Arial Narrow" w:cs="Arial Narrow" w:eastAsia="Arial Narrow" w:hint="default"/>
                <w:sz w:val="21"/>
                <w:szCs w:val="21"/>
              </w:rPr>
            </w:pPr>
            <w:r>
              <w:rPr>
                <w:rFonts w:ascii="Arial Narrow"/>
                <w:sz w:val="21"/>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9"/>
              <w:ind w:right="101"/>
              <w:jc w:val="right"/>
              <w:rPr>
                <w:rFonts w:ascii="Arial Narrow" w:hAnsi="Arial Narrow" w:cs="Arial Narrow" w:eastAsia="Arial Narrow" w:hint="default"/>
                <w:sz w:val="21"/>
                <w:szCs w:val="21"/>
              </w:rPr>
            </w:pPr>
            <w:r>
              <w:rPr>
                <w:rFonts w:ascii="Arial Narrow"/>
                <w:spacing w:val="-1"/>
                <w:sz w:val="21"/>
              </w:rPr>
              <w:t>4,930,999.18</w:t>
            </w:r>
          </w:p>
        </w:tc>
      </w:tr>
      <w:tr>
        <w:trPr>
          <w:trHeight w:val="371"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283"/>
              <w:jc w:val="right"/>
              <w:rPr>
                <w:rFonts w:ascii="宋体" w:hAnsi="宋体" w:cs="宋体" w:eastAsia="宋体" w:hint="default"/>
                <w:sz w:val="21"/>
                <w:szCs w:val="21"/>
              </w:rPr>
            </w:pPr>
            <w:r>
              <w:rPr>
                <w:rFonts w:ascii="宋体" w:hAnsi="宋体" w:cs="宋体" w:eastAsia="宋体" w:hint="default"/>
                <w:sz w:val="21"/>
                <w:szCs w:val="21"/>
              </w:rPr>
              <w:t>手机取证一体机</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Arial Narrow" w:hAnsi="Arial Narrow" w:cs="Arial Narrow" w:eastAsia="Arial Narrow" w:hint="default"/>
                <w:sz w:val="21"/>
                <w:szCs w:val="21"/>
              </w:rPr>
            </w:pPr>
            <w:r>
              <w:rPr>
                <w:rFonts w:ascii="Arial Narrow"/>
                <w:spacing w:val="-1"/>
                <w:sz w:val="21"/>
              </w:rPr>
              <w:t>2,918,338.57</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pacing w:val="-1"/>
                <w:sz w:val="21"/>
              </w:rPr>
              <w:t>345,827.16</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pacing w:val="-2"/>
                <w:sz w:val="21"/>
              </w:rPr>
              <w:t>2,572,511.41</w:t>
            </w:r>
          </w:p>
        </w:tc>
      </w:tr>
      <w:tr>
        <w:trPr>
          <w:trHeight w:val="370"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left="730" w:right="0"/>
              <w:jc w:val="left"/>
              <w:rPr>
                <w:rFonts w:ascii="宋体" w:hAnsi="宋体" w:cs="宋体" w:eastAsia="宋体" w:hint="default"/>
                <w:sz w:val="21"/>
                <w:szCs w:val="21"/>
              </w:rPr>
            </w:pPr>
            <w:r>
              <w:rPr>
                <w:rFonts w:ascii="宋体" w:hAnsi="宋体" w:cs="宋体" w:eastAsia="宋体" w:hint="default"/>
                <w:sz w:val="21"/>
                <w:szCs w:val="21"/>
              </w:rPr>
              <w:t>其他项目</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pacing w:val="-1"/>
                <w:sz w:val="21"/>
              </w:rPr>
              <w:t>14,927,766.18</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pacing w:val="-1"/>
                <w:sz w:val="21"/>
              </w:rPr>
              <w:t>14,927,766.18</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z w:val="21"/>
              </w:rPr>
              <w:t>-</w:t>
            </w:r>
          </w:p>
        </w:tc>
      </w:tr>
      <w:tr>
        <w:trPr>
          <w:trHeight w:val="370"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283"/>
              <w:jc w:val="right"/>
              <w:rPr>
                <w:rFonts w:ascii="宋体" w:hAnsi="宋体" w:cs="宋体" w:eastAsia="宋体" w:hint="default"/>
                <w:sz w:val="21"/>
                <w:szCs w:val="21"/>
              </w:rPr>
            </w:pPr>
            <w:r>
              <w:rPr>
                <w:rFonts w:ascii="宋体" w:hAnsi="宋体" w:cs="宋体" w:eastAsia="宋体" w:hint="default"/>
                <w:sz w:val="21"/>
                <w:szCs w:val="21"/>
              </w:rPr>
              <w:t>网络信息安全产品项目</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2"/>
              <w:jc w:val="right"/>
              <w:rPr>
                <w:rFonts w:ascii="Arial Narrow" w:hAnsi="Arial Narrow" w:cs="Arial Narrow" w:eastAsia="Arial Narrow" w:hint="default"/>
                <w:sz w:val="21"/>
                <w:szCs w:val="21"/>
              </w:rPr>
            </w:pPr>
            <w:r>
              <w:rPr>
                <w:rFonts w:ascii="Arial Narrow"/>
                <w:spacing w:val="-1"/>
                <w:sz w:val="21"/>
              </w:rPr>
              <w:t>5,104,396.73</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pacing w:val="-1"/>
                <w:sz w:val="21"/>
              </w:rPr>
              <w:t>5,104,396.73</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z w:val="21"/>
              </w:rPr>
              <w:t>-</w:t>
            </w:r>
          </w:p>
        </w:tc>
      </w:tr>
      <w:tr>
        <w:trPr>
          <w:trHeight w:val="556" w:hRule="exact"/>
        </w:trPr>
        <w:tc>
          <w:tcPr>
            <w:tcW w:w="2498" w:type="dxa"/>
            <w:tcBorders>
              <w:top w:val="single" w:sz="4" w:space="0" w:color="000000"/>
              <w:left w:val="single" w:sz="6" w:space="0" w:color="000000"/>
              <w:bottom w:val="single" w:sz="4" w:space="0" w:color="000000"/>
              <w:right w:val="single" w:sz="4" w:space="0" w:color="000000"/>
            </w:tcBorders>
          </w:tcPr>
          <w:p>
            <w:pPr>
              <w:pStyle w:val="TableParagraph"/>
              <w:spacing w:line="238"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电子数据鉴定及知识产</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权保护服务项目</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3"/>
                <w:szCs w:val="23"/>
              </w:rPr>
            </w:pPr>
          </w:p>
          <w:p>
            <w:pPr>
              <w:pStyle w:val="TableParagraph"/>
              <w:spacing w:line="240" w:lineRule="auto"/>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02"/>
              <w:jc w:val="right"/>
              <w:rPr>
                <w:rFonts w:ascii="Arial Narrow" w:hAnsi="Arial Narrow" w:cs="Arial Narrow" w:eastAsia="Arial Narrow" w:hint="default"/>
                <w:sz w:val="21"/>
                <w:szCs w:val="21"/>
              </w:rPr>
            </w:pPr>
            <w:r>
              <w:rPr>
                <w:rFonts w:ascii="Arial Narrow"/>
                <w:spacing w:val="-1"/>
                <w:sz w:val="21"/>
              </w:rPr>
              <w:t>2,477,717.91</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Arial Narrow" w:hAnsi="Arial Narrow" w:cs="Arial Narrow" w:eastAsia="Arial Narrow" w:hint="default"/>
                <w:sz w:val="21"/>
                <w:szCs w:val="21"/>
              </w:rPr>
            </w:pPr>
            <w:r>
              <w:rPr>
                <w:rFonts w:ascii="Arial Narrow"/>
                <w:spacing w:val="-1"/>
                <w:sz w:val="21"/>
              </w:rPr>
              <w:t>2,477,717.91</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149"/>
              <w:ind w:right="100"/>
              <w:jc w:val="right"/>
              <w:rPr>
                <w:rFonts w:ascii="Arial Narrow" w:hAnsi="Arial Narrow" w:cs="Arial Narrow" w:eastAsia="Arial Narrow" w:hint="default"/>
                <w:sz w:val="21"/>
                <w:szCs w:val="21"/>
              </w:rPr>
            </w:pPr>
            <w:r>
              <w:rPr>
                <w:rFonts w:ascii="Arial Narrow"/>
                <w:sz w:val="21"/>
              </w:rPr>
              <w:t>-</w:t>
            </w:r>
          </w:p>
        </w:tc>
      </w:tr>
      <w:tr>
        <w:trPr>
          <w:trHeight w:val="371" w:hRule="exact"/>
        </w:trPr>
        <w:tc>
          <w:tcPr>
            <w:tcW w:w="2498" w:type="dxa"/>
            <w:tcBorders>
              <w:top w:val="single" w:sz="4" w:space="0" w:color="000000"/>
              <w:left w:val="single" w:sz="6" w:space="0" w:color="000000"/>
              <w:bottom w:val="single" w:sz="6" w:space="0" w:color="000000"/>
              <w:right w:val="single" w:sz="4" w:space="0" w:color="000000"/>
            </w:tcBorders>
          </w:tcPr>
          <w:p>
            <w:pPr>
              <w:pStyle w:val="TableParagraph"/>
              <w:tabs>
                <w:tab w:pos="421" w:val="left" w:leader="none"/>
              </w:tabs>
              <w:spacing w:line="240" w:lineRule="auto" w:before="5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09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11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pacing w:val="-1"/>
                <w:sz w:val="21"/>
              </w:rPr>
              <w:t>30,359,218.57</w:t>
            </w:r>
          </w:p>
        </w:tc>
        <w:tc>
          <w:tcPr>
            <w:tcW w:w="13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pacing w:val="-1"/>
                <w:sz w:val="21"/>
              </w:rPr>
              <w:t>22,855,707.98</w:t>
            </w:r>
          </w:p>
        </w:tc>
        <w:tc>
          <w:tcPr>
            <w:tcW w:w="127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6"/>
              <w:ind w:right="101"/>
              <w:jc w:val="right"/>
              <w:rPr>
                <w:rFonts w:ascii="Arial Narrow" w:hAnsi="Arial Narrow" w:cs="Arial Narrow" w:eastAsia="Arial Narrow" w:hint="default"/>
                <w:sz w:val="21"/>
                <w:szCs w:val="21"/>
              </w:rPr>
            </w:pPr>
            <w:r>
              <w:rPr>
                <w:rFonts w:ascii="Arial Narrow"/>
                <w:sz w:val="21"/>
              </w:rPr>
              <w:t>-</w:t>
            </w:r>
          </w:p>
        </w:tc>
        <w:tc>
          <w:tcPr>
            <w:tcW w:w="126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56"/>
              <w:ind w:right="100"/>
              <w:jc w:val="right"/>
              <w:rPr>
                <w:rFonts w:ascii="Arial Narrow" w:hAnsi="Arial Narrow" w:cs="Arial Narrow" w:eastAsia="Arial Narrow" w:hint="default"/>
                <w:sz w:val="21"/>
                <w:szCs w:val="21"/>
              </w:rPr>
            </w:pPr>
            <w:r>
              <w:rPr>
                <w:rFonts w:ascii="Arial Narrow"/>
                <w:spacing w:val="-1"/>
                <w:sz w:val="21"/>
              </w:rPr>
              <w:t>7,503,510.59</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60"/>
        </w:sectPr>
      </w:pPr>
    </w:p>
    <w:p>
      <w:pPr>
        <w:spacing w:before="6"/>
        <w:ind w:left="431" w:right="180" w:firstLine="0"/>
        <w:jc w:val="left"/>
        <w:rPr>
          <w:rFonts w:ascii="宋体" w:hAnsi="宋体" w:cs="宋体" w:eastAsia="宋体" w:hint="default"/>
          <w:sz w:val="21"/>
          <w:szCs w:val="21"/>
        </w:rPr>
      </w:pPr>
      <w:r>
        <w:rPr>
          <w:rFonts w:ascii="宋体" w:hAnsi="宋体" w:cs="宋体" w:eastAsia="宋体" w:hint="default"/>
          <w:sz w:val="21"/>
          <w:szCs w:val="21"/>
        </w:rPr>
        <w:t>注：本年开发支出占本年研究开发项目支出总额的比例为</w:t>
      </w:r>
      <w:r>
        <w:rPr>
          <w:rFonts w:ascii="宋体" w:hAnsi="宋体" w:cs="宋体" w:eastAsia="宋体" w:hint="default"/>
          <w:spacing w:val="-57"/>
          <w:sz w:val="21"/>
          <w:szCs w:val="21"/>
        </w:rPr>
        <w:t> </w:t>
      </w:r>
      <w:r>
        <w:rPr>
          <w:rFonts w:ascii="Arial Narrow" w:hAnsi="Arial Narrow" w:cs="Arial Narrow" w:eastAsia="Arial Narrow" w:hint="default"/>
          <w:sz w:val="21"/>
          <w:szCs w:val="21"/>
        </w:rPr>
        <w:t>24.72%</w:t>
      </w:r>
      <w:r>
        <w:rPr>
          <w:rFonts w:ascii="宋体" w:hAnsi="宋体" w:cs="宋体" w:eastAsia="宋体" w:hint="default"/>
          <w:sz w:val="21"/>
          <w:szCs w:val="21"/>
        </w:rPr>
        <w:t>。</w:t>
      </w:r>
    </w:p>
    <w:p>
      <w:pPr>
        <w:tabs>
          <w:tab w:pos="1479" w:val="left" w:leader="none"/>
        </w:tabs>
        <w:spacing w:line="410" w:lineRule="auto" w:before="178"/>
        <w:ind w:left="639" w:right="4238" w:firstLine="0"/>
        <w:jc w:val="left"/>
        <w:rPr>
          <w:rFonts w:ascii="宋体" w:hAnsi="宋体" w:cs="宋体" w:eastAsia="宋体" w:hint="default"/>
          <w:sz w:val="21"/>
          <w:szCs w:val="21"/>
        </w:rPr>
      </w:pPr>
      <w:r>
        <w:rPr>
          <w:rFonts w:ascii="宋体" w:hAnsi="宋体" w:cs="宋体" w:eastAsia="宋体" w:hint="default"/>
          <w:b/>
          <w:bCs/>
          <w:w w:val="95"/>
          <w:sz w:val="21"/>
          <w:szCs w:val="21"/>
        </w:rPr>
        <w:t>（十）</w:t>
        <w:tab/>
      </w:r>
      <w:r>
        <w:rPr>
          <w:rFonts w:ascii="宋体" w:hAnsi="宋体" w:cs="宋体" w:eastAsia="宋体" w:hint="default"/>
          <w:b/>
          <w:bCs/>
          <w:sz w:val="21"/>
          <w:szCs w:val="21"/>
        </w:rPr>
        <w:t>长期待摊费用</w:t>
      </w:r>
      <w:r>
        <w:rPr>
          <w:rFonts w:ascii="宋体" w:hAnsi="宋体" w:cs="宋体" w:eastAsia="宋体" w:hint="default"/>
          <w:b/>
          <w:bCs/>
          <w:w w:val="99"/>
          <w:sz w:val="21"/>
          <w:szCs w:val="21"/>
        </w:rPr>
        <w:t> </w:t>
      </w:r>
      <w:r>
        <w:rPr>
          <w:rFonts w:ascii="宋体" w:hAnsi="宋体" w:cs="宋体" w:eastAsia="宋体" w:hint="default"/>
          <w:sz w:val="21"/>
          <w:szCs w:val="21"/>
        </w:rPr>
        <w:t>长期待摊费用明细列示及增减变动列示如下：</w:t>
      </w:r>
    </w:p>
    <w:tbl>
      <w:tblPr>
        <w:tblW w:w="0" w:type="auto"/>
        <w:jc w:val="left"/>
        <w:tblInd w:w="110" w:type="dxa"/>
        <w:tblLayout w:type="fixed"/>
        <w:tblCellMar>
          <w:top w:w="0" w:type="dxa"/>
          <w:left w:w="0" w:type="dxa"/>
          <w:bottom w:w="0" w:type="dxa"/>
          <w:right w:w="0" w:type="dxa"/>
        </w:tblCellMar>
        <w:tblLook w:val="01E0"/>
      </w:tblPr>
      <w:tblGrid>
        <w:gridCol w:w="2334"/>
        <w:gridCol w:w="1578"/>
        <w:gridCol w:w="1222"/>
        <w:gridCol w:w="1128"/>
        <w:gridCol w:w="1078"/>
        <w:gridCol w:w="1505"/>
      </w:tblGrid>
      <w:tr>
        <w:trPr>
          <w:trHeight w:val="560" w:hRule="exact"/>
        </w:trPr>
        <w:tc>
          <w:tcPr>
            <w:tcW w:w="233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50"/>
              <w:jc w:val="right"/>
              <w:rPr>
                <w:rFonts w:ascii="宋体" w:hAnsi="宋体" w:cs="宋体" w:eastAsia="宋体" w:hint="default"/>
                <w:sz w:val="21"/>
                <w:szCs w:val="21"/>
              </w:rPr>
            </w:pPr>
            <w:r>
              <w:rPr>
                <w:rFonts w:ascii="宋体" w:hAnsi="宋体" w:cs="宋体" w:eastAsia="宋体" w:hint="default"/>
                <w:sz w:val="21"/>
                <w:szCs w:val="21"/>
              </w:rPr>
              <w:t>年初账面余额</w:t>
            </w:r>
          </w:p>
        </w:tc>
        <w:tc>
          <w:tcPr>
            <w:tcW w:w="12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额</w:t>
            </w:r>
          </w:p>
        </w:tc>
        <w:tc>
          <w:tcPr>
            <w:tcW w:w="112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本年摊销</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额</w:t>
            </w:r>
          </w:p>
        </w:tc>
        <w:tc>
          <w:tcPr>
            <w:tcW w:w="10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本年其他</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减少额</w:t>
            </w:r>
          </w:p>
        </w:tc>
        <w:tc>
          <w:tcPr>
            <w:tcW w:w="150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13"/>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55"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北京办事处装修费</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391,208.18</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571,321.98</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233,018.54</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2"/>
                <w:sz w:val="21"/>
              </w:rPr>
              <w:t>729,511.62</w:t>
            </w:r>
          </w:p>
        </w:tc>
      </w:tr>
      <w:tr>
        <w:trPr>
          <w:trHeight w:val="559"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100" w:right="0"/>
              <w:jc w:val="left"/>
              <w:rPr>
                <w:rFonts w:ascii="Arial Narrow" w:hAnsi="Arial Narrow" w:cs="Arial Narrow" w:eastAsia="Arial Narrow" w:hint="default"/>
                <w:sz w:val="21"/>
                <w:szCs w:val="21"/>
              </w:rPr>
            </w:pPr>
            <w:r>
              <w:rPr>
                <w:rFonts w:ascii="宋体" w:hAnsi="宋体" w:cs="宋体" w:eastAsia="宋体" w:hint="default"/>
                <w:spacing w:val="15"/>
                <w:sz w:val="21"/>
                <w:szCs w:val="21"/>
              </w:rPr>
              <w:t>软件园二期观日路</w:t>
            </w:r>
            <w:r>
              <w:rPr>
                <w:rFonts w:ascii="宋体" w:hAnsi="宋体" w:cs="宋体" w:eastAsia="宋体" w:hint="default"/>
                <w:spacing w:val="20"/>
                <w:sz w:val="21"/>
                <w:szCs w:val="21"/>
              </w:rPr>
              <w:t> </w:t>
            </w:r>
            <w:r>
              <w:rPr>
                <w:rFonts w:ascii="Arial Narrow" w:hAnsi="Arial Narrow" w:cs="Arial Narrow" w:eastAsia="Arial Narrow" w:hint="default"/>
                <w:sz w:val="21"/>
                <w:szCs w:val="21"/>
              </w:rPr>
              <w:t>12</w:t>
            </w:r>
          </w:p>
          <w:p>
            <w:pPr>
              <w:pStyle w:val="TableParagraph"/>
              <w:spacing w:line="280" w:lineRule="exact"/>
              <w:ind w:left="100" w:right="-5"/>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2"/>
                <w:sz w:val="21"/>
                <w:szCs w:val="21"/>
              </w:rPr>
              <w:t> </w:t>
            </w:r>
            <w:r>
              <w:rPr>
                <w:rFonts w:ascii="Arial Narrow" w:hAnsi="Arial Narrow" w:cs="Arial Narrow" w:eastAsia="Arial Narrow" w:hint="default"/>
                <w:sz w:val="21"/>
                <w:szCs w:val="21"/>
              </w:rPr>
              <w:t>101</w:t>
            </w:r>
            <w:r>
              <w:rPr>
                <w:rFonts w:ascii="Arial Narrow" w:hAnsi="Arial Narrow" w:cs="Arial Narrow" w:eastAsia="Arial Narrow" w:hint="default"/>
                <w:spacing w:val="6"/>
                <w:sz w:val="21"/>
                <w:szCs w:val="21"/>
              </w:rPr>
              <w:t> </w:t>
            </w:r>
            <w:r>
              <w:rPr>
                <w:rFonts w:ascii="宋体" w:hAnsi="宋体" w:cs="宋体" w:eastAsia="宋体" w:hint="default"/>
                <w:spacing w:val="-8"/>
                <w:sz w:val="21"/>
                <w:szCs w:val="21"/>
              </w:rPr>
              <w:t>单元装修费（注）</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51,000.00</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621,860.95</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Arial Narrow" w:hAnsi="Arial Narrow" w:cs="Arial Narrow" w:eastAsia="Arial Narrow" w:hint="default"/>
                <w:sz w:val="21"/>
                <w:szCs w:val="21"/>
              </w:rPr>
            </w:pPr>
            <w:r>
              <w:rPr>
                <w:rFonts w:ascii="Arial Narrow"/>
                <w:spacing w:val="-1"/>
                <w:sz w:val="21"/>
              </w:rPr>
              <w:t>672,860.95</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559"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Arial Narrow" w:hAnsi="Arial Narrow" w:cs="Arial Narrow" w:eastAsia="Arial Narrow" w:hint="default"/>
                <w:sz w:val="21"/>
                <w:szCs w:val="21"/>
              </w:rPr>
            </w:pPr>
            <w:r>
              <w:rPr>
                <w:rFonts w:ascii="宋体" w:hAnsi="宋体" w:cs="宋体" w:eastAsia="宋体" w:hint="default"/>
                <w:spacing w:val="15"/>
                <w:sz w:val="21"/>
                <w:szCs w:val="21"/>
              </w:rPr>
              <w:t>软件园二期观日路</w:t>
            </w:r>
            <w:r>
              <w:rPr>
                <w:rFonts w:ascii="宋体" w:hAnsi="宋体" w:cs="宋体" w:eastAsia="宋体" w:hint="default"/>
                <w:spacing w:val="20"/>
                <w:sz w:val="21"/>
                <w:szCs w:val="21"/>
              </w:rPr>
              <w:t> </w:t>
            </w:r>
            <w:r>
              <w:rPr>
                <w:rFonts w:ascii="Arial Narrow" w:hAnsi="Arial Narrow" w:cs="Arial Narrow" w:eastAsia="Arial Narrow" w:hint="default"/>
                <w:sz w:val="21"/>
                <w:szCs w:val="21"/>
              </w:rPr>
              <w:t>14</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号租入办公楼装修费</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739,941.48</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370,250.16</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369,691.32</w:t>
            </w:r>
          </w:p>
        </w:tc>
      </w:tr>
      <w:tr>
        <w:trPr>
          <w:trHeight w:val="560"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Arial Narrow" w:hAnsi="Arial Narrow" w:cs="Arial Narrow" w:eastAsia="Arial Narrow" w:hint="default"/>
                <w:sz w:val="21"/>
                <w:szCs w:val="21"/>
              </w:rPr>
            </w:pPr>
            <w:r>
              <w:rPr>
                <w:rFonts w:ascii="宋体" w:hAnsi="宋体" w:cs="宋体" w:eastAsia="宋体" w:hint="default"/>
                <w:spacing w:val="15"/>
                <w:sz w:val="21"/>
                <w:szCs w:val="21"/>
              </w:rPr>
              <w:t>软件园二期观日路</w:t>
            </w:r>
            <w:r>
              <w:rPr>
                <w:rFonts w:ascii="宋体" w:hAnsi="宋体" w:cs="宋体" w:eastAsia="宋体" w:hint="default"/>
                <w:spacing w:val="20"/>
                <w:sz w:val="21"/>
                <w:szCs w:val="21"/>
              </w:rPr>
              <w:t> </w:t>
            </w:r>
            <w:r>
              <w:rPr>
                <w:rFonts w:ascii="Arial Narrow" w:hAnsi="Arial Narrow" w:cs="Arial Narrow" w:eastAsia="Arial Narrow" w:hint="default"/>
                <w:sz w:val="21"/>
                <w:szCs w:val="21"/>
              </w:rPr>
              <w:t>12</w:t>
            </w:r>
          </w:p>
          <w:p>
            <w:pPr>
              <w:pStyle w:val="TableParagraph"/>
              <w:spacing w:line="281" w:lineRule="exact"/>
              <w:ind w:left="100" w:right="0"/>
              <w:jc w:val="left"/>
              <w:rPr>
                <w:rFonts w:ascii="宋体" w:hAnsi="宋体" w:cs="宋体" w:eastAsia="宋体" w:hint="default"/>
                <w:sz w:val="21"/>
                <w:szCs w:val="21"/>
              </w:rPr>
            </w:pPr>
            <w:r>
              <w:rPr>
                <w:rFonts w:ascii="宋体" w:hAnsi="宋体" w:cs="宋体" w:eastAsia="宋体" w:hint="default"/>
                <w:sz w:val="21"/>
                <w:szCs w:val="21"/>
              </w:rPr>
              <w:t>号</w:t>
            </w:r>
            <w:r>
              <w:rPr>
                <w:rFonts w:ascii="宋体" w:hAnsi="宋体" w:cs="宋体" w:eastAsia="宋体" w:hint="default"/>
                <w:spacing w:val="-52"/>
                <w:sz w:val="21"/>
                <w:szCs w:val="21"/>
              </w:rPr>
              <w:t> </w:t>
            </w:r>
            <w:r>
              <w:rPr>
                <w:rFonts w:ascii="Arial Narrow" w:hAnsi="Arial Narrow" w:cs="Arial Narrow" w:eastAsia="Arial Narrow" w:hint="default"/>
                <w:spacing w:val="-5"/>
                <w:sz w:val="21"/>
                <w:szCs w:val="21"/>
              </w:rPr>
              <w:t>103</w:t>
            </w:r>
            <w:r>
              <w:rPr>
                <w:rFonts w:ascii="宋体" w:hAnsi="宋体" w:cs="宋体" w:eastAsia="宋体" w:hint="default"/>
                <w:spacing w:val="-5"/>
                <w:sz w:val="21"/>
                <w:szCs w:val="21"/>
              </w:rPr>
              <w:t>、</w:t>
            </w:r>
            <w:r>
              <w:rPr>
                <w:rFonts w:ascii="Arial Narrow" w:hAnsi="Arial Narrow" w:cs="Arial Narrow" w:eastAsia="Arial Narrow" w:hint="default"/>
                <w:spacing w:val="-5"/>
                <w:sz w:val="21"/>
                <w:szCs w:val="21"/>
              </w:rPr>
              <w:t>403</w:t>
            </w:r>
            <w:r>
              <w:rPr>
                <w:rFonts w:ascii="Arial Narrow" w:hAnsi="Arial Narrow" w:cs="Arial Narrow" w:eastAsia="Arial Narrow" w:hint="default"/>
                <w:spacing w:val="3"/>
                <w:sz w:val="21"/>
                <w:szCs w:val="21"/>
              </w:rPr>
              <w:t> </w:t>
            </w:r>
            <w:r>
              <w:rPr>
                <w:rFonts w:ascii="宋体" w:hAnsi="宋体" w:cs="宋体" w:eastAsia="宋体" w:hint="default"/>
                <w:sz w:val="21"/>
                <w:szCs w:val="21"/>
              </w:rPr>
              <w:t>单元装修费</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721,565.34</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pacing w:val="-1"/>
                <w:sz w:val="21"/>
              </w:rPr>
              <w:t>36,933.25</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1"/>
                <w:sz w:val="21"/>
              </w:rPr>
              <w:t>684,632.09</w:t>
            </w:r>
          </w:p>
        </w:tc>
      </w:tr>
      <w:tr>
        <w:trPr>
          <w:trHeight w:val="355"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成都办事处装修费</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84,000.00</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21,000.00</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63,000.00</w:t>
            </w:r>
          </w:p>
        </w:tc>
      </w:tr>
      <w:tr>
        <w:trPr>
          <w:trHeight w:val="354" w:hRule="exact"/>
        </w:trPr>
        <w:tc>
          <w:tcPr>
            <w:tcW w:w="233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1,182,149.66</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1,998,748.27</w:t>
            </w:r>
          </w:p>
        </w:tc>
        <w:tc>
          <w:tcPr>
            <w:tcW w:w="1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661,201.95</w:t>
            </w:r>
          </w:p>
        </w:tc>
        <w:tc>
          <w:tcPr>
            <w:tcW w:w="10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672,860.95</w:t>
            </w:r>
          </w:p>
        </w:tc>
        <w:tc>
          <w:tcPr>
            <w:tcW w:w="15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1,846,835.03</w:t>
            </w:r>
          </w:p>
        </w:tc>
      </w:tr>
    </w:tbl>
    <w:p>
      <w:pPr>
        <w:spacing w:line="240" w:lineRule="auto" w:before="5"/>
        <w:rPr>
          <w:rFonts w:ascii="宋体" w:hAnsi="宋体" w:cs="宋体" w:eastAsia="宋体" w:hint="default"/>
          <w:sz w:val="5"/>
          <w:szCs w:val="5"/>
        </w:rPr>
      </w:pPr>
    </w:p>
    <w:p>
      <w:pPr>
        <w:spacing w:line="338" w:lineRule="auto" w:before="35"/>
        <w:ind w:left="220" w:right="108" w:firstLine="419"/>
        <w:jc w:val="left"/>
        <w:rPr>
          <w:rFonts w:ascii="宋体" w:hAnsi="宋体" w:cs="宋体" w:eastAsia="宋体" w:hint="default"/>
          <w:sz w:val="21"/>
          <w:szCs w:val="21"/>
        </w:rPr>
      </w:pPr>
      <w:r>
        <w:rPr>
          <w:rFonts w:ascii="宋体" w:hAnsi="宋体" w:cs="宋体" w:eastAsia="宋体" w:hint="default"/>
          <w:spacing w:val="-11"/>
          <w:sz w:val="21"/>
          <w:szCs w:val="21"/>
        </w:rPr>
        <w:t>注：软件园二期观日路</w:t>
      </w:r>
      <w:r>
        <w:rPr>
          <w:rFonts w:ascii="宋体" w:hAnsi="宋体" w:cs="宋体" w:eastAsia="宋体" w:hint="default"/>
          <w:spacing w:val="-50"/>
          <w:sz w:val="21"/>
          <w:szCs w:val="21"/>
        </w:rPr>
        <w:t> </w:t>
      </w:r>
      <w:r>
        <w:rPr>
          <w:rFonts w:ascii="Arial Narrow" w:hAnsi="Arial Narrow" w:cs="Arial Narrow" w:eastAsia="Arial Narrow" w:hint="default"/>
          <w:w w:val="99"/>
          <w:sz w:val="21"/>
          <w:szCs w:val="21"/>
        </w:rPr>
        <w:t>12</w:t>
      </w:r>
      <w:r>
        <w:rPr>
          <w:rFonts w:ascii="Arial Narrow" w:hAnsi="Arial Narrow" w:cs="Arial Narrow" w:eastAsia="Arial Narrow" w:hint="default"/>
          <w:spacing w:val="6"/>
          <w:w w:val="99"/>
          <w:sz w:val="21"/>
          <w:szCs w:val="21"/>
        </w:rPr>
        <w:t> </w:t>
      </w:r>
      <w:r>
        <w:rPr>
          <w:rFonts w:ascii="宋体" w:hAnsi="宋体" w:cs="宋体" w:eastAsia="宋体" w:hint="default"/>
          <w:sz w:val="21"/>
          <w:szCs w:val="21"/>
        </w:rPr>
        <w:t>号</w:t>
      </w:r>
      <w:r>
        <w:rPr>
          <w:rFonts w:ascii="宋体" w:hAnsi="宋体" w:cs="宋体" w:eastAsia="宋体" w:hint="default"/>
          <w:spacing w:val="-50"/>
          <w:sz w:val="21"/>
          <w:szCs w:val="21"/>
        </w:rPr>
        <w:t> </w:t>
      </w:r>
      <w:r>
        <w:rPr>
          <w:rFonts w:ascii="Arial Narrow" w:hAnsi="Arial Narrow" w:cs="Arial Narrow" w:eastAsia="Arial Narrow" w:hint="default"/>
          <w:w w:val="99"/>
          <w:sz w:val="21"/>
          <w:szCs w:val="21"/>
        </w:rPr>
        <w:t>101</w:t>
      </w:r>
      <w:r>
        <w:rPr>
          <w:rFonts w:ascii="Arial Narrow" w:hAnsi="Arial Narrow" w:cs="Arial Narrow" w:eastAsia="Arial Narrow" w:hint="default"/>
          <w:spacing w:val="8"/>
          <w:w w:val="99"/>
          <w:sz w:val="21"/>
          <w:szCs w:val="21"/>
        </w:rPr>
        <w:t> </w:t>
      </w:r>
      <w:r>
        <w:rPr>
          <w:rFonts w:ascii="宋体" w:hAnsi="宋体" w:cs="宋体" w:eastAsia="宋体" w:hint="default"/>
          <w:spacing w:val="-1"/>
          <w:sz w:val="21"/>
          <w:szCs w:val="21"/>
        </w:rPr>
        <w:t>单元装修费本年其他减少额系</w:t>
      </w:r>
      <w:r>
        <w:rPr>
          <w:rFonts w:ascii="宋体" w:hAnsi="宋体" w:cs="宋体" w:eastAsia="宋体" w:hint="default"/>
          <w:spacing w:val="-50"/>
          <w:sz w:val="21"/>
          <w:szCs w:val="21"/>
        </w:rPr>
        <w:t> </w:t>
      </w:r>
      <w:r>
        <w:rPr>
          <w:rFonts w:ascii="Arial Narrow" w:hAnsi="Arial Narrow" w:cs="Arial Narrow" w:eastAsia="Arial Narrow" w:hint="default"/>
          <w:w w:val="99"/>
          <w:sz w:val="21"/>
          <w:szCs w:val="21"/>
        </w:rPr>
        <w:t>101</w:t>
      </w:r>
      <w:r>
        <w:rPr>
          <w:rFonts w:ascii="Arial Narrow" w:hAnsi="Arial Narrow" w:cs="Arial Narrow" w:eastAsia="Arial Narrow" w:hint="default"/>
          <w:spacing w:val="8"/>
          <w:w w:val="99"/>
          <w:sz w:val="21"/>
          <w:szCs w:val="21"/>
        </w:rPr>
        <w:t> </w:t>
      </w:r>
      <w:r>
        <w:rPr>
          <w:rFonts w:ascii="宋体" w:hAnsi="宋体" w:cs="宋体" w:eastAsia="宋体" w:hint="default"/>
          <w:spacing w:val="-1"/>
          <w:sz w:val="21"/>
          <w:szCs w:val="21"/>
        </w:rPr>
        <w:t>单元进行超算中心建设，</w:t>
      </w:r>
      <w:r>
        <w:rPr>
          <w:rFonts w:ascii="宋体" w:hAnsi="宋体" w:cs="宋体" w:eastAsia="宋体" w:hint="default"/>
          <w:sz w:val="21"/>
          <w:szCs w:val="21"/>
        </w:rPr>
        <w:t> 相应装修费转入在建工程超算中心。</w:t>
      </w:r>
    </w:p>
    <w:p>
      <w:pPr>
        <w:tabs>
          <w:tab w:pos="1900" w:val="left" w:leader="none"/>
        </w:tabs>
        <w:spacing w:before="108"/>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（十一）</w:t>
        <w:tab/>
      </w:r>
      <w:r>
        <w:rPr>
          <w:rFonts w:ascii="宋体" w:hAnsi="宋体" w:cs="宋体" w:eastAsia="宋体" w:hint="default"/>
          <w:b/>
          <w:bCs/>
          <w:sz w:val="21"/>
          <w:szCs w:val="21"/>
        </w:rPr>
        <w:t>递延所得税资产与递延所得税负债</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、未互抵的递延所得税资产和递延所得税负债明细项目列示如下：</w:t>
      </w:r>
    </w:p>
    <w:p>
      <w:pPr>
        <w:spacing w:line="240" w:lineRule="auto" w:before="1"/>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768"/>
        <w:gridCol w:w="1518"/>
        <w:gridCol w:w="2021"/>
        <w:gridCol w:w="1518"/>
        <w:gridCol w:w="2020"/>
      </w:tblGrid>
      <w:tr>
        <w:trPr>
          <w:trHeight w:val="338" w:hRule="exact"/>
        </w:trPr>
        <w:tc>
          <w:tcPr>
            <w:tcW w:w="1768" w:type="dxa"/>
            <w:vMerge w:val="restart"/>
            <w:tcBorders>
              <w:top w:val="single" w:sz="6" w:space="0" w:color="000000"/>
              <w:left w:val="single" w:sz="6" w:space="0" w:color="000000"/>
              <w:right w:val="single" w:sz="6" w:space="0" w:color="000000"/>
            </w:tcBorders>
            <w:shd w:val="clear" w:color="auto" w:fill="C0C0C0"/>
          </w:tcPr>
          <w:p>
            <w:pPr>
              <w:pStyle w:val="TableParagraph"/>
              <w:tabs>
                <w:tab w:pos="981" w:val="left" w:leader="none"/>
              </w:tabs>
              <w:spacing w:line="240" w:lineRule="auto" w:before="151"/>
              <w:ind w:left="56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539"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131"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53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131"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13" w:hRule="exact"/>
        </w:trPr>
        <w:tc>
          <w:tcPr>
            <w:tcW w:w="1768" w:type="dxa"/>
            <w:vMerge/>
            <w:tcBorders>
              <w:left w:val="single" w:sz="6" w:space="0" w:color="000000"/>
              <w:bottom w:val="single" w:sz="6" w:space="0" w:color="000000"/>
              <w:right w:val="single" w:sz="6" w:space="0" w:color="000000"/>
            </w:tcBorders>
            <w:shd w:val="clear" w:color="auto" w:fill="C0C0C0"/>
          </w:tcPr>
          <w:p>
            <w:pPr/>
          </w:p>
        </w:tc>
        <w:tc>
          <w:tcPr>
            <w:tcW w:w="15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226" w:right="0"/>
              <w:jc w:val="left"/>
              <w:rPr>
                <w:rFonts w:ascii="宋体" w:hAnsi="宋体" w:cs="宋体" w:eastAsia="宋体" w:hint="default"/>
                <w:sz w:val="21"/>
                <w:szCs w:val="21"/>
              </w:rPr>
            </w:pPr>
            <w:r>
              <w:rPr>
                <w:rFonts w:ascii="宋体" w:hAnsi="宋体" w:cs="宋体" w:eastAsia="宋体" w:hint="default"/>
                <w:sz w:val="21"/>
                <w:szCs w:val="21"/>
              </w:rPr>
              <w:t>暂时性差异</w:t>
            </w:r>
          </w:p>
        </w:tc>
        <w:tc>
          <w:tcPr>
            <w:tcW w:w="20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267"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5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226" w:right="0"/>
              <w:jc w:val="left"/>
              <w:rPr>
                <w:rFonts w:ascii="宋体" w:hAnsi="宋体" w:cs="宋体" w:eastAsia="宋体" w:hint="default"/>
                <w:sz w:val="21"/>
                <w:szCs w:val="21"/>
              </w:rPr>
            </w:pPr>
            <w:r>
              <w:rPr>
                <w:rFonts w:ascii="宋体" w:hAnsi="宋体" w:cs="宋体" w:eastAsia="宋体" w:hint="default"/>
                <w:sz w:val="21"/>
                <w:szCs w:val="21"/>
              </w:rPr>
              <w:t>暂时性差异</w:t>
            </w:r>
          </w:p>
        </w:tc>
        <w:tc>
          <w:tcPr>
            <w:tcW w:w="20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exact"/>
              <w:ind w:left="267"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r>
      <w:tr>
        <w:trPr>
          <w:trHeight w:val="396" w:hRule="exact"/>
        </w:trPr>
        <w:tc>
          <w:tcPr>
            <w:tcW w:w="17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00"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1518"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7"/>
              <w:jc w:val="right"/>
              <w:rPr>
                <w:rFonts w:ascii="Arial Narrow" w:hAnsi="Arial Narrow" w:cs="Arial Narrow" w:eastAsia="Arial Narrow" w:hint="default"/>
                <w:sz w:val="21"/>
                <w:szCs w:val="21"/>
              </w:rPr>
            </w:pPr>
            <w:r>
              <w:rPr>
                <w:rFonts w:ascii="Arial Narrow"/>
                <w:spacing w:val="-1"/>
                <w:sz w:val="21"/>
              </w:rPr>
              <w:t>8,750,386.26</w:t>
            </w:r>
          </w:p>
        </w:tc>
        <w:tc>
          <w:tcPr>
            <w:tcW w:w="2021"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1"/>
                <w:sz w:val="21"/>
              </w:rPr>
              <w:t>1,332,723.35</w:t>
            </w:r>
          </w:p>
        </w:tc>
        <w:tc>
          <w:tcPr>
            <w:tcW w:w="1518"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1"/>
                <w:sz w:val="21"/>
              </w:rPr>
              <w:t>4,847,828.93</w:t>
            </w:r>
          </w:p>
        </w:tc>
        <w:tc>
          <w:tcPr>
            <w:tcW w:w="2020"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72"/>
              <w:ind w:right="98"/>
              <w:jc w:val="right"/>
              <w:rPr>
                <w:rFonts w:ascii="Arial Narrow" w:hAnsi="Arial Narrow" w:cs="Arial Narrow" w:eastAsia="Arial Narrow" w:hint="default"/>
                <w:sz w:val="21"/>
                <w:szCs w:val="21"/>
              </w:rPr>
            </w:pPr>
            <w:r>
              <w:rPr>
                <w:rFonts w:ascii="Arial Narrow"/>
                <w:spacing w:val="-1"/>
                <w:sz w:val="21"/>
              </w:rPr>
              <w:t>727,717.22</w:t>
            </w:r>
          </w:p>
        </w:tc>
      </w:tr>
      <w:tr>
        <w:trPr>
          <w:trHeight w:val="355" w:hRule="exact"/>
        </w:trPr>
        <w:tc>
          <w:tcPr>
            <w:tcW w:w="176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20,359,304.17</w:t>
            </w:r>
          </w:p>
        </w:tc>
        <w:tc>
          <w:tcPr>
            <w:tcW w:w="20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3,053,895.63</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16,570,270.76</w:t>
            </w:r>
          </w:p>
        </w:tc>
        <w:tc>
          <w:tcPr>
            <w:tcW w:w="2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2,485,540.61</w:t>
            </w:r>
          </w:p>
        </w:tc>
      </w:tr>
      <w:tr>
        <w:trPr>
          <w:trHeight w:val="354" w:hRule="exact"/>
        </w:trPr>
        <w:tc>
          <w:tcPr>
            <w:tcW w:w="1768" w:type="dxa"/>
            <w:tcBorders>
              <w:top w:val="single" w:sz="6" w:space="0" w:color="000000"/>
              <w:left w:val="single" w:sz="6" w:space="0" w:color="000000"/>
              <w:bottom w:val="single" w:sz="6" w:space="0" w:color="000000"/>
              <w:right w:val="single" w:sz="6" w:space="0" w:color="000000"/>
            </w:tcBorders>
          </w:tcPr>
          <w:p>
            <w:pPr>
              <w:pStyle w:val="TableParagraph"/>
              <w:tabs>
                <w:tab w:pos="981" w:val="left" w:leader="none"/>
              </w:tabs>
              <w:spacing w:line="274" w:lineRule="exact"/>
              <w:ind w:left="56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29,109,690.43</w:t>
            </w:r>
          </w:p>
        </w:tc>
        <w:tc>
          <w:tcPr>
            <w:tcW w:w="20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4,386,618.98</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21,418,099.69</w:t>
            </w:r>
          </w:p>
        </w:tc>
        <w:tc>
          <w:tcPr>
            <w:tcW w:w="20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3,213,257.83</w:t>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、未确认递延所得税资产的可抵扣暂时性差异或可抵扣亏损的情况</w:t>
      </w:r>
    </w:p>
    <w:p>
      <w:pPr>
        <w:spacing w:line="240" w:lineRule="auto" w:before="10"/>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3202"/>
        <w:gridCol w:w="2930"/>
        <w:gridCol w:w="2712"/>
      </w:tblGrid>
      <w:tr>
        <w:trPr>
          <w:trHeight w:val="407" w:hRule="exact"/>
        </w:trPr>
        <w:tc>
          <w:tcPr>
            <w:tcW w:w="32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3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年末数</w:t>
            </w:r>
          </w:p>
        </w:tc>
        <w:tc>
          <w:tcPr>
            <w:tcW w:w="271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55" w:hRule="exact"/>
        </w:trPr>
        <w:tc>
          <w:tcPr>
            <w:tcW w:w="3202"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待弥补亏损</w:t>
            </w:r>
          </w:p>
        </w:tc>
        <w:tc>
          <w:tcPr>
            <w:tcW w:w="2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-323,271.54</w:t>
            </w:r>
          </w:p>
        </w:tc>
        <w:tc>
          <w:tcPr>
            <w:tcW w:w="27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-2,065,975.22</w:t>
            </w:r>
          </w:p>
        </w:tc>
      </w:tr>
      <w:tr>
        <w:trPr>
          <w:trHeight w:val="354" w:hRule="exact"/>
        </w:trPr>
        <w:tc>
          <w:tcPr>
            <w:tcW w:w="3202"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资产减值准备</w:t>
            </w:r>
          </w:p>
        </w:tc>
        <w:tc>
          <w:tcPr>
            <w:tcW w:w="2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2"/>
                <w:sz w:val="21"/>
              </w:rPr>
              <w:t>86,011.36</w:t>
            </w:r>
          </w:p>
        </w:tc>
        <w:tc>
          <w:tcPr>
            <w:tcW w:w="27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2"/>
                <w:sz w:val="21"/>
              </w:rPr>
              <w:t>25,377.11</w:t>
            </w:r>
          </w:p>
        </w:tc>
      </w:tr>
    </w:tbl>
    <w:p>
      <w:pPr>
        <w:spacing w:line="242" w:lineRule="exact"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注：子公司厦门市美亚柏科信息安全研究所有限公司自成立以来一直存在未弥补的亏损，</w:t>
      </w:r>
    </w:p>
    <w:p>
      <w:pPr>
        <w:spacing w:before="134"/>
        <w:ind w:left="220" w:right="180" w:firstLine="0"/>
        <w:jc w:val="left"/>
        <w:rPr>
          <w:rFonts w:ascii="宋体" w:hAnsi="宋体" w:cs="宋体" w:eastAsia="宋体" w:hint="default"/>
          <w:sz w:val="21"/>
          <w:szCs w:val="21"/>
        </w:rPr>
      </w:pPr>
      <w:r>
        <w:rPr>
          <w:rFonts w:ascii="宋体" w:hAnsi="宋体" w:cs="宋体" w:eastAsia="宋体" w:hint="default"/>
          <w:sz w:val="21"/>
          <w:szCs w:val="21"/>
        </w:rPr>
        <w:t>由于未来能否获得足够的应纳税所得额具有不确定性，因此未确认递延所得税资产；</w:t>
      </w:r>
    </w:p>
    <w:p>
      <w:pPr>
        <w:spacing w:before="133"/>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、未确认递延所得税资产的可抵扣亏损将于以下年度到期：</w:t>
      </w:r>
    </w:p>
    <w:p>
      <w:pPr>
        <w:spacing w:line="240" w:lineRule="auto" w:before="8"/>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2618"/>
        <w:gridCol w:w="3881"/>
        <w:gridCol w:w="2345"/>
      </w:tblGrid>
      <w:tr>
        <w:trPr>
          <w:trHeight w:val="329" w:hRule="exact"/>
        </w:trPr>
        <w:tc>
          <w:tcPr>
            <w:tcW w:w="26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年份</w:t>
            </w:r>
          </w:p>
        </w:tc>
        <w:tc>
          <w:tcPr>
            <w:tcW w:w="388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c>
          <w:tcPr>
            <w:tcW w:w="234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535"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55"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1"/>
              <w:jc w:val="center"/>
              <w:rPr>
                <w:rFonts w:ascii="宋体" w:hAnsi="宋体" w:cs="宋体" w:eastAsia="宋体" w:hint="default"/>
                <w:sz w:val="21"/>
                <w:szCs w:val="21"/>
              </w:rPr>
            </w:pP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年度</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-78,901.00</w:t>
            </w:r>
          </w:p>
        </w:tc>
      </w:tr>
      <w:tr>
        <w:trPr>
          <w:trHeight w:val="355"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2012</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2013</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-912,961.93</w:t>
            </w:r>
          </w:p>
        </w:tc>
      </w:tr>
    </w:tbl>
    <w:p>
      <w:pPr>
        <w:spacing w:after="0" w:line="240" w:lineRule="auto"/>
        <w:jc w:val="right"/>
        <w:rPr>
          <w:rFonts w:ascii="Arial Narrow" w:hAnsi="Arial Narrow" w:cs="Arial Narrow" w:eastAsia="Arial Narrow" w:hint="default"/>
          <w:sz w:val="21"/>
          <w:szCs w:val="21"/>
        </w:rPr>
        <w:sectPr>
          <w:pgSz w:w="12240" w:h="15840"/>
          <w:pgMar w:header="0" w:footer="688" w:top="1400" w:bottom="900" w:left="1580" w:right="1580"/>
        </w:sectPr>
      </w:pPr>
    </w:p>
    <w:p>
      <w:pPr>
        <w:spacing w:line="240" w:lineRule="auto" w:before="10"/>
        <w:rPr>
          <w:rFonts w:ascii="宋体" w:hAnsi="宋体" w:cs="宋体" w:eastAsia="宋体" w:hint="default"/>
          <w:sz w:val="6"/>
          <w:szCs w:val="6"/>
        </w:rPr>
      </w:pPr>
    </w:p>
    <w:tbl>
      <w:tblPr>
        <w:tblW w:w="0" w:type="auto"/>
        <w:jc w:val="left"/>
        <w:tblInd w:w="150" w:type="dxa"/>
        <w:tblLayout w:type="fixed"/>
        <w:tblCellMar>
          <w:top w:w="0" w:type="dxa"/>
          <w:left w:w="0" w:type="dxa"/>
          <w:bottom w:w="0" w:type="dxa"/>
          <w:right w:w="0" w:type="dxa"/>
        </w:tblCellMar>
        <w:tblLook w:val="01E0"/>
      </w:tblPr>
      <w:tblGrid>
        <w:gridCol w:w="2618"/>
        <w:gridCol w:w="3881"/>
        <w:gridCol w:w="2345"/>
      </w:tblGrid>
      <w:tr>
        <w:trPr>
          <w:trHeight w:val="330" w:hRule="exact"/>
        </w:trPr>
        <w:tc>
          <w:tcPr>
            <w:tcW w:w="26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年份</w:t>
            </w:r>
          </w:p>
        </w:tc>
        <w:tc>
          <w:tcPr>
            <w:tcW w:w="388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c>
          <w:tcPr>
            <w:tcW w:w="234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left="535"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72" w:hRule="exact"/>
        </w:trPr>
        <w:tc>
          <w:tcPr>
            <w:tcW w:w="261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6"/>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2014</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w:t>
            </w:r>
          </w:p>
        </w:tc>
        <w:tc>
          <w:tcPr>
            <w:tcW w:w="3881"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9"/>
              <w:jc w:val="right"/>
              <w:rPr>
                <w:rFonts w:ascii="Arial Narrow" w:hAnsi="Arial Narrow" w:cs="Arial Narrow" w:eastAsia="Arial Narrow" w:hint="default"/>
                <w:sz w:val="21"/>
                <w:szCs w:val="21"/>
              </w:rPr>
            </w:pPr>
            <w:r>
              <w:rPr>
                <w:rFonts w:ascii="Arial Narrow"/>
                <w:sz w:val="21"/>
              </w:rPr>
              <w:t>-</w:t>
            </w:r>
          </w:p>
        </w:tc>
        <w:tc>
          <w:tcPr>
            <w:tcW w:w="2345"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8"/>
              <w:jc w:val="right"/>
              <w:rPr>
                <w:rFonts w:ascii="Arial Narrow" w:hAnsi="Arial Narrow" w:cs="Arial Narrow" w:eastAsia="Arial Narrow" w:hint="default"/>
                <w:sz w:val="21"/>
                <w:szCs w:val="21"/>
              </w:rPr>
            </w:pPr>
            <w:r>
              <w:rPr>
                <w:rFonts w:ascii="Arial Narrow"/>
                <w:spacing w:val="-1"/>
                <w:sz w:val="21"/>
              </w:rPr>
              <w:t>-940,738.63</w:t>
            </w:r>
          </w:p>
        </w:tc>
      </w:tr>
      <w:tr>
        <w:trPr>
          <w:trHeight w:val="355"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spacing w:line="289"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2015</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-133,373.60</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-133,373.60</w:t>
            </w:r>
          </w:p>
        </w:tc>
      </w:tr>
      <w:tr>
        <w:trPr>
          <w:trHeight w:val="354"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spacing w:line="288"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2016</w:t>
            </w:r>
            <w:r>
              <w:rPr>
                <w:rFonts w:ascii="Arial Narrow" w:hAnsi="Arial Narrow" w:cs="Arial Narrow" w:eastAsia="Arial Narrow" w:hint="default"/>
                <w:spacing w:val="4"/>
                <w:sz w:val="21"/>
                <w:szCs w:val="21"/>
              </w:rPr>
              <w:t> </w:t>
            </w:r>
            <w:r>
              <w:rPr>
                <w:rFonts w:ascii="宋体" w:hAnsi="宋体" w:cs="宋体" w:eastAsia="宋体" w:hint="default"/>
                <w:sz w:val="21"/>
                <w:szCs w:val="21"/>
              </w:rPr>
              <w:t>年度</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right="99"/>
              <w:jc w:val="right"/>
              <w:rPr>
                <w:rFonts w:ascii="Arial Narrow" w:hAnsi="Arial Narrow" w:cs="Arial Narrow" w:eastAsia="Arial Narrow" w:hint="default"/>
                <w:sz w:val="21"/>
                <w:szCs w:val="21"/>
              </w:rPr>
            </w:pPr>
            <w:r>
              <w:rPr>
                <w:rFonts w:ascii="Arial Narrow"/>
                <w:spacing w:val="-1"/>
                <w:sz w:val="21"/>
              </w:rPr>
              <w:t>-189,897.94</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618"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8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Arial Narrow" w:hAnsi="Arial Narrow" w:cs="Arial Narrow" w:eastAsia="Arial Narrow" w:hint="default"/>
                <w:sz w:val="21"/>
                <w:szCs w:val="21"/>
              </w:rPr>
            </w:pPr>
            <w:r>
              <w:rPr>
                <w:rFonts w:ascii="Arial Narrow"/>
                <w:spacing w:val="-1"/>
                <w:sz w:val="21"/>
              </w:rPr>
              <w:t>-323,271.54</w:t>
            </w:r>
          </w:p>
        </w:tc>
        <w:tc>
          <w:tcPr>
            <w:tcW w:w="2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-2,065,975.16</w:t>
            </w:r>
          </w:p>
        </w:tc>
      </w:tr>
    </w:tbl>
    <w:p>
      <w:pPr>
        <w:tabs>
          <w:tab w:pos="1939" w:val="left" w:leader="none"/>
        </w:tabs>
        <w:spacing w:line="408" w:lineRule="auto" w:before="27"/>
        <w:ind w:left="680" w:right="5329" w:firstLine="0"/>
        <w:jc w:val="left"/>
        <w:rPr>
          <w:rFonts w:ascii="宋体" w:hAnsi="宋体" w:cs="宋体" w:eastAsia="宋体" w:hint="default"/>
          <w:sz w:val="21"/>
          <w:szCs w:val="21"/>
        </w:rPr>
      </w:pPr>
      <w:r>
        <w:rPr>
          <w:rFonts w:ascii="宋体" w:hAnsi="宋体" w:cs="宋体" w:eastAsia="宋体" w:hint="default"/>
          <w:b/>
          <w:bCs/>
          <w:w w:val="95"/>
          <w:sz w:val="21"/>
          <w:szCs w:val="21"/>
        </w:rPr>
        <w:t>（十二）</w:t>
        <w:tab/>
      </w:r>
      <w:r>
        <w:rPr>
          <w:rFonts w:ascii="宋体" w:hAnsi="宋体" w:cs="宋体" w:eastAsia="宋体" w:hint="default"/>
          <w:b/>
          <w:bCs/>
          <w:sz w:val="21"/>
          <w:szCs w:val="21"/>
        </w:rPr>
        <w:t>资产减值准备</w:t>
      </w:r>
      <w:r>
        <w:rPr>
          <w:rFonts w:ascii="宋体" w:hAnsi="宋体" w:cs="宋体" w:eastAsia="宋体" w:hint="default"/>
          <w:b/>
          <w:bCs/>
          <w:w w:val="99"/>
          <w:sz w:val="21"/>
          <w:szCs w:val="21"/>
        </w:rPr>
        <w:t> </w:t>
      </w:r>
      <w:r>
        <w:rPr>
          <w:rFonts w:ascii="宋体" w:hAnsi="宋体" w:cs="宋体" w:eastAsia="宋体" w:hint="default"/>
          <w:sz w:val="21"/>
          <w:szCs w:val="21"/>
        </w:rPr>
        <w:t>资产减值准备变动情况列示如下：</w:t>
      </w:r>
    </w:p>
    <w:p>
      <w:pPr>
        <w:spacing w:line="240" w:lineRule="auto" w:before="11"/>
        <w:rPr>
          <w:rFonts w:ascii="宋体" w:hAnsi="宋体" w:cs="宋体" w:eastAsia="宋体" w:hint="default"/>
          <w:sz w:val="10"/>
          <w:szCs w:val="10"/>
        </w:rPr>
      </w:pPr>
    </w:p>
    <w:tbl>
      <w:tblPr>
        <w:tblW w:w="0" w:type="auto"/>
        <w:jc w:val="left"/>
        <w:tblInd w:w="150" w:type="dxa"/>
        <w:tblLayout w:type="fixed"/>
        <w:tblCellMar>
          <w:top w:w="0" w:type="dxa"/>
          <w:left w:w="0" w:type="dxa"/>
          <w:bottom w:w="0" w:type="dxa"/>
          <w:right w:w="0" w:type="dxa"/>
        </w:tblCellMar>
        <w:tblLook w:val="01E0"/>
      </w:tblPr>
      <w:tblGrid>
        <w:gridCol w:w="2881"/>
        <w:gridCol w:w="1222"/>
        <w:gridCol w:w="1223"/>
        <w:gridCol w:w="1074"/>
        <w:gridCol w:w="1223"/>
        <w:gridCol w:w="1222"/>
      </w:tblGrid>
      <w:tr>
        <w:trPr>
          <w:trHeight w:val="354" w:hRule="exact"/>
        </w:trPr>
        <w:tc>
          <w:tcPr>
            <w:tcW w:w="2881" w:type="dxa"/>
            <w:vMerge w:val="restart"/>
            <w:tcBorders>
              <w:top w:val="single" w:sz="6" w:space="0" w:color="000000"/>
              <w:left w:val="single" w:sz="6" w:space="0" w:color="000000"/>
              <w:right w:val="single" w:sz="6" w:space="0" w:color="000000"/>
            </w:tcBorders>
            <w:shd w:val="clear" w:color="auto" w:fill="C0C0C0"/>
          </w:tcPr>
          <w:p>
            <w:pPr>
              <w:pStyle w:val="TableParagraph"/>
              <w:tabs>
                <w:tab w:pos="421" w:val="left" w:leader="none"/>
              </w:tabs>
              <w:spacing w:line="240" w:lineRule="auto" w:before="168"/>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222"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61"/>
              <w:ind w:left="393" w:right="181" w:hanging="210"/>
              <w:jc w:val="left"/>
              <w:rPr>
                <w:rFonts w:ascii="宋体" w:hAnsi="宋体" w:cs="宋体" w:eastAsia="宋体" w:hint="default"/>
                <w:sz w:val="21"/>
                <w:szCs w:val="21"/>
              </w:rPr>
            </w:pPr>
            <w:r>
              <w:rPr>
                <w:rFonts w:ascii="宋体" w:hAnsi="宋体" w:cs="宋体" w:eastAsia="宋体" w:hint="default"/>
                <w:sz w:val="21"/>
                <w:szCs w:val="21"/>
              </w:rPr>
              <w:t>年初账面 余额</w:t>
            </w:r>
          </w:p>
        </w:tc>
        <w:tc>
          <w:tcPr>
            <w:tcW w:w="1223"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61"/>
              <w:ind w:left="497" w:right="182" w:hanging="315"/>
              <w:jc w:val="left"/>
              <w:rPr>
                <w:rFonts w:ascii="宋体" w:hAnsi="宋体" w:cs="宋体" w:eastAsia="宋体" w:hint="default"/>
                <w:sz w:val="21"/>
                <w:szCs w:val="21"/>
              </w:rPr>
            </w:pPr>
            <w:r>
              <w:rPr>
                <w:rFonts w:ascii="宋体" w:hAnsi="宋体" w:cs="宋体" w:eastAsia="宋体" w:hint="default"/>
                <w:sz w:val="21"/>
                <w:szCs w:val="21"/>
              </w:rPr>
              <w:t>本年计提 额</w:t>
            </w:r>
          </w:p>
        </w:tc>
        <w:tc>
          <w:tcPr>
            <w:tcW w:w="2297"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615"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222" w:type="dxa"/>
            <w:vMerge w:val="restart"/>
            <w:tcBorders>
              <w:top w:val="single" w:sz="6" w:space="0" w:color="000000"/>
              <w:left w:val="single" w:sz="6" w:space="0" w:color="000000"/>
              <w:right w:val="single" w:sz="6" w:space="0" w:color="000000"/>
            </w:tcBorders>
            <w:shd w:val="clear" w:color="auto" w:fill="C0C0C0"/>
          </w:tcPr>
          <w:p>
            <w:pPr>
              <w:pStyle w:val="TableParagraph"/>
              <w:spacing w:line="272" w:lineRule="exact" w:before="61"/>
              <w:ind w:left="393" w:right="181" w:hanging="210"/>
              <w:jc w:val="left"/>
              <w:rPr>
                <w:rFonts w:ascii="宋体" w:hAnsi="宋体" w:cs="宋体" w:eastAsia="宋体" w:hint="default"/>
                <w:sz w:val="21"/>
                <w:szCs w:val="21"/>
              </w:rPr>
            </w:pPr>
            <w:r>
              <w:rPr>
                <w:rFonts w:ascii="宋体" w:hAnsi="宋体" w:cs="宋体" w:eastAsia="宋体" w:hint="default"/>
                <w:sz w:val="21"/>
                <w:szCs w:val="21"/>
              </w:rPr>
              <w:t>年末账面 余额</w:t>
            </w:r>
          </w:p>
        </w:tc>
      </w:tr>
      <w:tr>
        <w:trPr>
          <w:trHeight w:val="355" w:hRule="exact"/>
        </w:trPr>
        <w:tc>
          <w:tcPr>
            <w:tcW w:w="2881" w:type="dxa"/>
            <w:vMerge/>
            <w:tcBorders>
              <w:left w:val="single" w:sz="6" w:space="0" w:color="000000"/>
              <w:bottom w:val="single" w:sz="6" w:space="0" w:color="000000"/>
              <w:right w:val="single" w:sz="6" w:space="0" w:color="000000"/>
            </w:tcBorders>
            <w:shd w:val="clear" w:color="auto" w:fill="C0C0C0"/>
          </w:tcPr>
          <w:p>
            <w:pPr/>
          </w:p>
        </w:tc>
        <w:tc>
          <w:tcPr>
            <w:tcW w:w="1222" w:type="dxa"/>
            <w:vMerge/>
            <w:tcBorders>
              <w:left w:val="single" w:sz="6" w:space="0" w:color="000000"/>
              <w:bottom w:val="single" w:sz="6" w:space="0" w:color="000000"/>
              <w:right w:val="single" w:sz="6" w:space="0" w:color="000000"/>
            </w:tcBorders>
            <w:shd w:val="clear" w:color="auto" w:fill="C0C0C0"/>
          </w:tcPr>
          <w:p>
            <w:pPr/>
          </w:p>
        </w:tc>
        <w:tc>
          <w:tcPr>
            <w:tcW w:w="1223" w:type="dxa"/>
            <w:vMerge/>
            <w:tcBorders>
              <w:left w:val="single" w:sz="6" w:space="0" w:color="000000"/>
              <w:bottom w:val="single" w:sz="6" w:space="0" w:color="000000"/>
              <w:right w:val="single" w:sz="6" w:space="0" w:color="000000"/>
            </w:tcBorders>
            <w:shd w:val="clear" w:color="auto" w:fill="C0C0C0"/>
          </w:tcPr>
          <w:p>
            <w:pPr/>
          </w:p>
        </w:tc>
        <w:tc>
          <w:tcPr>
            <w:tcW w:w="107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20"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22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93" w:right="0"/>
              <w:jc w:val="left"/>
              <w:rPr>
                <w:rFonts w:ascii="宋体" w:hAnsi="宋体" w:cs="宋体" w:eastAsia="宋体" w:hint="default"/>
                <w:sz w:val="21"/>
                <w:szCs w:val="21"/>
              </w:rPr>
            </w:pPr>
            <w:r>
              <w:rPr>
                <w:rFonts w:ascii="宋体" w:hAnsi="宋体" w:cs="宋体" w:eastAsia="宋体" w:hint="default"/>
                <w:sz w:val="21"/>
                <w:szCs w:val="21"/>
              </w:rPr>
              <w:t>转销</w:t>
            </w:r>
          </w:p>
        </w:tc>
        <w:tc>
          <w:tcPr>
            <w:tcW w:w="1222" w:type="dxa"/>
            <w:vMerge/>
            <w:tcBorders>
              <w:left w:val="single" w:sz="6" w:space="0" w:color="000000"/>
              <w:bottom w:val="single" w:sz="6" w:space="0" w:color="000000"/>
              <w:right w:val="single" w:sz="6" w:space="0" w:color="000000"/>
            </w:tcBorders>
            <w:shd w:val="clear" w:color="auto" w:fill="C0C0C0"/>
          </w:tcPr>
          <w:p>
            <w:pPr/>
          </w:p>
        </w:tc>
      </w:tr>
      <w:tr>
        <w:trPr>
          <w:trHeight w:val="356" w:hRule="exact"/>
        </w:trPr>
        <w:tc>
          <w:tcPr>
            <w:tcW w:w="2881"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坏账准备</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100" w:right="0"/>
              <w:jc w:val="left"/>
              <w:rPr>
                <w:rFonts w:ascii="Arial Narrow" w:hAnsi="Arial Narrow" w:cs="Arial Narrow" w:eastAsia="Arial Narrow" w:hint="default"/>
                <w:sz w:val="21"/>
                <w:szCs w:val="21"/>
              </w:rPr>
            </w:pPr>
            <w:r>
              <w:rPr>
                <w:rFonts w:ascii="Arial Narrow"/>
                <w:sz w:val="21"/>
              </w:rPr>
              <w:t>4,873,206.04</w:t>
            </w:r>
          </w:p>
        </w:tc>
        <w:tc>
          <w:tcPr>
            <w:tcW w:w="122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Arial Narrow" w:hAnsi="Arial Narrow" w:cs="Arial Narrow" w:eastAsia="Arial Narrow" w:hint="default"/>
                <w:sz w:val="21"/>
                <w:szCs w:val="21"/>
              </w:rPr>
            </w:pPr>
            <w:r>
              <w:rPr>
                <w:rFonts w:ascii="Arial Narrow"/>
                <w:sz w:val="21"/>
              </w:rPr>
              <w:t>3,983,191.58</w:t>
            </w:r>
          </w:p>
        </w:tc>
        <w:tc>
          <w:tcPr>
            <w:tcW w:w="1074" w:type="dxa"/>
            <w:tcBorders>
              <w:top w:val="single" w:sz="6" w:space="0" w:color="000000"/>
              <w:left w:val="single" w:sz="6" w:space="0" w:color="000000"/>
              <w:bottom w:val="single" w:sz="6" w:space="0" w:color="000000"/>
              <w:right w:val="single" w:sz="6" w:space="0" w:color="000000"/>
            </w:tcBorders>
          </w:tcPr>
          <w:p>
            <w:pPr/>
          </w:p>
        </w:tc>
        <w:tc>
          <w:tcPr>
            <w:tcW w:w="122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39" w:right="0"/>
              <w:jc w:val="left"/>
              <w:rPr>
                <w:rFonts w:ascii="Arial Narrow" w:hAnsi="Arial Narrow" w:cs="Arial Narrow" w:eastAsia="Arial Narrow" w:hint="default"/>
                <w:sz w:val="21"/>
                <w:szCs w:val="21"/>
              </w:rPr>
            </w:pPr>
            <w:r>
              <w:rPr>
                <w:rFonts w:ascii="Arial Narrow"/>
                <w:sz w:val="21"/>
              </w:rPr>
              <w:t>20,000.00</w:t>
            </w:r>
          </w:p>
        </w:tc>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Arial Narrow" w:hAnsi="Arial Narrow" w:cs="Arial Narrow" w:eastAsia="Arial Narrow" w:hint="default"/>
                <w:sz w:val="21"/>
                <w:szCs w:val="21"/>
              </w:rPr>
            </w:pPr>
            <w:r>
              <w:rPr>
                <w:rFonts w:ascii="Arial Narrow"/>
                <w:sz w:val="21"/>
              </w:rPr>
              <w:t>8,836,397.62</w:t>
            </w:r>
          </w:p>
        </w:tc>
      </w:tr>
    </w:tbl>
    <w:p>
      <w:pPr>
        <w:tabs>
          <w:tab w:pos="1939" w:val="left" w:leader="none"/>
        </w:tabs>
        <w:spacing w:before="27"/>
        <w:ind w:left="680" w:right="193" w:firstLine="0"/>
        <w:jc w:val="left"/>
        <w:rPr>
          <w:rFonts w:ascii="宋体" w:hAnsi="宋体" w:cs="宋体" w:eastAsia="宋体" w:hint="default"/>
          <w:sz w:val="21"/>
          <w:szCs w:val="21"/>
        </w:rPr>
      </w:pPr>
      <w:r>
        <w:rPr>
          <w:rFonts w:ascii="宋体" w:hAnsi="宋体" w:cs="宋体" w:eastAsia="宋体" w:hint="default"/>
          <w:b/>
          <w:bCs/>
          <w:w w:val="95"/>
          <w:sz w:val="21"/>
          <w:szCs w:val="21"/>
        </w:rPr>
        <w:t>（十三）</w:t>
        <w:tab/>
      </w:r>
      <w:r>
        <w:rPr>
          <w:rFonts w:ascii="宋体" w:hAnsi="宋体" w:cs="宋体" w:eastAsia="宋体" w:hint="default"/>
          <w:b/>
          <w:bCs/>
          <w:sz w:val="21"/>
          <w:szCs w:val="21"/>
        </w:rPr>
        <w:t>应付账款</w:t>
      </w:r>
      <w:r>
        <w:rPr>
          <w:rFonts w:ascii="宋体" w:hAnsi="宋体" w:cs="宋体" w:eastAsia="宋体" w:hint="default"/>
          <w:sz w:val="21"/>
          <w:szCs w:val="21"/>
        </w:rPr>
      </w:r>
    </w:p>
    <w:p>
      <w:pPr>
        <w:spacing w:line="240" w:lineRule="auto" w:before="9"/>
        <w:rPr>
          <w:rFonts w:ascii="宋体" w:hAnsi="宋体" w:cs="宋体" w:eastAsia="宋体" w:hint="default"/>
          <w:b/>
          <w:bCs/>
          <w:sz w:val="14"/>
          <w:szCs w:val="14"/>
        </w:rPr>
      </w:pPr>
    </w:p>
    <w:p>
      <w:pPr>
        <w:spacing w:before="0"/>
        <w:ind w:left="680"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日止，年末应付账款余额无账龄超过一年的大额应付账款。</w:t>
      </w:r>
    </w:p>
    <w:p>
      <w:pPr>
        <w:spacing w:line="314" w:lineRule="auto" w:before="111"/>
        <w:ind w:left="259" w:right="257" w:firstLine="420"/>
        <w:jc w:val="left"/>
        <w:rPr>
          <w:rFonts w:ascii="宋体" w:hAnsi="宋体" w:cs="宋体" w:eastAsia="宋体" w:hint="default"/>
          <w:sz w:val="21"/>
          <w:szCs w:val="21"/>
        </w:rPr>
      </w:pPr>
      <w:r>
        <w:rPr>
          <w:rFonts w:ascii="Arial Narrow" w:hAnsi="Arial Narrow" w:cs="Arial Narrow" w:eastAsia="Arial Narrow" w:hint="default"/>
          <w:spacing w:val="-4"/>
          <w:sz w:val="21"/>
          <w:szCs w:val="21"/>
        </w:rPr>
        <w:t>2</w:t>
      </w:r>
      <w:r>
        <w:rPr>
          <w:rFonts w:ascii="宋体" w:hAnsi="宋体" w:cs="宋体" w:eastAsia="宋体" w:hint="default"/>
          <w:spacing w:val="-4"/>
          <w:sz w:val="21"/>
          <w:szCs w:val="21"/>
        </w:rPr>
        <w:t>、截至</w:t>
      </w:r>
      <w:r>
        <w:rPr>
          <w:rFonts w:ascii="宋体" w:hAnsi="宋体" w:cs="宋体" w:eastAsia="宋体" w:hint="default"/>
          <w:spacing w:val="-57"/>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日止，应付账款余额中无应付持有本公司</w:t>
      </w:r>
      <w:r>
        <w:rPr>
          <w:rFonts w:ascii="宋体" w:hAnsi="宋体" w:cs="宋体" w:eastAsia="宋体" w:hint="default"/>
          <w:spacing w:val="-57"/>
          <w:sz w:val="21"/>
          <w:szCs w:val="21"/>
        </w:rPr>
        <w:t> </w:t>
      </w:r>
      <w:r>
        <w:rPr>
          <w:rFonts w:ascii="Arial Narrow" w:hAnsi="Arial Narrow" w:cs="Arial Narrow" w:eastAsia="Arial Narrow" w:hint="default"/>
          <w:spacing w:val="-5"/>
          <w:sz w:val="21"/>
          <w:szCs w:val="21"/>
        </w:rPr>
        <w:t>5%</w:t>
      </w:r>
      <w:r>
        <w:rPr>
          <w:rFonts w:ascii="宋体" w:hAnsi="宋体" w:cs="宋体" w:eastAsia="宋体" w:hint="default"/>
          <w:spacing w:val="-5"/>
          <w:sz w:val="21"/>
          <w:szCs w:val="21"/>
        </w:rPr>
        <w:t>（含</w:t>
      </w:r>
      <w:r>
        <w:rPr>
          <w:rFonts w:ascii="宋体" w:hAnsi="宋体" w:cs="宋体" w:eastAsia="宋体" w:hint="default"/>
          <w:spacing w:val="-56"/>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 股份的股东单位及关联方款项。</w:t>
      </w:r>
    </w:p>
    <w:p>
      <w:pPr>
        <w:spacing w:before="161"/>
        <w:ind w:left="679"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、余额中外币列示如下：</w:t>
      </w:r>
    </w:p>
    <w:p>
      <w:pPr>
        <w:spacing w:line="240" w:lineRule="auto" w:before="3"/>
        <w:rPr>
          <w:rFonts w:ascii="宋体" w:hAnsi="宋体" w:cs="宋体" w:eastAsia="宋体" w:hint="default"/>
          <w:sz w:val="20"/>
          <w:szCs w:val="20"/>
        </w:rPr>
      </w:pPr>
    </w:p>
    <w:tbl>
      <w:tblPr>
        <w:tblW w:w="0" w:type="auto"/>
        <w:jc w:val="left"/>
        <w:tblInd w:w="150" w:type="dxa"/>
        <w:tblLayout w:type="fixed"/>
        <w:tblCellMar>
          <w:top w:w="0" w:type="dxa"/>
          <w:left w:w="0" w:type="dxa"/>
          <w:bottom w:w="0" w:type="dxa"/>
          <w:right w:w="0" w:type="dxa"/>
        </w:tblCellMar>
        <w:tblLook w:val="01E0"/>
      </w:tblPr>
      <w:tblGrid>
        <w:gridCol w:w="1560"/>
        <w:gridCol w:w="1214"/>
        <w:gridCol w:w="972"/>
        <w:gridCol w:w="1456"/>
        <w:gridCol w:w="1214"/>
        <w:gridCol w:w="972"/>
        <w:gridCol w:w="1456"/>
      </w:tblGrid>
      <w:tr>
        <w:trPr>
          <w:trHeight w:val="338" w:hRule="exact"/>
        </w:trPr>
        <w:tc>
          <w:tcPr>
            <w:tcW w:w="1560" w:type="dxa"/>
            <w:vMerge w:val="restart"/>
            <w:tcBorders>
              <w:top w:val="single" w:sz="6" w:space="0" w:color="000000"/>
              <w:left w:val="single" w:sz="6" w:space="0" w:color="000000"/>
              <w:right w:val="single" w:sz="6" w:space="0" w:color="000000"/>
            </w:tcBorders>
            <w:shd w:val="clear" w:color="auto" w:fill="C0C0C0"/>
          </w:tcPr>
          <w:p>
            <w:pPr>
              <w:pStyle w:val="TableParagraph"/>
              <w:tabs>
                <w:tab w:pos="878" w:val="left" w:leader="none"/>
              </w:tabs>
              <w:spacing w:line="240" w:lineRule="auto" w:before="151"/>
              <w:ind w:left="45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642"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183"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642"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183"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14" w:hRule="exact"/>
        </w:trPr>
        <w:tc>
          <w:tcPr>
            <w:tcW w:w="1560" w:type="dxa"/>
            <w:vMerge/>
            <w:tcBorders>
              <w:left w:val="single" w:sz="6" w:space="0" w:color="000000"/>
              <w:bottom w:val="single" w:sz="6" w:space="0" w:color="000000"/>
              <w:right w:val="single" w:sz="6" w:space="0" w:color="000000"/>
            </w:tcBorders>
            <w:shd w:val="clear" w:color="auto" w:fill="C0C0C0"/>
          </w:tcPr>
          <w:p>
            <w:pPr/>
          </w:p>
        </w:tc>
        <w:tc>
          <w:tcPr>
            <w:tcW w:w="12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90"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97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68" w:right="0"/>
              <w:jc w:val="left"/>
              <w:rPr>
                <w:rFonts w:ascii="宋体" w:hAnsi="宋体" w:cs="宋体" w:eastAsia="宋体" w:hint="default"/>
                <w:sz w:val="21"/>
                <w:szCs w:val="21"/>
              </w:rPr>
            </w:pPr>
            <w:r>
              <w:rPr>
                <w:rFonts w:ascii="宋体" w:hAnsi="宋体" w:cs="宋体" w:eastAsia="宋体" w:hint="default"/>
                <w:sz w:val="21"/>
                <w:szCs w:val="21"/>
              </w:rPr>
              <w:t>汇率</w:t>
            </w:r>
          </w:p>
        </w:tc>
        <w:tc>
          <w:tcPr>
            <w:tcW w:w="145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95" w:right="0"/>
              <w:jc w:val="left"/>
              <w:rPr>
                <w:rFonts w:ascii="宋体" w:hAnsi="宋体" w:cs="宋体" w:eastAsia="宋体" w:hint="default"/>
                <w:sz w:val="21"/>
                <w:szCs w:val="21"/>
              </w:rPr>
            </w:pPr>
            <w:r>
              <w:rPr>
                <w:rFonts w:ascii="宋体" w:hAnsi="宋体" w:cs="宋体" w:eastAsia="宋体" w:hint="default"/>
                <w:sz w:val="21"/>
                <w:szCs w:val="21"/>
              </w:rPr>
              <w:t>折合人民币</w:t>
            </w:r>
          </w:p>
        </w:tc>
        <w:tc>
          <w:tcPr>
            <w:tcW w:w="12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90"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97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68" w:right="0"/>
              <w:jc w:val="left"/>
              <w:rPr>
                <w:rFonts w:ascii="宋体" w:hAnsi="宋体" w:cs="宋体" w:eastAsia="宋体" w:hint="default"/>
                <w:sz w:val="21"/>
                <w:szCs w:val="21"/>
              </w:rPr>
            </w:pPr>
            <w:r>
              <w:rPr>
                <w:rFonts w:ascii="宋体" w:hAnsi="宋体" w:cs="宋体" w:eastAsia="宋体" w:hint="default"/>
                <w:sz w:val="21"/>
                <w:szCs w:val="21"/>
              </w:rPr>
              <w:t>汇率</w:t>
            </w:r>
          </w:p>
        </w:tc>
        <w:tc>
          <w:tcPr>
            <w:tcW w:w="145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95" w:right="0"/>
              <w:jc w:val="left"/>
              <w:rPr>
                <w:rFonts w:ascii="宋体" w:hAnsi="宋体" w:cs="宋体" w:eastAsia="宋体" w:hint="default"/>
                <w:sz w:val="21"/>
                <w:szCs w:val="21"/>
              </w:rPr>
            </w:pPr>
            <w:r>
              <w:rPr>
                <w:rFonts w:ascii="宋体" w:hAnsi="宋体" w:cs="宋体" w:eastAsia="宋体" w:hint="default"/>
                <w:sz w:val="21"/>
                <w:szCs w:val="21"/>
              </w:rPr>
              <w:t>折合人民币</w:t>
            </w:r>
          </w:p>
        </w:tc>
      </w:tr>
      <w:tr>
        <w:trPr>
          <w:trHeight w:val="395" w:hRule="exact"/>
        </w:trPr>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100" w:right="0"/>
              <w:jc w:val="left"/>
              <w:rPr>
                <w:rFonts w:ascii="宋体" w:hAnsi="宋体" w:cs="宋体" w:eastAsia="宋体" w:hint="default"/>
                <w:sz w:val="21"/>
                <w:szCs w:val="21"/>
              </w:rPr>
            </w:pPr>
            <w:r>
              <w:rPr>
                <w:rFonts w:ascii="宋体" w:hAnsi="宋体" w:cs="宋体" w:eastAsia="宋体" w:hint="default"/>
                <w:sz w:val="21"/>
                <w:szCs w:val="21"/>
              </w:rPr>
              <w:t>美元</w:t>
            </w:r>
          </w:p>
        </w:tc>
        <w:tc>
          <w:tcPr>
            <w:tcW w:w="1214"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332" w:right="0"/>
              <w:jc w:val="left"/>
              <w:rPr>
                <w:rFonts w:ascii="Arial Narrow" w:hAnsi="Arial Narrow" w:cs="Arial Narrow" w:eastAsia="Arial Narrow" w:hint="default"/>
                <w:sz w:val="21"/>
                <w:szCs w:val="21"/>
              </w:rPr>
            </w:pPr>
            <w:r>
              <w:rPr>
                <w:rFonts w:ascii="Arial Narrow"/>
                <w:sz w:val="21"/>
              </w:rPr>
              <w:t>63,925.47</w:t>
            </w:r>
          </w:p>
        </w:tc>
        <w:tc>
          <w:tcPr>
            <w:tcW w:w="972"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330" w:right="0"/>
              <w:jc w:val="left"/>
              <w:rPr>
                <w:rFonts w:ascii="Arial Narrow" w:hAnsi="Arial Narrow" w:cs="Arial Narrow" w:eastAsia="Arial Narrow" w:hint="default"/>
                <w:sz w:val="21"/>
                <w:szCs w:val="21"/>
              </w:rPr>
            </w:pPr>
            <w:r>
              <w:rPr>
                <w:rFonts w:ascii="Arial Narrow"/>
                <w:sz w:val="21"/>
              </w:rPr>
              <w:t>6.3009</w:t>
            </w:r>
          </w:p>
        </w:tc>
        <w:tc>
          <w:tcPr>
            <w:tcW w:w="1456"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477" w:right="0"/>
              <w:jc w:val="left"/>
              <w:rPr>
                <w:rFonts w:ascii="Arial Narrow" w:hAnsi="Arial Narrow" w:cs="Arial Narrow" w:eastAsia="Arial Narrow" w:hint="default"/>
                <w:sz w:val="21"/>
                <w:szCs w:val="21"/>
              </w:rPr>
            </w:pPr>
            <w:r>
              <w:rPr>
                <w:rFonts w:ascii="Arial Narrow"/>
                <w:sz w:val="21"/>
              </w:rPr>
              <w:t>402,787.99</w:t>
            </w:r>
          </w:p>
        </w:tc>
        <w:tc>
          <w:tcPr>
            <w:tcW w:w="1214"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333" w:right="0"/>
              <w:jc w:val="left"/>
              <w:rPr>
                <w:rFonts w:ascii="Arial Narrow" w:hAnsi="Arial Narrow" w:cs="Arial Narrow" w:eastAsia="Arial Narrow" w:hint="default"/>
                <w:sz w:val="21"/>
                <w:szCs w:val="21"/>
              </w:rPr>
            </w:pPr>
            <w:r>
              <w:rPr>
                <w:rFonts w:ascii="Arial Narrow"/>
                <w:sz w:val="21"/>
              </w:rPr>
              <w:t>12,372.73</w:t>
            </w:r>
          </w:p>
        </w:tc>
        <w:tc>
          <w:tcPr>
            <w:tcW w:w="972"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329" w:right="0"/>
              <w:jc w:val="left"/>
              <w:rPr>
                <w:rFonts w:ascii="Arial Narrow" w:hAnsi="Arial Narrow" w:cs="Arial Narrow" w:eastAsia="Arial Narrow" w:hint="default"/>
                <w:sz w:val="21"/>
                <w:szCs w:val="21"/>
              </w:rPr>
            </w:pPr>
            <w:r>
              <w:rPr>
                <w:rFonts w:ascii="Arial Narrow"/>
                <w:sz w:val="21"/>
              </w:rPr>
              <w:t>6.6227</w:t>
            </w:r>
          </w:p>
        </w:tc>
        <w:tc>
          <w:tcPr>
            <w:tcW w:w="1456" w:type="dxa"/>
            <w:tcBorders>
              <w:top w:val="single" w:sz="20" w:space="0" w:color="C0C0C0"/>
              <w:left w:val="single" w:sz="6" w:space="0" w:color="000000"/>
              <w:bottom w:val="single" w:sz="6" w:space="0" w:color="000000"/>
              <w:right w:val="single" w:sz="6" w:space="0" w:color="000000"/>
            </w:tcBorders>
          </w:tcPr>
          <w:p>
            <w:pPr>
              <w:pStyle w:val="TableParagraph"/>
              <w:spacing w:line="240" w:lineRule="auto" w:before="71"/>
              <w:ind w:left="574" w:right="0"/>
              <w:jc w:val="left"/>
              <w:rPr>
                <w:rFonts w:ascii="Arial Narrow" w:hAnsi="Arial Narrow" w:cs="Arial Narrow" w:eastAsia="Arial Narrow" w:hint="default"/>
                <w:sz w:val="21"/>
                <w:szCs w:val="21"/>
              </w:rPr>
            </w:pPr>
            <w:r>
              <w:rPr>
                <w:rFonts w:ascii="Arial Narrow"/>
                <w:sz w:val="21"/>
              </w:rPr>
              <w:t>81,940.88</w:t>
            </w:r>
          </w:p>
        </w:tc>
      </w:tr>
    </w:tbl>
    <w:p>
      <w:pPr>
        <w:spacing w:line="338" w:lineRule="auto" w:before="87"/>
        <w:ind w:left="260" w:right="248" w:firstLine="42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、年末应付账款余额较年初增加</w:t>
      </w:r>
      <w:r>
        <w:rPr>
          <w:rFonts w:ascii="宋体" w:hAnsi="宋体" w:cs="宋体" w:eastAsia="宋体" w:hint="default"/>
          <w:spacing w:val="-49"/>
          <w:sz w:val="21"/>
          <w:szCs w:val="21"/>
        </w:rPr>
        <w:t> </w:t>
      </w:r>
      <w:r>
        <w:rPr>
          <w:rFonts w:ascii="Arial Narrow" w:hAnsi="Arial Narrow" w:cs="Arial Narrow" w:eastAsia="Arial Narrow" w:hint="default"/>
          <w:spacing w:val="-3"/>
          <w:sz w:val="21"/>
          <w:szCs w:val="21"/>
        </w:rPr>
        <w:t>49.06%</w:t>
      </w:r>
      <w:r>
        <w:rPr>
          <w:rFonts w:ascii="宋体" w:hAnsi="宋体" w:cs="宋体" w:eastAsia="宋体" w:hint="default"/>
          <w:spacing w:val="-3"/>
          <w:sz w:val="21"/>
          <w:szCs w:val="21"/>
        </w:rPr>
        <w:t>，主要系经营规模扩大，存货采购需求增加，应付</w:t>
      </w:r>
      <w:r>
        <w:rPr>
          <w:rFonts w:ascii="宋体" w:hAnsi="宋体" w:cs="宋体" w:eastAsia="宋体" w:hint="default"/>
          <w:sz w:val="21"/>
          <w:szCs w:val="21"/>
        </w:rPr>
        <w:t> 货款相应增加所致。</w:t>
      </w:r>
    </w:p>
    <w:p>
      <w:pPr>
        <w:tabs>
          <w:tab w:pos="1939" w:val="left" w:leader="none"/>
        </w:tabs>
        <w:spacing w:before="168"/>
        <w:ind w:left="680" w:right="193" w:firstLine="0"/>
        <w:jc w:val="left"/>
        <w:rPr>
          <w:rFonts w:ascii="宋体" w:hAnsi="宋体" w:cs="宋体" w:eastAsia="宋体" w:hint="default"/>
          <w:sz w:val="21"/>
          <w:szCs w:val="21"/>
        </w:rPr>
      </w:pPr>
      <w:r>
        <w:rPr>
          <w:rFonts w:ascii="宋体" w:hAnsi="宋体" w:cs="宋体" w:eastAsia="宋体" w:hint="default"/>
          <w:b/>
          <w:bCs/>
          <w:w w:val="95"/>
          <w:sz w:val="21"/>
          <w:szCs w:val="21"/>
        </w:rPr>
        <w:t>（十四）</w:t>
        <w:tab/>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80"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日止，年末预收款项余额无账龄超过一年的大额预收款项。</w:t>
      </w:r>
    </w:p>
    <w:p>
      <w:pPr>
        <w:spacing w:line="240" w:lineRule="auto" w:before="4"/>
        <w:rPr>
          <w:rFonts w:ascii="宋体" w:hAnsi="宋体" w:cs="宋体" w:eastAsia="宋体" w:hint="default"/>
          <w:sz w:val="18"/>
          <w:szCs w:val="18"/>
        </w:rPr>
      </w:pPr>
    </w:p>
    <w:p>
      <w:pPr>
        <w:spacing w:line="338" w:lineRule="auto" w:before="0"/>
        <w:ind w:left="259" w:right="257" w:firstLine="420"/>
        <w:jc w:val="left"/>
        <w:rPr>
          <w:rFonts w:ascii="宋体" w:hAnsi="宋体" w:cs="宋体" w:eastAsia="宋体" w:hint="default"/>
          <w:sz w:val="21"/>
          <w:szCs w:val="21"/>
        </w:rPr>
      </w:pPr>
      <w:r>
        <w:rPr>
          <w:rFonts w:ascii="Arial Narrow" w:hAnsi="Arial Narrow" w:cs="Arial Narrow" w:eastAsia="Arial Narrow" w:hint="default"/>
          <w:spacing w:val="-4"/>
          <w:sz w:val="21"/>
          <w:szCs w:val="21"/>
        </w:rPr>
        <w:t>2</w:t>
      </w:r>
      <w:r>
        <w:rPr>
          <w:rFonts w:ascii="宋体" w:hAnsi="宋体" w:cs="宋体" w:eastAsia="宋体" w:hint="default"/>
          <w:spacing w:val="-4"/>
          <w:sz w:val="21"/>
          <w:szCs w:val="21"/>
        </w:rPr>
        <w:t>、截至</w:t>
      </w:r>
      <w:r>
        <w:rPr>
          <w:rFonts w:ascii="宋体" w:hAnsi="宋体" w:cs="宋体" w:eastAsia="宋体" w:hint="default"/>
          <w:spacing w:val="-57"/>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日止，预收款项余额中无预收持有本公司</w:t>
      </w:r>
      <w:r>
        <w:rPr>
          <w:rFonts w:ascii="宋体" w:hAnsi="宋体" w:cs="宋体" w:eastAsia="宋体" w:hint="default"/>
          <w:spacing w:val="-57"/>
          <w:sz w:val="21"/>
          <w:szCs w:val="21"/>
        </w:rPr>
        <w:t> </w:t>
      </w:r>
      <w:r>
        <w:rPr>
          <w:rFonts w:ascii="Arial Narrow" w:hAnsi="Arial Narrow" w:cs="Arial Narrow" w:eastAsia="Arial Narrow" w:hint="default"/>
          <w:spacing w:val="-5"/>
          <w:sz w:val="21"/>
          <w:szCs w:val="21"/>
        </w:rPr>
        <w:t>5%</w:t>
      </w:r>
      <w:r>
        <w:rPr>
          <w:rFonts w:ascii="宋体" w:hAnsi="宋体" w:cs="宋体" w:eastAsia="宋体" w:hint="default"/>
          <w:spacing w:val="-5"/>
          <w:sz w:val="21"/>
          <w:szCs w:val="21"/>
        </w:rPr>
        <w:t>（含</w:t>
      </w:r>
      <w:r>
        <w:rPr>
          <w:rFonts w:ascii="宋体" w:hAnsi="宋体" w:cs="宋体" w:eastAsia="宋体" w:hint="default"/>
          <w:spacing w:val="-56"/>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 股份的股东单位及关联方款项。</w:t>
      </w:r>
    </w:p>
    <w:p>
      <w:pPr>
        <w:spacing w:line="338" w:lineRule="auto" w:before="167"/>
        <w:ind w:left="259" w:right="246" w:firstLine="420"/>
        <w:jc w:val="left"/>
        <w:rPr>
          <w:rFonts w:ascii="宋体" w:hAnsi="宋体" w:cs="宋体" w:eastAsia="宋体" w:hint="default"/>
          <w:sz w:val="21"/>
          <w:szCs w:val="21"/>
        </w:rPr>
      </w:pPr>
      <w:r>
        <w:rPr>
          <w:rFonts w:ascii="Arial Narrow" w:hAnsi="Arial Narrow" w:cs="Arial Narrow" w:eastAsia="Arial Narrow" w:hint="default"/>
          <w:spacing w:val="-2"/>
          <w:sz w:val="21"/>
          <w:szCs w:val="21"/>
        </w:rPr>
        <w:t>3</w:t>
      </w:r>
      <w:r>
        <w:rPr>
          <w:rFonts w:ascii="宋体" w:hAnsi="宋体" w:cs="宋体" w:eastAsia="宋体" w:hint="default"/>
          <w:spacing w:val="-2"/>
          <w:sz w:val="21"/>
          <w:szCs w:val="21"/>
        </w:rPr>
        <w:t>、年末预收款项余额较年初增加</w:t>
      </w:r>
      <w:r>
        <w:rPr>
          <w:rFonts w:ascii="宋体" w:hAnsi="宋体" w:cs="宋体" w:eastAsia="宋体" w:hint="default"/>
          <w:spacing w:val="-44"/>
          <w:sz w:val="21"/>
          <w:szCs w:val="21"/>
        </w:rPr>
        <w:t> </w:t>
      </w:r>
      <w:r>
        <w:rPr>
          <w:rFonts w:ascii="Arial Narrow" w:hAnsi="Arial Narrow" w:cs="Arial Narrow" w:eastAsia="Arial Narrow" w:hint="default"/>
          <w:spacing w:val="-2"/>
          <w:sz w:val="21"/>
          <w:szCs w:val="21"/>
        </w:rPr>
        <w:t>76.85%</w:t>
      </w:r>
      <w:r>
        <w:rPr>
          <w:rFonts w:ascii="宋体" w:hAnsi="宋体" w:cs="宋体" w:eastAsia="宋体" w:hint="default"/>
          <w:spacing w:val="-2"/>
          <w:sz w:val="21"/>
          <w:szCs w:val="21"/>
        </w:rPr>
        <w:t>，主要系经营规模扩大，未执行完合同预收款增加</w:t>
      </w:r>
      <w:r>
        <w:rPr>
          <w:rFonts w:ascii="宋体" w:hAnsi="宋体" w:cs="宋体" w:eastAsia="宋体" w:hint="default"/>
          <w:sz w:val="21"/>
          <w:szCs w:val="21"/>
        </w:rPr>
        <w:t> 所致。</w:t>
      </w:r>
    </w:p>
    <w:p>
      <w:pPr>
        <w:tabs>
          <w:tab w:pos="1938" w:val="left" w:leader="none"/>
        </w:tabs>
        <w:spacing w:before="167"/>
        <w:ind w:left="679" w:right="193" w:firstLine="0"/>
        <w:jc w:val="left"/>
        <w:rPr>
          <w:rFonts w:ascii="宋体" w:hAnsi="宋体" w:cs="宋体" w:eastAsia="宋体" w:hint="default"/>
          <w:sz w:val="21"/>
          <w:szCs w:val="21"/>
        </w:rPr>
      </w:pPr>
      <w:r>
        <w:rPr>
          <w:rFonts w:ascii="宋体" w:hAnsi="宋体" w:cs="宋体" w:eastAsia="宋体" w:hint="default"/>
          <w:b/>
          <w:bCs/>
          <w:w w:val="95"/>
          <w:sz w:val="21"/>
          <w:szCs w:val="21"/>
        </w:rPr>
        <w:t>（十五）</w:t>
        <w:tab/>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79"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、应付职工薪酬明细项目及增减变动列示如下：</w:t>
      </w:r>
    </w:p>
    <w:p>
      <w:pPr>
        <w:spacing w:line="240" w:lineRule="auto" w:before="9"/>
        <w:rPr>
          <w:rFonts w:ascii="宋体" w:hAnsi="宋体" w:cs="宋体" w:eastAsia="宋体" w:hint="default"/>
          <w:sz w:val="11"/>
          <w:szCs w:val="11"/>
        </w:rPr>
      </w:pPr>
    </w:p>
    <w:tbl>
      <w:tblPr>
        <w:tblW w:w="0" w:type="auto"/>
        <w:jc w:val="left"/>
        <w:tblInd w:w="106" w:type="dxa"/>
        <w:tblLayout w:type="fixed"/>
        <w:tblCellMar>
          <w:top w:w="0" w:type="dxa"/>
          <w:left w:w="0" w:type="dxa"/>
          <w:bottom w:w="0" w:type="dxa"/>
          <w:right w:w="0" w:type="dxa"/>
        </w:tblCellMar>
        <w:tblLook w:val="01E0"/>
      </w:tblPr>
      <w:tblGrid>
        <w:gridCol w:w="2196"/>
        <w:gridCol w:w="1613"/>
        <w:gridCol w:w="1570"/>
        <w:gridCol w:w="1724"/>
        <w:gridCol w:w="1829"/>
      </w:tblGrid>
      <w:tr>
        <w:trPr>
          <w:trHeight w:val="355" w:hRule="exact"/>
        </w:trPr>
        <w:tc>
          <w:tcPr>
            <w:tcW w:w="21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1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167"/>
              <w:jc w:val="right"/>
              <w:rPr>
                <w:rFonts w:ascii="宋体" w:hAnsi="宋体" w:cs="宋体" w:eastAsia="宋体" w:hint="default"/>
                <w:sz w:val="21"/>
                <w:szCs w:val="21"/>
              </w:rPr>
            </w:pPr>
            <w:r>
              <w:rPr>
                <w:rFonts w:ascii="宋体" w:hAnsi="宋体" w:cs="宋体" w:eastAsia="宋体" w:hint="default"/>
                <w:sz w:val="21"/>
                <w:szCs w:val="21"/>
              </w:rPr>
              <w:t>年初账面余额</w:t>
            </w:r>
          </w:p>
        </w:tc>
        <w:tc>
          <w:tcPr>
            <w:tcW w:w="157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51"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7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29"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82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77" w:right="0"/>
              <w:jc w:val="lef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54"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7" w:right="0"/>
              <w:jc w:val="center"/>
              <w:rPr>
                <w:rFonts w:ascii="宋体" w:hAnsi="宋体" w:cs="宋体" w:eastAsia="宋体" w:hint="default"/>
                <w:sz w:val="24"/>
                <w:szCs w:val="24"/>
              </w:rPr>
            </w:pPr>
            <w:r>
              <w:rPr>
                <w:rFonts w:ascii="宋体" w:hAnsi="宋体" w:cs="宋体" w:eastAsia="宋体" w:hint="default"/>
                <w:spacing w:val="8"/>
                <w:sz w:val="24"/>
                <w:szCs w:val="24"/>
              </w:rPr>
              <w:t>工资、奖金、津贴</w:t>
            </w:r>
            <w:r>
              <w:rPr>
                <w:rFonts w:ascii="宋体" w:hAnsi="宋体" w:cs="宋体" w:eastAsia="宋体" w:hint="default"/>
                <w:sz w:val="24"/>
                <w:szCs w:val="24"/>
              </w:rPr>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13,841,394.50</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352" w:right="0"/>
              <w:jc w:val="left"/>
              <w:rPr>
                <w:rFonts w:ascii="Arial Narrow" w:hAnsi="Arial Narrow" w:cs="Arial Narrow" w:eastAsia="Arial Narrow" w:hint="default"/>
                <w:sz w:val="21"/>
                <w:szCs w:val="21"/>
              </w:rPr>
            </w:pPr>
            <w:r>
              <w:rPr>
                <w:rFonts w:ascii="Arial Narrow"/>
                <w:sz w:val="21"/>
              </w:rPr>
              <w:t>59,175,943.79</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507" w:right="0"/>
              <w:jc w:val="left"/>
              <w:rPr>
                <w:rFonts w:ascii="Arial Narrow" w:hAnsi="Arial Narrow" w:cs="Arial Narrow" w:eastAsia="Arial Narrow" w:hint="default"/>
                <w:sz w:val="21"/>
                <w:szCs w:val="21"/>
              </w:rPr>
            </w:pPr>
            <w:r>
              <w:rPr>
                <w:rFonts w:ascii="Arial Narrow"/>
                <w:sz w:val="21"/>
              </w:rPr>
              <w:t>47,344,366.71</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611" w:right="0"/>
              <w:jc w:val="left"/>
              <w:rPr>
                <w:rFonts w:ascii="Arial Narrow" w:hAnsi="Arial Narrow" w:cs="Arial Narrow" w:eastAsia="Arial Narrow" w:hint="default"/>
                <w:sz w:val="21"/>
                <w:szCs w:val="21"/>
              </w:rPr>
            </w:pPr>
            <w:r>
              <w:rPr>
                <w:rFonts w:ascii="Arial Narrow"/>
                <w:sz w:val="21"/>
              </w:rPr>
              <w:t>25,672,971.58</w:t>
            </w:r>
          </w:p>
        </w:tc>
      </w:tr>
    </w:tbl>
    <w:p>
      <w:pPr>
        <w:spacing w:after="0" w:line="240" w:lineRule="auto"/>
        <w:jc w:val="left"/>
        <w:rPr>
          <w:rFonts w:ascii="Arial Narrow" w:hAnsi="Arial Narrow" w:cs="Arial Narrow" w:eastAsia="Arial Narrow" w:hint="default"/>
          <w:sz w:val="21"/>
          <w:szCs w:val="21"/>
        </w:rPr>
        <w:sectPr>
          <w:pgSz w:w="12240" w:h="15840"/>
          <w:pgMar w:header="0" w:footer="688" w:top="1360" w:bottom="900" w:left="1540" w:right="1540"/>
        </w:sectPr>
      </w:pPr>
    </w:p>
    <w:p>
      <w:pPr>
        <w:spacing w:line="240" w:lineRule="auto" w:before="6"/>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2196"/>
        <w:gridCol w:w="1613"/>
        <w:gridCol w:w="1570"/>
        <w:gridCol w:w="1724"/>
        <w:gridCol w:w="1829"/>
      </w:tblGrid>
      <w:tr>
        <w:trPr>
          <w:trHeight w:val="289" w:hRule="exact"/>
        </w:trPr>
        <w:tc>
          <w:tcPr>
            <w:tcW w:w="21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9"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1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9" w:lineRule="exact"/>
              <w:ind w:right="167"/>
              <w:jc w:val="right"/>
              <w:rPr>
                <w:rFonts w:ascii="宋体" w:hAnsi="宋体" w:cs="宋体" w:eastAsia="宋体" w:hint="default"/>
                <w:sz w:val="21"/>
                <w:szCs w:val="21"/>
              </w:rPr>
            </w:pPr>
            <w:r>
              <w:rPr>
                <w:rFonts w:ascii="宋体" w:hAnsi="宋体" w:cs="宋体" w:eastAsia="宋体" w:hint="default"/>
                <w:sz w:val="21"/>
                <w:szCs w:val="21"/>
              </w:rPr>
              <w:t>年初账面余额</w:t>
            </w:r>
          </w:p>
        </w:tc>
        <w:tc>
          <w:tcPr>
            <w:tcW w:w="157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9" w:lineRule="exact"/>
              <w:ind w:left="251"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7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9" w:lineRule="exact"/>
              <w:ind w:left="330"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82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9" w:lineRule="exact"/>
              <w:ind w:left="277" w:right="0"/>
              <w:jc w:val="lef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96" w:hRule="exact"/>
        </w:trPr>
        <w:tc>
          <w:tcPr>
            <w:tcW w:w="2196" w:type="dxa"/>
            <w:tcBorders>
              <w:top w:val="single" w:sz="14" w:space="0" w:color="C0C0C0"/>
              <w:left w:val="single" w:sz="6" w:space="0" w:color="000000"/>
              <w:bottom w:val="single" w:sz="6" w:space="0" w:color="000000"/>
              <w:right w:val="single" w:sz="6" w:space="0" w:color="000000"/>
            </w:tcBorders>
          </w:tcPr>
          <w:p>
            <w:pPr>
              <w:pStyle w:val="TableParagraph"/>
              <w:spacing w:line="308" w:lineRule="exact"/>
              <w:ind w:left="100" w:right="0"/>
              <w:jc w:val="left"/>
              <w:rPr>
                <w:rFonts w:ascii="宋体" w:hAnsi="宋体" w:cs="宋体" w:eastAsia="宋体" w:hint="default"/>
                <w:sz w:val="24"/>
                <w:szCs w:val="24"/>
              </w:rPr>
            </w:pPr>
            <w:r>
              <w:rPr>
                <w:rFonts w:ascii="宋体" w:hAnsi="宋体" w:cs="宋体" w:eastAsia="宋体" w:hint="default"/>
                <w:sz w:val="24"/>
                <w:szCs w:val="24"/>
              </w:rPr>
              <w:t>和补贴</w:t>
            </w:r>
          </w:p>
        </w:tc>
        <w:tc>
          <w:tcPr>
            <w:tcW w:w="1613" w:type="dxa"/>
            <w:tcBorders>
              <w:top w:val="single" w:sz="14" w:space="0" w:color="C0C0C0"/>
              <w:left w:val="single" w:sz="6" w:space="0" w:color="000000"/>
              <w:bottom w:val="single" w:sz="6" w:space="0" w:color="000000"/>
              <w:right w:val="single" w:sz="6" w:space="0" w:color="000000"/>
            </w:tcBorders>
          </w:tcPr>
          <w:p>
            <w:pPr/>
          </w:p>
        </w:tc>
        <w:tc>
          <w:tcPr>
            <w:tcW w:w="1570" w:type="dxa"/>
            <w:tcBorders>
              <w:top w:val="single" w:sz="14" w:space="0" w:color="C0C0C0"/>
              <w:left w:val="single" w:sz="6" w:space="0" w:color="000000"/>
              <w:bottom w:val="single" w:sz="6" w:space="0" w:color="000000"/>
              <w:right w:val="single" w:sz="6" w:space="0" w:color="000000"/>
            </w:tcBorders>
          </w:tcPr>
          <w:p>
            <w:pPr/>
          </w:p>
        </w:tc>
        <w:tc>
          <w:tcPr>
            <w:tcW w:w="1724" w:type="dxa"/>
            <w:tcBorders>
              <w:top w:val="single" w:sz="14" w:space="0" w:color="C0C0C0"/>
              <w:left w:val="single" w:sz="6" w:space="0" w:color="000000"/>
              <w:bottom w:val="single" w:sz="6" w:space="0" w:color="000000"/>
              <w:right w:val="single" w:sz="6" w:space="0" w:color="000000"/>
            </w:tcBorders>
          </w:tcPr>
          <w:p>
            <w:pPr/>
          </w:p>
        </w:tc>
        <w:tc>
          <w:tcPr>
            <w:tcW w:w="1829" w:type="dxa"/>
            <w:tcBorders>
              <w:top w:val="single" w:sz="14" w:space="0" w:color="C0C0C0"/>
              <w:left w:val="single" w:sz="6" w:space="0" w:color="000000"/>
              <w:bottom w:val="single" w:sz="6" w:space="0" w:color="000000"/>
              <w:right w:val="single" w:sz="6" w:space="0" w:color="000000"/>
            </w:tcBorders>
          </w:tcPr>
          <w:p>
            <w:pP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1,660,275.36</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1,660,275.36</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w w:val="95"/>
                <w:sz w:val="21"/>
              </w:rPr>
              <w:t>6,188.00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5,616,489.15</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pacing w:val="-2"/>
                <w:sz w:val="21"/>
              </w:rPr>
              <w:t>5,611,352.61</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pacing w:val="-2"/>
                <w:sz w:val="21"/>
              </w:rPr>
              <w:t>11,324.54</w:t>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其中：医疗保险费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1,794.00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1,752,889.93</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1,748,992.28</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5,691.65</w:t>
            </w:r>
            <w:r>
              <w:rPr>
                <w:rFonts w:ascii="Arial Narrow"/>
                <w:sz w:val="21"/>
              </w:rPr>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基本养老保险费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3,640.00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3,159,373.83</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3,159,828.88</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3,184.95</w:t>
            </w:r>
            <w:r>
              <w:rPr>
                <w:rFonts w:ascii="Arial Narrow"/>
                <w:sz w:val="21"/>
              </w:rPr>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失业保险费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520.00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384,566.30</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383,422.60</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1,663.70</w:t>
            </w:r>
            <w:r>
              <w:rPr>
                <w:rFonts w:ascii="Arial Narrow"/>
                <w:sz w:val="21"/>
              </w:rPr>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工伤保险费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130.00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127,023.49</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126,765.16</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388.33</w:t>
            </w:r>
            <w:r>
              <w:rPr>
                <w:rFonts w:ascii="Arial Narrow"/>
                <w:sz w:val="21"/>
              </w:rPr>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730" w:right="0"/>
              <w:jc w:val="left"/>
              <w:rPr>
                <w:rFonts w:ascii="宋体" w:hAnsi="宋体" w:cs="宋体" w:eastAsia="宋体" w:hint="default"/>
                <w:sz w:val="21"/>
                <w:szCs w:val="21"/>
              </w:rPr>
            </w:pPr>
            <w:r>
              <w:rPr>
                <w:rFonts w:ascii="宋体" w:hAnsi="宋体" w:cs="宋体" w:eastAsia="宋体" w:hint="default"/>
                <w:sz w:val="21"/>
                <w:szCs w:val="21"/>
              </w:rPr>
              <w:t>生育保险费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104.00</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192,635.60</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192,343.69</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395.91</w:t>
            </w:r>
            <w:r>
              <w:rPr>
                <w:rFonts w:ascii="Arial Narrow"/>
                <w:sz w:val="21"/>
              </w:rPr>
            </w:r>
          </w:p>
        </w:tc>
      </w:tr>
      <w:tr>
        <w:trPr>
          <w:trHeight w:val="354"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3,410,964.28</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3,410,964.28</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z w:val="21"/>
              </w:rPr>
              <w:t>-</w:t>
            </w:r>
          </w:p>
        </w:tc>
      </w:tr>
      <w:tr>
        <w:trPr>
          <w:trHeight w:val="560"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0"/>
                <w:sz w:val="21"/>
                <w:szCs w:val="21"/>
              </w:rPr>
              <w:t>工会经费和职工教育</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经费</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2,596.41</w:t>
            </w:r>
            <w:r>
              <w:rPr>
                <w:rFonts w:ascii="Arial Narrow"/>
                <w:sz w:val="21"/>
              </w:rPr>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2"/>
                <w:sz w:val="21"/>
              </w:rPr>
              <w:t>392,112.67</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391,884.52</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2,824.56</w:t>
            </w:r>
            <w:r>
              <w:rPr>
                <w:rFonts w:ascii="Arial Narrow"/>
                <w:sz w:val="21"/>
              </w:rPr>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企业年金</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230,893.83</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230,893.83</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非货币性福利</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560"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0"/>
                <w:sz w:val="21"/>
                <w:szCs w:val="21"/>
              </w:rPr>
              <w:t>因解除劳动关系给予</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的补偿</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559"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0"/>
                <w:sz w:val="21"/>
                <w:szCs w:val="21"/>
              </w:rPr>
              <w:t>其中：以现金结算的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股份支付</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2196"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13,850,178.91</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70,486,679.08</w:t>
            </w:r>
          </w:p>
        </w:tc>
        <w:tc>
          <w:tcPr>
            <w:tcW w:w="1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58,649,737.31</w:t>
            </w:r>
          </w:p>
        </w:tc>
        <w:tc>
          <w:tcPr>
            <w:tcW w:w="18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25,687,120.68</w:t>
            </w:r>
          </w:p>
        </w:tc>
      </w:tr>
    </w:tbl>
    <w:p>
      <w:pPr>
        <w:spacing w:before="87"/>
        <w:ind w:left="680"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、应付职工薪酬年末余额中，</w:t>
      </w:r>
      <w:r>
        <w:rPr>
          <w:rFonts w:ascii="Arial Narrow" w:hAnsi="Arial Narrow" w:cs="Arial Narrow" w:eastAsia="Arial Narrow" w:hint="default"/>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
          <w:sz w:val="21"/>
          <w:szCs w:val="21"/>
        </w:rPr>
        <w:t> </w:t>
      </w:r>
      <w:r>
        <w:rPr>
          <w:rFonts w:ascii="宋体" w:hAnsi="宋体" w:cs="宋体" w:eastAsia="宋体" w:hint="default"/>
          <w:sz w:val="21"/>
          <w:szCs w:val="21"/>
        </w:rPr>
        <w:t>月工资将于</w:t>
      </w:r>
      <w:r>
        <w:rPr>
          <w:rFonts w:ascii="宋体" w:hAnsi="宋体" w:cs="宋体" w:eastAsia="宋体" w:hint="default"/>
          <w:spacing w:val="-57"/>
          <w:sz w:val="21"/>
          <w:szCs w:val="21"/>
        </w:rPr>
        <w:t> </w:t>
      </w:r>
      <w:r>
        <w:rPr>
          <w:rFonts w:ascii="Arial Narrow" w:hAnsi="Arial Narrow" w:cs="Arial Narrow" w:eastAsia="Arial Narrow" w:hint="default"/>
          <w:sz w:val="21"/>
          <w:szCs w:val="21"/>
        </w:rPr>
        <w:t>2012</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Arial Narrow" w:hAnsi="Arial Narrow" w:cs="Arial Narrow" w:eastAsia="Arial Narrow" w:hint="default"/>
          <w:sz w:val="21"/>
          <w:szCs w:val="21"/>
        </w:rPr>
        <w:t>1</w:t>
      </w:r>
      <w:r>
        <w:rPr>
          <w:rFonts w:ascii="Arial Narrow" w:hAnsi="Arial Narrow" w:cs="Arial Narrow" w:eastAsia="Arial Narrow" w:hint="default"/>
          <w:spacing w:val="1"/>
          <w:sz w:val="21"/>
          <w:szCs w:val="21"/>
        </w:rPr>
        <w:t> </w:t>
      </w:r>
      <w:r>
        <w:rPr>
          <w:rFonts w:ascii="宋体" w:hAnsi="宋体" w:cs="宋体" w:eastAsia="宋体" w:hint="default"/>
          <w:sz w:val="21"/>
          <w:szCs w:val="21"/>
        </w:rPr>
        <w:t>月发放，年终奖金将陆续于</w:t>
      </w:r>
    </w:p>
    <w:p>
      <w:pPr>
        <w:spacing w:before="120"/>
        <w:ind w:left="260"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2012</w:t>
      </w:r>
      <w:r>
        <w:rPr>
          <w:rFonts w:ascii="Arial Narrow" w:hAnsi="Arial Narrow" w:cs="Arial Narrow" w:eastAsia="Arial Narrow" w:hint="default"/>
          <w:spacing w:val="2"/>
          <w:sz w:val="21"/>
          <w:szCs w:val="21"/>
        </w:rPr>
        <w:t> </w:t>
      </w:r>
      <w:r>
        <w:rPr>
          <w:rFonts w:ascii="宋体" w:hAnsi="宋体" w:cs="宋体" w:eastAsia="宋体" w:hint="default"/>
          <w:sz w:val="21"/>
          <w:szCs w:val="21"/>
        </w:rPr>
        <w:t>年发放。</w:t>
      </w:r>
    </w:p>
    <w:p>
      <w:pPr>
        <w:spacing w:line="240" w:lineRule="auto" w:before="3"/>
        <w:rPr>
          <w:rFonts w:ascii="宋体" w:hAnsi="宋体" w:cs="宋体" w:eastAsia="宋体" w:hint="default"/>
          <w:sz w:val="18"/>
          <w:szCs w:val="18"/>
        </w:rPr>
      </w:pPr>
    </w:p>
    <w:p>
      <w:pPr>
        <w:spacing w:line="338" w:lineRule="auto" w:before="0"/>
        <w:ind w:left="260" w:right="246" w:firstLine="42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、年末应付职工薪酬余额较年初增加</w:t>
      </w:r>
      <w:r>
        <w:rPr>
          <w:rFonts w:ascii="宋体" w:hAnsi="宋体" w:cs="宋体" w:eastAsia="宋体" w:hint="default"/>
          <w:spacing w:val="-53"/>
          <w:sz w:val="21"/>
          <w:szCs w:val="21"/>
        </w:rPr>
        <w:t> </w:t>
      </w:r>
      <w:r>
        <w:rPr>
          <w:rFonts w:ascii="Arial Narrow" w:hAnsi="Arial Narrow" w:cs="Arial Narrow" w:eastAsia="Arial Narrow" w:hint="default"/>
          <w:spacing w:val="-3"/>
          <w:sz w:val="21"/>
          <w:szCs w:val="21"/>
        </w:rPr>
        <w:t>85.46%</w:t>
      </w:r>
      <w:r>
        <w:rPr>
          <w:rFonts w:ascii="宋体" w:hAnsi="宋体" w:cs="宋体" w:eastAsia="宋体" w:hint="default"/>
          <w:spacing w:val="-3"/>
          <w:sz w:val="21"/>
          <w:szCs w:val="21"/>
        </w:rPr>
        <w:t>，主要系经营规模扩大，员工人数增加，相应</w:t>
      </w:r>
      <w:r>
        <w:rPr>
          <w:rFonts w:ascii="宋体" w:hAnsi="宋体" w:cs="宋体" w:eastAsia="宋体" w:hint="default"/>
          <w:sz w:val="21"/>
          <w:szCs w:val="21"/>
        </w:rPr>
        <w:t> 计提的</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月工资及年终奖金增加所致。</w:t>
      </w:r>
    </w:p>
    <w:p>
      <w:pPr>
        <w:tabs>
          <w:tab w:pos="1939" w:val="left" w:leader="none"/>
        </w:tabs>
        <w:spacing w:before="141"/>
        <w:ind w:left="679" w:right="193" w:firstLine="0"/>
        <w:jc w:val="left"/>
        <w:rPr>
          <w:rFonts w:ascii="宋体" w:hAnsi="宋体" w:cs="宋体" w:eastAsia="宋体" w:hint="default"/>
          <w:sz w:val="21"/>
          <w:szCs w:val="21"/>
        </w:rPr>
      </w:pPr>
      <w:r>
        <w:rPr>
          <w:rFonts w:ascii="宋体" w:hAnsi="宋体" w:cs="宋体" w:eastAsia="宋体" w:hint="default"/>
          <w:b/>
          <w:bCs/>
          <w:w w:val="95"/>
          <w:sz w:val="21"/>
          <w:szCs w:val="21"/>
        </w:rPr>
        <w:t>（十六）</w:t>
        <w:tab/>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79" w:right="193"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、应交税费明细项目列示如下：</w:t>
      </w:r>
    </w:p>
    <w:p>
      <w:pPr>
        <w:spacing w:line="240" w:lineRule="auto" w:before="11"/>
        <w:rPr>
          <w:rFonts w:ascii="宋体" w:hAnsi="宋体" w:cs="宋体" w:eastAsia="宋体" w:hint="default"/>
          <w:sz w:val="18"/>
          <w:szCs w:val="18"/>
        </w:rPr>
      </w:pPr>
    </w:p>
    <w:tbl>
      <w:tblPr>
        <w:tblW w:w="0" w:type="auto"/>
        <w:jc w:val="left"/>
        <w:tblInd w:w="150" w:type="dxa"/>
        <w:tblLayout w:type="fixed"/>
        <w:tblCellMar>
          <w:top w:w="0" w:type="dxa"/>
          <w:left w:w="0" w:type="dxa"/>
          <w:bottom w:w="0" w:type="dxa"/>
          <w:right w:w="0" w:type="dxa"/>
        </w:tblCellMar>
        <w:tblLook w:val="01E0"/>
      </w:tblPr>
      <w:tblGrid>
        <w:gridCol w:w="2922"/>
        <w:gridCol w:w="2920"/>
        <w:gridCol w:w="3002"/>
      </w:tblGrid>
      <w:tr>
        <w:trPr>
          <w:trHeight w:val="407" w:hRule="exact"/>
        </w:trPr>
        <w:tc>
          <w:tcPr>
            <w:tcW w:w="29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4"/>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821"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0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863"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6,971,848.70</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4,758,697.78</w:t>
            </w:r>
          </w:p>
        </w:tc>
      </w:tr>
      <w:tr>
        <w:trPr>
          <w:trHeight w:val="354"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147,409.28</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146,844.94</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6,901,534.87</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5,001,186.66</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84,568.33</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92,777.11</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497,698.19</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315,916.54</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213,719.85</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135,442.86</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141,964.55</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45,102.12</w:t>
            </w:r>
          </w:p>
        </w:tc>
      </w:tr>
      <w:tr>
        <w:trPr>
          <w:trHeight w:val="354"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其他税种</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27,061.38</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14,457.65</w:t>
            </w:r>
          </w:p>
        </w:tc>
      </w:tr>
    </w:tbl>
    <w:p>
      <w:pPr>
        <w:spacing w:after="0" w:line="240" w:lineRule="auto"/>
        <w:jc w:val="right"/>
        <w:rPr>
          <w:rFonts w:ascii="Arial Narrow" w:hAnsi="Arial Narrow" w:cs="Arial Narrow" w:eastAsia="Arial Narrow" w:hint="default"/>
          <w:sz w:val="21"/>
          <w:szCs w:val="21"/>
        </w:rPr>
        <w:sectPr>
          <w:pgSz w:w="12240" w:h="15840"/>
          <w:pgMar w:header="0" w:footer="688" w:top="1380" w:bottom="900" w:left="1540" w:right="1540"/>
        </w:sectPr>
      </w:pPr>
    </w:p>
    <w:p>
      <w:pPr>
        <w:spacing w:line="240" w:lineRule="auto" w:before="2"/>
        <w:rPr>
          <w:rFonts w:ascii="宋体" w:hAnsi="宋体" w:cs="宋体" w:eastAsia="宋体" w:hint="default"/>
          <w:sz w:val="6"/>
          <w:szCs w:val="6"/>
        </w:rPr>
      </w:pPr>
    </w:p>
    <w:tbl>
      <w:tblPr>
        <w:tblW w:w="0" w:type="auto"/>
        <w:jc w:val="left"/>
        <w:tblInd w:w="190" w:type="dxa"/>
        <w:tblLayout w:type="fixed"/>
        <w:tblCellMar>
          <w:top w:w="0" w:type="dxa"/>
          <w:left w:w="0" w:type="dxa"/>
          <w:bottom w:w="0" w:type="dxa"/>
          <w:right w:w="0" w:type="dxa"/>
        </w:tblCellMar>
        <w:tblLook w:val="01E0"/>
      </w:tblPr>
      <w:tblGrid>
        <w:gridCol w:w="2922"/>
        <w:gridCol w:w="2920"/>
        <w:gridCol w:w="3002"/>
      </w:tblGrid>
      <w:tr>
        <w:trPr>
          <w:trHeight w:val="406" w:hRule="exact"/>
        </w:trPr>
        <w:tc>
          <w:tcPr>
            <w:tcW w:w="29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4"/>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9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821"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30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863"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55" w:hRule="exact"/>
        </w:trPr>
        <w:tc>
          <w:tcPr>
            <w:tcW w:w="2922"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1702" w:right="0"/>
              <w:jc w:val="left"/>
              <w:rPr>
                <w:rFonts w:ascii="Arial Narrow" w:hAnsi="Arial Narrow" w:cs="Arial Narrow" w:eastAsia="Arial Narrow" w:hint="default"/>
                <w:sz w:val="21"/>
                <w:szCs w:val="21"/>
              </w:rPr>
            </w:pPr>
            <w:r>
              <w:rPr>
                <w:rFonts w:ascii="Arial Narrow"/>
                <w:sz w:val="21"/>
              </w:rPr>
              <w:t>14,985,805.15</w:t>
            </w:r>
          </w:p>
        </w:tc>
        <w:tc>
          <w:tcPr>
            <w:tcW w:w="3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1785" w:right="0"/>
              <w:jc w:val="left"/>
              <w:rPr>
                <w:rFonts w:ascii="Arial Narrow" w:hAnsi="Arial Narrow" w:cs="Arial Narrow" w:eastAsia="Arial Narrow" w:hint="default"/>
                <w:sz w:val="21"/>
                <w:szCs w:val="21"/>
              </w:rPr>
            </w:pPr>
            <w:r>
              <w:rPr>
                <w:rFonts w:ascii="Arial Narrow"/>
                <w:sz w:val="21"/>
              </w:rPr>
              <w:t>10,510,425.66</w:t>
            </w:r>
          </w:p>
        </w:tc>
      </w:tr>
    </w:tbl>
    <w:p>
      <w:pPr>
        <w:spacing w:before="87"/>
        <w:ind w:left="720" w:right="0" w:firstLine="0"/>
        <w:jc w:val="left"/>
        <w:rPr>
          <w:rFonts w:ascii="宋体" w:hAnsi="宋体" w:cs="宋体" w:eastAsia="宋体" w:hint="default"/>
          <w:sz w:val="21"/>
          <w:szCs w:val="21"/>
        </w:rPr>
      </w:pPr>
      <w:r>
        <w:rPr>
          <w:rFonts w:ascii="Arial Narrow" w:hAnsi="Arial Narrow" w:cs="Arial Narrow" w:eastAsia="Arial Narrow" w:hint="default"/>
          <w:spacing w:val="-2"/>
          <w:sz w:val="21"/>
          <w:szCs w:val="21"/>
        </w:rPr>
        <w:t>2</w:t>
      </w:r>
      <w:r>
        <w:rPr>
          <w:rFonts w:ascii="宋体" w:hAnsi="宋体" w:cs="宋体" w:eastAsia="宋体" w:hint="default"/>
          <w:spacing w:val="-2"/>
          <w:sz w:val="21"/>
          <w:szCs w:val="21"/>
        </w:rPr>
        <w:t>、年末应交税费余额较年初增加</w:t>
      </w:r>
      <w:r>
        <w:rPr>
          <w:rFonts w:ascii="宋体" w:hAnsi="宋体" w:cs="宋体" w:eastAsia="宋体" w:hint="default"/>
          <w:spacing w:val="-42"/>
          <w:sz w:val="21"/>
          <w:szCs w:val="21"/>
        </w:rPr>
        <w:t> </w:t>
      </w:r>
      <w:r>
        <w:rPr>
          <w:rFonts w:ascii="Arial Narrow" w:hAnsi="Arial Narrow" w:cs="Arial Narrow" w:eastAsia="Arial Narrow" w:hint="default"/>
          <w:spacing w:val="-2"/>
          <w:sz w:val="21"/>
          <w:szCs w:val="21"/>
        </w:rPr>
        <w:t>42.58%</w:t>
      </w:r>
      <w:r>
        <w:rPr>
          <w:rFonts w:ascii="宋体" w:hAnsi="宋体" w:cs="宋体" w:eastAsia="宋体" w:hint="default"/>
          <w:spacing w:val="-2"/>
          <w:sz w:val="21"/>
          <w:szCs w:val="21"/>
        </w:rPr>
        <w:t>，主要系营业收入大幅增长，应交税费相应增加所</w:t>
      </w:r>
    </w:p>
    <w:p>
      <w:pPr>
        <w:spacing w:before="118"/>
        <w:ind w:left="299" w:right="0" w:firstLine="0"/>
        <w:jc w:val="left"/>
        <w:rPr>
          <w:rFonts w:ascii="宋体" w:hAnsi="宋体" w:cs="宋体" w:eastAsia="宋体" w:hint="default"/>
          <w:sz w:val="21"/>
          <w:szCs w:val="21"/>
        </w:rPr>
      </w:pPr>
      <w:r>
        <w:rPr>
          <w:rFonts w:ascii="宋体" w:hAnsi="宋体" w:cs="宋体" w:eastAsia="宋体" w:hint="default"/>
          <w:sz w:val="21"/>
          <w:szCs w:val="21"/>
        </w:rPr>
        <w:t>致。</w:t>
      </w:r>
    </w:p>
    <w:p>
      <w:pPr>
        <w:spacing w:line="240" w:lineRule="auto" w:before="10"/>
        <w:rPr>
          <w:rFonts w:ascii="宋体" w:hAnsi="宋体" w:cs="宋体" w:eastAsia="宋体" w:hint="default"/>
          <w:sz w:val="16"/>
          <w:szCs w:val="16"/>
        </w:rPr>
      </w:pPr>
    </w:p>
    <w:p>
      <w:pPr>
        <w:tabs>
          <w:tab w:pos="1979" w:val="left" w:leader="none"/>
        </w:tabs>
        <w:spacing w:before="35"/>
        <w:ind w:left="719" w:right="0" w:firstLine="0"/>
        <w:jc w:val="left"/>
        <w:rPr>
          <w:rFonts w:ascii="宋体" w:hAnsi="宋体" w:cs="宋体" w:eastAsia="宋体" w:hint="default"/>
          <w:sz w:val="21"/>
          <w:szCs w:val="21"/>
        </w:rPr>
      </w:pPr>
      <w:r>
        <w:rPr>
          <w:rFonts w:ascii="宋体" w:hAnsi="宋体" w:cs="宋体" w:eastAsia="宋体" w:hint="default"/>
          <w:b/>
          <w:bCs/>
          <w:w w:val="95"/>
          <w:sz w:val="21"/>
          <w:szCs w:val="21"/>
        </w:rPr>
        <w:t>（十七）</w:t>
        <w:tab/>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719"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日止，年末其他应付款余额无账龄超过一年的大额应付款项。</w:t>
      </w:r>
    </w:p>
    <w:p>
      <w:pPr>
        <w:spacing w:line="240" w:lineRule="auto" w:before="4"/>
        <w:rPr>
          <w:rFonts w:ascii="宋体" w:hAnsi="宋体" w:cs="宋体" w:eastAsia="宋体" w:hint="default"/>
          <w:sz w:val="18"/>
          <w:szCs w:val="18"/>
        </w:rPr>
      </w:pPr>
    </w:p>
    <w:p>
      <w:pPr>
        <w:spacing w:line="338" w:lineRule="auto" w:before="0"/>
        <w:ind w:left="299" w:right="0" w:firstLine="420"/>
        <w:jc w:val="left"/>
        <w:rPr>
          <w:rFonts w:ascii="宋体" w:hAnsi="宋体" w:cs="宋体" w:eastAsia="宋体" w:hint="default"/>
          <w:sz w:val="21"/>
          <w:szCs w:val="21"/>
        </w:rPr>
      </w:pPr>
      <w:r>
        <w:rPr>
          <w:rFonts w:ascii="Arial Narrow" w:hAnsi="Arial Narrow" w:cs="Arial Narrow" w:eastAsia="Arial Narrow" w:hint="default"/>
          <w:spacing w:val="-4"/>
          <w:sz w:val="21"/>
          <w:szCs w:val="21"/>
        </w:rPr>
        <w:t>2</w:t>
      </w:r>
      <w:r>
        <w:rPr>
          <w:rFonts w:ascii="宋体" w:hAnsi="宋体" w:cs="宋体" w:eastAsia="宋体" w:hint="default"/>
          <w:spacing w:val="-4"/>
          <w:sz w:val="21"/>
          <w:szCs w:val="21"/>
        </w:rPr>
        <w:t>、截至</w:t>
      </w:r>
      <w:r>
        <w:rPr>
          <w:rFonts w:ascii="宋体" w:hAnsi="宋体" w:cs="宋体" w:eastAsia="宋体" w:hint="default"/>
          <w:spacing w:val="-55"/>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3"/>
          <w:sz w:val="21"/>
          <w:szCs w:val="21"/>
        </w:rPr>
        <w:t> </w:t>
      </w:r>
      <w:r>
        <w:rPr>
          <w:rFonts w:ascii="宋体" w:hAnsi="宋体" w:cs="宋体" w:eastAsia="宋体" w:hint="default"/>
          <w:sz w:val="21"/>
          <w:szCs w:val="21"/>
        </w:rPr>
        <w:t>日止，其他应付款余额中无应付持有本公司</w:t>
      </w:r>
      <w:r>
        <w:rPr>
          <w:rFonts w:ascii="宋体" w:hAnsi="宋体" w:cs="宋体" w:eastAsia="宋体" w:hint="default"/>
          <w:spacing w:val="-55"/>
          <w:sz w:val="21"/>
          <w:szCs w:val="21"/>
        </w:rPr>
        <w:t> </w:t>
      </w:r>
      <w:r>
        <w:rPr>
          <w:rFonts w:ascii="Arial Narrow" w:hAnsi="Arial Narrow" w:cs="Arial Narrow" w:eastAsia="Arial Narrow" w:hint="default"/>
          <w:spacing w:val="-4"/>
          <w:sz w:val="21"/>
          <w:szCs w:val="21"/>
        </w:rPr>
        <w:t>5%</w:t>
      </w:r>
      <w:r>
        <w:rPr>
          <w:rFonts w:ascii="宋体" w:hAnsi="宋体" w:cs="宋体" w:eastAsia="宋体" w:hint="default"/>
          <w:spacing w:val="-4"/>
          <w:sz w:val="21"/>
          <w:szCs w:val="21"/>
        </w:rPr>
        <w:t>（含</w:t>
      </w:r>
      <w:r>
        <w:rPr>
          <w:rFonts w:ascii="宋体" w:hAnsi="宋体" w:cs="宋体" w:eastAsia="宋体" w:hint="default"/>
          <w:spacing w:val="-55"/>
          <w:sz w:val="21"/>
          <w:szCs w:val="21"/>
        </w:rPr>
        <w:t> </w:t>
      </w:r>
      <w:r>
        <w:rPr>
          <w:rFonts w:ascii="Arial Narrow" w:hAnsi="Arial Narrow" w:cs="Arial Narrow" w:eastAsia="Arial Narrow" w:hint="default"/>
          <w:spacing w:val="-3"/>
          <w:sz w:val="21"/>
          <w:szCs w:val="21"/>
        </w:rPr>
        <w:t>5%</w:t>
      </w:r>
      <w:r>
        <w:rPr>
          <w:rFonts w:ascii="宋体" w:hAnsi="宋体" w:cs="宋体" w:eastAsia="宋体" w:hint="default"/>
          <w:spacing w:val="-3"/>
          <w:sz w:val="21"/>
          <w:szCs w:val="21"/>
        </w:rPr>
        <w:t>）以上表决</w:t>
      </w:r>
      <w:r>
        <w:rPr>
          <w:rFonts w:ascii="宋体" w:hAnsi="宋体" w:cs="宋体" w:eastAsia="宋体" w:hint="default"/>
          <w:sz w:val="21"/>
          <w:szCs w:val="21"/>
        </w:rPr>
        <w:t> 权股份的股东单位及关联方款项。</w:t>
      </w:r>
    </w:p>
    <w:p>
      <w:pPr>
        <w:spacing w:line="338" w:lineRule="auto" w:before="167"/>
        <w:ind w:left="299" w:right="313" w:firstLine="42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、其他应付款年末余额</w:t>
      </w:r>
      <w:r>
        <w:rPr>
          <w:rFonts w:ascii="宋体" w:hAnsi="宋体" w:cs="宋体" w:eastAsia="宋体" w:hint="default"/>
          <w:spacing w:val="-50"/>
          <w:sz w:val="21"/>
          <w:szCs w:val="21"/>
        </w:rPr>
        <w:t> </w:t>
      </w:r>
      <w:r>
        <w:rPr>
          <w:rFonts w:ascii="Arial Narrow" w:hAnsi="Arial Narrow" w:cs="Arial Narrow" w:eastAsia="Arial Narrow" w:hint="default"/>
          <w:sz w:val="21"/>
          <w:szCs w:val="21"/>
        </w:rPr>
        <w:t>3,066,481.73</w:t>
      </w:r>
      <w:r>
        <w:rPr>
          <w:rFonts w:ascii="Arial Narrow" w:hAnsi="Arial Narrow" w:cs="Arial Narrow" w:eastAsia="Arial Narrow" w:hint="default"/>
          <w:spacing w:val="7"/>
          <w:sz w:val="21"/>
          <w:szCs w:val="21"/>
        </w:rPr>
        <w:t> </w:t>
      </w:r>
      <w:r>
        <w:rPr>
          <w:rFonts w:ascii="宋体" w:hAnsi="宋体" w:cs="宋体" w:eastAsia="宋体" w:hint="default"/>
          <w:sz w:val="21"/>
          <w:szCs w:val="21"/>
        </w:rPr>
        <w:t>元，较年初增加</w:t>
      </w:r>
      <w:r>
        <w:rPr>
          <w:rFonts w:ascii="宋体" w:hAnsi="宋体" w:cs="宋体" w:eastAsia="宋体" w:hint="default"/>
          <w:spacing w:val="-50"/>
          <w:sz w:val="21"/>
          <w:szCs w:val="21"/>
        </w:rPr>
        <w:t> </w:t>
      </w:r>
      <w:r>
        <w:rPr>
          <w:rFonts w:ascii="Arial Narrow" w:hAnsi="Arial Narrow" w:cs="Arial Narrow" w:eastAsia="Arial Narrow" w:hint="default"/>
          <w:sz w:val="21"/>
          <w:szCs w:val="21"/>
        </w:rPr>
        <w:t>65.33%</w:t>
      </w:r>
      <w:r>
        <w:rPr>
          <w:rFonts w:ascii="宋体" w:hAnsi="宋体" w:cs="宋体" w:eastAsia="宋体" w:hint="default"/>
          <w:sz w:val="21"/>
          <w:szCs w:val="21"/>
        </w:rPr>
        <w:t>，主要系应付</w:t>
      </w:r>
      <w:r>
        <w:rPr>
          <w:rFonts w:ascii="宋体" w:hAnsi="宋体" w:cs="宋体" w:eastAsia="宋体" w:hint="default"/>
          <w:spacing w:val="-50"/>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7"/>
          <w:sz w:val="21"/>
          <w:szCs w:val="21"/>
        </w:rPr>
        <w:t> </w:t>
      </w:r>
      <w:r>
        <w:rPr>
          <w:rFonts w:ascii="宋体" w:hAnsi="宋体" w:cs="宋体" w:eastAsia="宋体" w:hint="default"/>
          <w:sz w:val="21"/>
          <w:szCs w:val="21"/>
        </w:rPr>
        <w:t>年各项费用 增加所致。</w:t>
      </w:r>
    </w:p>
    <w:p>
      <w:pPr>
        <w:tabs>
          <w:tab w:pos="1978" w:val="left" w:leader="none"/>
        </w:tabs>
        <w:spacing w:before="167"/>
        <w:ind w:left="719" w:right="0" w:firstLine="0"/>
        <w:jc w:val="left"/>
        <w:rPr>
          <w:rFonts w:ascii="宋体" w:hAnsi="宋体" w:cs="宋体" w:eastAsia="宋体" w:hint="default"/>
          <w:sz w:val="21"/>
          <w:szCs w:val="21"/>
        </w:rPr>
      </w:pPr>
      <w:r>
        <w:rPr>
          <w:rFonts w:ascii="宋体" w:hAnsi="宋体" w:cs="宋体" w:eastAsia="宋体" w:hint="default"/>
          <w:b/>
          <w:bCs/>
          <w:w w:val="95"/>
          <w:sz w:val="21"/>
          <w:szCs w:val="21"/>
        </w:rPr>
        <w:t>（十八）</w:t>
        <w:tab/>
      </w:r>
      <w:r>
        <w:rPr>
          <w:rFonts w:ascii="宋体" w:hAnsi="宋体" w:cs="宋体" w:eastAsia="宋体" w:hint="default"/>
          <w:b/>
          <w:bCs/>
          <w:sz w:val="21"/>
          <w:szCs w:val="21"/>
        </w:rPr>
        <w:t>长期借款</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719"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、长期借款明细项目列示如下：</w:t>
      </w:r>
    </w:p>
    <w:p>
      <w:pPr>
        <w:spacing w:line="240" w:lineRule="auto" w:before="3"/>
        <w:rPr>
          <w:rFonts w:ascii="宋体" w:hAnsi="宋体" w:cs="宋体" w:eastAsia="宋体" w:hint="default"/>
          <w:sz w:val="12"/>
          <w:szCs w:val="12"/>
        </w:rPr>
      </w:pPr>
    </w:p>
    <w:tbl>
      <w:tblPr>
        <w:tblW w:w="0" w:type="auto"/>
        <w:jc w:val="left"/>
        <w:tblInd w:w="190" w:type="dxa"/>
        <w:tblLayout w:type="fixed"/>
        <w:tblCellMar>
          <w:top w:w="0" w:type="dxa"/>
          <w:left w:w="0" w:type="dxa"/>
          <w:bottom w:w="0" w:type="dxa"/>
          <w:right w:w="0" w:type="dxa"/>
        </w:tblCellMar>
        <w:tblLook w:val="01E0"/>
      </w:tblPr>
      <w:tblGrid>
        <w:gridCol w:w="3898"/>
        <w:gridCol w:w="2420"/>
        <w:gridCol w:w="2526"/>
      </w:tblGrid>
      <w:tr>
        <w:trPr>
          <w:trHeight w:val="348" w:hRule="exact"/>
        </w:trPr>
        <w:tc>
          <w:tcPr>
            <w:tcW w:w="389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借款类别</w:t>
            </w:r>
          </w:p>
        </w:tc>
        <w:tc>
          <w:tcPr>
            <w:tcW w:w="24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7" w:lineRule="exact"/>
              <w:ind w:left="572" w:right="0"/>
              <w:jc w:val="left"/>
              <w:rPr>
                <w:rFonts w:ascii="宋体" w:hAnsi="宋体" w:cs="宋体" w:eastAsia="宋体" w:hint="default"/>
                <w:sz w:val="21"/>
                <w:szCs w:val="21"/>
              </w:rPr>
            </w:pPr>
            <w:r>
              <w:rPr>
                <w:rFonts w:ascii="宋体" w:hAnsi="宋体" w:cs="宋体" w:eastAsia="宋体" w:hint="default"/>
                <w:sz w:val="21"/>
                <w:szCs w:val="21"/>
              </w:rPr>
              <w:t>年末账面余额</w:t>
            </w:r>
          </w:p>
        </w:tc>
        <w:tc>
          <w:tcPr>
            <w:tcW w:w="25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7" w:lineRule="exact"/>
              <w:ind w:left="625" w:right="0"/>
              <w:jc w:val="left"/>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55" w:hRule="exact"/>
        </w:trPr>
        <w:tc>
          <w:tcPr>
            <w:tcW w:w="389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12,900,536.32</w:t>
            </w:r>
          </w:p>
        </w:tc>
      </w:tr>
      <w:tr>
        <w:trPr>
          <w:trHeight w:val="355" w:hRule="exact"/>
        </w:trPr>
        <w:tc>
          <w:tcPr>
            <w:tcW w:w="3898"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12,900,536.32</w:t>
            </w:r>
          </w:p>
        </w:tc>
      </w:tr>
      <w:tr>
        <w:trPr>
          <w:trHeight w:val="354" w:hRule="exact"/>
        </w:trPr>
        <w:tc>
          <w:tcPr>
            <w:tcW w:w="389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681" w:right="0"/>
              <w:jc w:val="left"/>
              <w:rPr>
                <w:rFonts w:ascii="宋体" w:hAnsi="宋体" w:cs="宋体" w:eastAsia="宋体" w:hint="default"/>
                <w:sz w:val="21"/>
                <w:szCs w:val="21"/>
              </w:rPr>
            </w:pPr>
            <w:r>
              <w:rPr>
                <w:rFonts w:ascii="宋体" w:hAnsi="宋体" w:cs="宋体" w:eastAsia="宋体" w:hint="default"/>
                <w:sz w:val="21"/>
                <w:szCs w:val="21"/>
              </w:rPr>
              <w:t>减：一年内到期的长期借款</w:t>
            </w:r>
          </w:p>
        </w:tc>
        <w:tc>
          <w:tcPr>
            <w:tcW w:w="2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2,042,142.60</w:t>
            </w:r>
          </w:p>
        </w:tc>
      </w:tr>
      <w:tr>
        <w:trPr>
          <w:trHeight w:val="355" w:hRule="exact"/>
        </w:trPr>
        <w:tc>
          <w:tcPr>
            <w:tcW w:w="389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净额</w:t>
            </w:r>
          </w:p>
        </w:tc>
        <w:tc>
          <w:tcPr>
            <w:tcW w:w="24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10,858,393.72</w:t>
            </w:r>
          </w:p>
        </w:tc>
      </w:tr>
    </w:tbl>
    <w:p>
      <w:pPr>
        <w:spacing w:line="257" w:lineRule="exact" w:before="0"/>
        <w:ind w:left="72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、年末长期借款减少系本年提前归还软件园二期观日路</w:t>
      </w:r>
      <w:r>
        <w:rPr>
          <w:rFonts w:ascii="宋体" w:hAnsi="宋体" w:cs="宋体" w:eastAsia="宋体" w:hint="default"/>
          <w:spacing w:val="-53"/>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2"/>
          <w:sz w:val="21"/>
          <w:szCs w:val="21"/>
        </w:rPr>
        <w:t> </w:t>
      </w:r>
      <w:r>
        <w:rPr>
          <w:rFonts w:ascii="宋体" w:hAnsi="宋体" w:cs="宋体" w:eastAsia="宋体" w:hint="default"/>
          <w:sz w:val="21"/>
          <w:szCs w:val="21"/>
        </w:rPr>
        <w:t>号购房贷款所致。</w:t>
      </w:r>
    </w:p>
    <w:p>
      <w:pPr>
        <w:spacing w:line="240" w:lineRule="auto" w:before="3"/>
        <w:rPr>
          <w:rFonts w:ascii="宋体" w:hAnsi="宋体" w:cs="宋体" w:eastAsia="宋体" w:hint="default"/>
          <w:sz w:val="18"/>
          <w:szCs w:val="18"/>
        </w:rPr>
      </w:pPr>
    </w:p>
    <w:p>
      <w:pPr>
        <w:tabs>
          <w:tab w:pos="1979" w:val="left" w:leader="none"/>
        </w:tabs>
        <w:spacing w:line="410" w:lineRule="auto" w:before="0"/>
        <w:ind w:left="719" w:right="5598" w:firstLine="0"/>
        <w:jc w:val="left"/>
        <w:rPr>
          <w:rFonts w:ascii="宋体" w:hAnsi="宋体" w:cs="宋体" w:eastAsia="宋体" w:hint="default"/>
          <w:sz w:val="21"/>
          <w:szCs w:val="21"/>
        </w:rPr>
      </w:pPr>
      <w:r>
        <w:rPr>
          <w:rFonts w:ascii="宋体" w:hAnsi="宋体" w:cs="宋体" w:eastAsia="宋体" w:hint="default"/>
          <w:b/>
          <w:bCs/>
          <w:w w:val="95"/>
          <w:sz w:val="21"/>
          <w:szCs w:val="21"/>
        </w:rPr>
        <w:t>（十九）</w:t>
        <w:tab/>
      </w:r>
      <w:r>
        <w:rPr>
          <w:rFonts w:ascii="宋体" w:hAnsi="宋体" w:cs="宋体" w:eastAsia="宋体" w:hint="default"/>
          <w:b/>
          <w:bCs/>
          <w:sz w:val="21"/>
          <w:szCs w:val="21"/>
        </w:rPr>
        <w:t>专项应付款</w:t>
      </w:r>
      <w:r>
        <w:rPr>
          <w:rFonts w:ascii="宋体" w:hAnsi="宋体" w:cs="宋体" w:eastAsia="宋体" w:hint="default"/>
          <w:b/>
          <w:bCs/>
          <w:w w:val="99"/>
          <w:sz w:val="21"/>
          <w:szCs w:val="21"/>
        </w:rPr>
        <w:t> </w:t>
      </w:r>
      <w:r>
        <w:rPr>
          <w:rFonts w:ascii="宋体" w:hAnsi="宋体" w:cs="宋体" w:eastAsia="宋体" w:hint="default"/>
          <w:sz w:val="21"/>
          <w:szCs w:val="21"/>
        </w:rPr>
        <w:t>专项应付款明细项目列示如下：</w:t>
      </w:r>
    </w:p>
    <w:tbl>
      <w:tblPr>
        <w:tblW w:w="0" w:type="auto"/>
        <w:jc w:val="left"/>
        <w:tblInd w:w="101" w:type="dxa"/>
        <w:tblLayout w:type="fixed"/>
        <w:tblCellMar>
          <w:top w:w="0" w:type="dxa"/>
          <w:left w:w="0" w:type="dxa"/>
          <w:bottom w:w="0" w:type="dxa"/>
          <w:right w:w="0" w:type="dxa"/>
        </w:tblCellMar>
        <w:tblLook w:val="01E0"/>
      </w:tblPr>
      <w:tblGrid>
        <w:gridCol w:w="2014"/>
        <w:gridCol w:w="1247"/>
        <w:gridCol w:w="1084"/>
        <w:gridCol w:w="1134"/>
        <w:gridCol w:w="1232"/>
        <w:gridCol w:w="2310"/>
      </w:tblGrid>
      <w:tr>
        <w:trPr>
          <w:trHeight w:val="558" w:hRule="exact"/>
        </w:trPr>
        <w:tc>
          <w:tcPr>
            <w:tcW w:w="20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00"/>
              <w:ind w:right="682"/>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24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年初账面</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08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本期增加</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额</w:t>
            </w:r>
          </w:p>
        </w:tc>
        <w:tc>
          <w:tcPr>
            <w:tcW w:w="113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本期减少</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额</w:t>
            </w:r>
          </w:p>
        </w:tc>
        <w:tc>
          <w:tcPr>
            <w:tcW w:w="123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年末账面</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231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0"/>
              <w:ind w:left="1"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60" w:hRule="exact"/>
        </w:trPr>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新一代电子数据取</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证技术研究及应用</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600,000.00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spacing w:val="-1"/>
                <w:sz w:val="21"/>
              </w:rPr>
              <w:t>600,000.00</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厦门市科技局、市财政</w:t>
            </w:r>
          </w:p>
          <w:p>
            <w:pPr>
              <w:pStyle w:val="TableParagraph"/>
              <w:spacing w:line="288" w:lineRule="exact"/>
              <w:ind w:left="100" w:right="0"/>
              <w:jc w:val="left"/>
              <w:rPr>
                <w:rFonts w:ascii="宋体" w:hAnsi="宋体" w:cs="宋体" w:eastAsia="宋体" w:hint="default"/>
                <w:sz w:val="21"/>
                <w:szCs w:val="21"/>
              </w:rPr>
            </w:pPr>
            <w:r>
              <w:rPr>
                <w:rFonts w:ascii="宋体" w:hAnsi="宋体" w:cs="宋体" w:eastAsia="宋体" w:hint="default"/>
                <w:sz w:val="21"/>
                <w:szCs w:val="21"/>
              </w:rPr>
              <w:t>局厦科联【</w:t>
            </w:r>
            <w:r>
              <w:rPr>
                <w:rFonts w:ascii="Arial Narrow" w:hAnsi="Arial Narrow" w:cs="Arial Narrow" w:eastAsia="Arial Narrow" w:hint="default"/>
                <w:sz w:val="21"/>
                <w:szCs w:val="21"/>
              </w:rPr>
              <w:t>2010</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4"/>
                <w:sz w:val="21"/>
                <w:szCs w:val="21"/>
              </w:rPr>
              <w:t> </w:t>
            </w:r>
            <w:r>
              <w:rPr>
                <w:rFonts w:ascii="宋体" w:hAnsi="宋体" w:cs="宋体" w:eastAsia="宋体" w:hint="default"/>
                <w:sz w:val="21"/>
                <w:szCs w:val="21"/>
              </w:rPr>
              <w:t>号</w:t>
            </w:r>
          </w:p>
        </w:tc>
      </w:tr>
      <w:tr>
        <w:trPr>
          <w:trHeight w:val="832" w:hRule="exact"/>
        </w:trPr>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83"/>
              <w:jc w:val="left"/>
              <w:rPr>
                <w:rFonts w:ascii="宋体" w:hAnsi="宋体" w:cs="宋体" w:eastAsia="宋体" w:hint="default"/>
                <w:sz w:val="21"/>
                <w:szCs w:val="21"/>
              </w:rPr>
            </w:pPr>
            <w:r>
              <w:rPr>
                <w:rFonts w:ascii="宋体" w:hAnsi="宋体" w:cs="宋体" w:eastAsia="宋体" w:hint="default"/>
                <w:spacing w:val="16"/>
                <w:sz w:val="21"/>
                <w:szCs w:val="21"/>
              </w:rPr>
              <w:t>互联网舆情分析综 </w:t>
            </w:r>
            <w:r>
              <w:rPr>
                <w:rFonts w:ascii="宋体" w:hAnsi="宋体" w:cs="宋体" w:eastAsia="宋体" w:hint="default"/>
                <w:sz w:val="21"/>
                <w:szCs w:val="21"/>
              </w:rPr>
              <w:t>合平台研发</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200,000.00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z w:val="21"/>
              </w:rPr>
              <w:t>-</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200,000.00</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z w:val="21"/>
              </w:rPr>
              <w:t>-</w:t>
            </w:r>
          </w:p>
        </w:tc>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厦门经发局、厦门市财</w:t>
            </w:r>
          </w:p>
          <w:p>
            <w:pPr>
              <w:pStyle w:val="TableParagraph"/>
              <w:spacing w:line="272" w:lineRule="exact" w:before="26"/>
              <w:ind w:left="100" w:right="96"/>
              <w:jc w:val="left"/>
              <w:rPr>
                <w:rFonts w:ascii="宋体" w:hAnsi="宋体" w:cs="宋体" w:eastAsia="宋体" w:hint="default"/>
                <w:sz w:val="21"/>
                <w:szCs w:val="21"/>
              </w:rPr>
            </w:pPr>
            <w:r>
              <w:rPr>
                <w:rFonts w:ascii="宋体" w:hAnsi="宋体" w:cs="宋体" w:eastAsia="宋体" w:hint="default"/>
                <w:spacing w:val="-4"/>
                <w:sz w:val="21"/>
                <w:szCs w:val="21"/>
              </w:rPr>
              <w:t>政局厦经技（</w:t>
            </w:r>
            <w:r>
              <w:rPr>
                <w:rFonts w:ascii="Arial Narrow" w:hAnsi="Arial Narrow" w:cs="Arial Narrow" w:eastAsia="Arial Narrow" w:hint="default"/>
                <w:spacing w:val="-4"/>
                <w:sz w:val="21"/>
                <w:szCs w:val="21"/>
              </w:rPr>
              <w:t>2009</w:t>
            </w:r>
            <w:r>
              <w:rPr>
                <w:rFonts w:ascii="宋体" w:hAnsi="宋体" w:cs="宋体" w:eastAsia="宋体" w:hint="default"/>
                <w:spacing w:val="-4"/>
                <w:sz w:val="21"/>
                <w:szCs w:val="21"/>
              </w:rPr>
              <w:t>）</w:t>
            </w:r>
            <w:r>
              <w:rPr>
                <w:rFonts w:ascii="Arial Narrow" w:hAnsi="Arial Narrow" w:cs="Arial Narrow" w:eastAsia="Arial Narrow" w:hint="default"/>
                <w:spacing w:val="-4"/>
                <w:sz w:val="21"/>
                <w:szCs w:val="21"/>
              </w:rPr>
              <w:t>233</w:t>
            </w:r>
            <w:r>
              <w:rPr>
                <w:rFonts w:ascii="Arial Narrow" w:hAnsi="Arial Narrow" w:cs="Arial Narrow" w:eastAsia="Arial Narrow" w:hint="default"/>
                <w:spacing w:val="-38"/>
                <w:sz w:val="21"/>
                <w:szCs w:val="21"/>
              </w:rPr>
              <w:t> </w:t>
            </w:r>
            <w:r>
              <w:rPr>
                <w:rFonts w:ascii="宋体" w:hAnsi="宋体" w:cs="宋体" w:eastAsia="宋体" w:hint="default"/>
                <w:sz w:val="21"/>
                <w:szCs w:val="21"/>
              </w:rPr>
              <w:t>号文件</w:t>
            </w:r>
          </w:p>
        </w:tc>
      </w:tr>
      <w:tr>
        <w:trPr>
          <w:trHeight w:val="833" w:hRule="exact"/>
        </w:trPr>
        <w:tc>
          <w:tcPr>
            <w:tcW w:w="201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2010 </w:t>
            </w:r>
            <w:r>
              <w:rPr>
                <w:rFonts w:ascii="Arial Narrow" w:hAnsi="Arial Narrow" w:cs="Arial Narrow" w:eastAsia="Arial Narrow" w:hint="default"/>
                <w:spacing w:val="21"/>
                <w:sz w:val="21"/>
                <w:szCs w:val="21"/>
              </w:rPr>
              <w:t> </w:t>
            </w:r>
            <w:r>
              <w:rPr>
                <w:rFonts w:ascii="宋体" w:hAnsi="宋体" w:cs="宋体" w:eastAsia="宋体" w:hint="default"/>
                <w:spacing w:val="7"/>
                <w:sz w:val="21"/>
                <w:szCs w:val="21"/>
              </w:rPr>
              <w:t>年（第二批）</w:t>
            </w:r>
            <w:r>
              <w:rPr>
                <w:rFonts w:ascii="宋体" w:hAnsi="宋体" w:cs="宋体" w:eastAsia="宋体" w:hint="default"/>
                <w:sz w:val="21"/>
                <w:szCs w:val="21"/>
              </w:rPr>
            </w:r>
          </w:p>
          <w:p>
            <w:pPr>
              <w:pStyle w:val="TableParagraph"/>
              <w:spacing w:line="272" w:lineRule="exact" w:before="19"/>
              <w:ind w:left="100" w:right="83"/>
              <w:jc w:val="left"/>
              <w:rPr>
                <w:rFonts w:ascii="宋体" w:hAnsi="宋体" w:cs="宋体" w:eastAsia="宋体" w:hint="default"/>
                <w:sz w:val="21"/>
                <w:szCs w:val="21"/>
              </w:rPr>
            </w:pPr>
            <w:r>
              <w:rPr>
                <w:rFonts w:ascii="宋体" w:hAnsi="宋体" w:cs="宋体" w:eastAsia="宋体" w:hint="default"/>
                <w:spacing w:val="16"/>
                <w:sz w:val="21"/>
                <w:szCs w:val="21"/>
              </w:rPr>
              <w:t>重点技术创新及产 </w:t>
            </w:r>
            <w:r>
              <w:rPr>
                <w:rFonts w:ascii="宋体" w:hAnsi="宋体" w:cs="宋体" w:eastAsia="宋体" w:hint="default"/>
                <w:sz w:val="21"/>
                <w:szCs w:val="21"/>
              </w:rPr>
              <w:t>学研项目资金计划</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300,000.00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z w:val="21"/>
              </w:rPr>
              <w:t>-</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z w:val="21"/>
              </w:rPr>
              <w:t>-</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300,000.00</w:t>
            </w:r>
          </w:p>
        </w:tc>
        <w:tc>
          <w:tcPr>
            <w:tcW w:w="23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厦门市经济发展局、厦</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pacing w:val="38"/>
                <w:sz w:val="21"/>
                <w:szCs w:val="21"/>
              </w:rPr>
              <w:t>门市财</w:t>
            </w:r>
            <w:r>
              <w:rPr>
                <w:rFonts w:ascii="宋体" w:hAnsi="宋体" w:cs="宋体" w:eastAsia="宋体" w:hint="default"/>
                <w:spacing w:val="-44"/>
                <w:sz w:val="21"/>
                <w:szCs w:val="21"/>
              </w:rPr>
              <w:t> </w:t>
            </w:r>
            <w:r>
              <w:rPr>
                <w:rFonts w:ascii="宋体" w:hAnsi="宋体" w:cs="宋体" w:eastAsia="宋体" w:hint="default"/>
                <w:sz w:val="21"/>
                <w:szCs w:val="21"/>
              </w:rPr>
              <w:t>政</w:t>
            </w:r>
            <w:r>
              <w:rPr>
                <w:rFonts w:ascii="宋体" w:hAnsi="宋体" w:cs="宋体" w:eastAsia="宋体" w:hint="default"/>
                <w:spacing w:val="-44"/>
                <w:sz w:val="21"/>
                <w:szCs w:val="21"/>
              </w:rPr>
              <w:t> </w:t>
            </w:r>
            <w:r>
              <w:rPr>
                <w:rFonts w:ascii="宋体" w:hAnsi="宋体" w:cs="宋体" w:eastAsia="宋体" w:hint="default"/>
                <w:spacing w:val="43"/>
                <w:sz w:val="21"/>
                <w:szCs w:val="21"/>
              </w:rPr>
              <w:t>局厦经技</w:t>
            </w:r>
            <w:r>
              <w:rPr>
                <w:rFonts w:ascii="宋体" w:hAnsi="宋体" w:cs="宋体" w:eastAsia="宋体" w:hint="default"/>
                <w:spacing w:val="-47"/>
                <w:sz w:val="21"/>
                <w:szCs w:val="21"/>
              </w:rPr>
              <w:t> </w:t>
            </w:r>
            <w:r>
              <w:rPr>
                <w:rFonts w:ascii="宋体" w:hAnsi="宋体" w:cs="宋体" w:eastAsia="宋体" w:hint="default"/>
                <w:sz w:val="21"/>
                <w:szCs w:val="21"/>
              </w:rPr>
            </w:r>
          </w:p>
          <w:p>
            <w:pPr>
              <w:pStyle w:val="TableParagraph"/>
              <w:spacing w:line="288"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2010</w:t>
            </w:r>
            <w:r>
              <w:rPr>
                <w:rFonts w:ascii="宋体" w:hAnsi="宋体" w:cs="宋体" w:eastAsia="宋体" w:hint="default"/>
                <w:sz w:val="21"/>
                <w:szCs w:val="21"/>
              </w:rPr>
              <w:t>】</w:t>
            </w:r>
            <w:r>
              <w:rPr>
                <w:rFonts w:ascii="Arial Narrow" w:hAnsi="Arial Narrow" w:cs="Arial Narrow" w:eastAsia="Arial Narrow" w:hint="default"/>
                <w:sz w:val="21"/>
                <w:szCs w:val="21"/>
              </w:rPr>
              <w:t>510</w:t>
            </w:r>
            <w:r>
              <w:rPr>
                <w:rFonts w:ascii="Arial Narrow" w:hAnsi="Arial Narrow" w:cs="Arial Narrow" w:eastAsia="Arial Narrow" w:hint="default"/>
                <w:spacing w:val="1"/>
                <w:sz w:val="21"/>
                <w:szCs w:val="21"/>
              </w:rPr>
              <w:t> </w:t>
            </w:r>
            <w:r>
              <w:rPr>
                <w:rFonts w:ascii="宋体" w:hAnsi="宋体" w:cs="宋体" w:eastAsia="宋体" w:hint="default"/>
                <w:sz w:val="21"/>
                <w:szCs w:val="21"/>
              </w:rPr>
              <w:t>号</w:t>
            </w:r>
          </w:p>
        </w:tc>
      </w:tr>
      <w:tr>
        <w:trPr>
          <w:trHeight w:val="354" w:hRule="exact"/>
        </w:trPr>
        <w:tc>
          <w:tcPr>
            <w:tcW w:w="201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68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1,100,000.00</w:t>
            </w:r>
          </w:p>
        </w:tc>
        <w:tc>
          <w:tcPr>
            <w:tcW w:w="10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800,000.00</w:t>
            </w:r>
          </w:p>
        </w:tc>
        <w:tc>
          <w:tcPr>
            <w:tcW w:w="1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300,000.00</w:t>
            </w:r>
          </w:p>
        </w:tc>
        <w:tc>
          <w:tcPr>
            <w:tcW w:w="2310" w:type="dxa"/>
            <w:tcBorders>
              <w:top w:val="single" w:sz="6" w:space="0" w:color="000000"/>
              <w:left w:val="single" w:sz="6" w:space="0" w:color="000000"/>
              <w:bottom w:val="single" w:sz="6" w:space="0" w:color="000000"/>
              <w:right w:val="single" w:sz="6" w:space="0" w:color="000000"/>
            </w:tcBorders>
          </w:tcPr>
          <w:p>
            <w:pPr/>
          </w:p>
        </w:tc>
      </w:tr>
    </w:tbl>
    <w:p>
      <w:pPr>
        <w:tabs>
          <w:tab w:pos="1979" w:val="left" w:leader="none"/>
        </w:tabs>
        <w:spacing w:line="408" w:lineRule="auto" w:before="46"/>
        <w:ind w:left="720" w:right="3919" w:firstLine="0"/>
        <w:jc w:val="left"/>
        <w:rPr>
          <w:rFonts w:ascii="宋体" w:hAnsi="宋体" w:cs="宋体" w:eastAsia="宋体" w:hint="default"/>
          <w:sz w:val="21"/>
          <w:szCs w:val="21"/>
        </w:rPr>
      </w:pPr>
      <w:r>
        <w:rPr>
          <w:rFonts w:ascii="宋体" w:hAnsi="宋体" w:cs="宋体" w:eastAsia="宋体" w:hint="default"/>
          <w:b/>
          <w:bCs/>
          <w:w w:val="95"/>
          <w:sz w:val="21"/>
          <w:szCs w:val="21"/>
        </w:rPr>
        <w:t>（二十）</w:t>
        <w:tab/>
      </w:r>
      <w:r>
        <w:rPr>
          <w:rFonts w:ascii="宋体" w:hAnsi="宋体" w:cs="宋体" w:eastAsia="宋体" w:hint="default"/>
          <w:b/>
          <w:bCs/>
          <w:sz w:val="21"/>
          <w:szCs w:val="21"/>
        </w:rPr>
        <w:t>其他非流动负债</w:t>
      </w:r>
      <w:r>
        <w:rPr>
          <w:rFonts w:ascii="宋体" w:hAnsi="宋体" w:cs="宋体" w:eastAsia="宋体" w:hint="default"/>
          <w:b/>
          <w:bCs/>
          <w:spacing w:val="1"/>
          <w:w w:val="99"/>
          <w:sz w:val="21"/>
          <w:szCs w:val="21"/>
        </w:rPr>
        <w:t> </w:t>
      </w:r>
      <w:r>
        <w:rPr>
          <w:rFonts w:ascii="宋体" w:hAnsi="宋体" w:cs="宋体" w:eastAsia="宋体" w:hint="default"/>
          <w:sz w:val="21"/>
          <w:szCs w:val="21"/>
        </w:rPr>
        <w:t>其他非流动负债系递延收益，明细项目列示如下：</w:t>
      </w:r>
    </w:p>
    <w:p>
      <w:pPr>
        <w:spacing w:after="0" w:line="408" w:lineRule="auto"/>
        <w:jc w:val="left"/>
        <w:rPr>
          <w:rFonts w:ascii="宋体" w:hAnsi="宋体" w:cs="宋体" w:eastAsia="宋体" w:hint="default"/>
          <w:sz w:val="21"/>
          <w:szCs w:val="21"/>
        </w:rPr>
        <w:sectPr>
          <w:pgSz w:w="12240" w:h="15840"/>
          <w:pgMar w:header="0" w:footer="688" w:top="1360" w:bottom="900" w:left="1500" w:right="1480"/>
        </w:sectPr>
      </w:pPr>
    </w:p>
    <w:p>
      <w:pPr>
        <w:spacing w:line="240" w:lineRule="auto" w:before="2"/>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1745"/>
        <w:gridCol w:w="1366"/>
        <w:gridCol w:w="1960"/>
        <w:gridCol w:w="1162"/>
        <w:gridCol w:w="1240"/>
        <w:gridCol w:w="1373"/>
      </w:tblGrid>
      <w:tr>
        <w:trPr>
          <w:trHeight w:val="482" w:hRule="exact"/>
        </w:trPr>
        <w:tc>
          <w:tcPr>
            <w:tcW w:w="174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项  目</w:t>
            </w:r>
          </w:p>
        </w:tc>
        <w:tc>
          <w:tcPr>
            <w:tcW w:w="136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拨款单位</w:t>
            </w:r>
          </w:p>
        </w:tc>
        <w:tc>
          <w:tcPr>
            <w:tcW w:w="19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文号</w:t>
            </w:r>
          </w:p>
        </w:tc>
        <w:tc>
          <w:tcPr>
            <w:tcW w:w="116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年末账面余</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12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年初账面余</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额</w:t>
            </w:r>
          </w:p>
        </w:tc>
        <w:tc>
          <w:tcPr>
            <w:tcW w:w="137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81" w:hRule="exact"/>
        </w:trPr>
        <w:tc>
          <w:tcPr>
            <w:tcW w:w="1745"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84"/>
              <w:jc w:val="left"/>
              <w:rPr>
                <w:rFonts w:ascii="宋体" w:hAnsi="宋体" w:cs="宋体" w:eastAsia="宋体" w:hint="default"/>
                <w:sz w:val="18"/>
                <w:szCs w:val="18"/>
              </w:rPr>
            </w:pPr>
            <w:r>
              <w:rPr>
                <w:rFonts w:ascii="宋体" w:hAnsi="宋体" w:cs="宋体" w:eastAsia="宋体" w:hint="default"/>
                <w:spacing w:val="12"/>
                <w:sz w:val="18"/>
                <w:szCs w:val="18"/>
              </w:rPr>
              <w:t>电子数据取证综合</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平台产业化项目</w:t>
            </w:r>
          </w:p>
        </w:tc>
        <w:tc>
          <w:tcPr>
            <w:tcW w:w="1366"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88"/>
              <w:jc w:val="left"/>
              <w:rPr>
                <w:rFonts w:ascii="宋体" w:hAnsi="宋体" w:cs="宋体" w:eastAsia="宋体" w:hint="default"/>
                <w:sz w:val="18"/>
                <w:szCs w:val="18"/>
              </w:rPr>
            </w:pPr>
            <w:r>
              <w:rPr>
                <w:rFonts w:ascii="宋体" w:hAnsi="宋体" w:cs="宋体" w:eastAsia="宋体" w:hint="default"/>
                <w:spacing w:val="13"/>
                <w:sz w:val="18"/>
                <w:szCs w:val="18"/>
              </w:rPr>
              <w:t>国家发展和改 </w:t>
            </w:r>
            <w:r>
              <w:rPr>
                <w:rFonts w:ascii="宋体" w:hAnsi="宋体" w:cs="宋体" w:eastAsia="宋体" w:hint="default"/>
                <w:sz w:val="18"/>
                <w:szCs w:val="18"/>
              </w:rPr>
              <w:t>革委员会</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Arial Narrow" w:hAnsi="Arial Narrow" w:cs="Arial Narrow" w:eastAsia="Arial Narrow" w:hint="default"/>
                <w:sz w:val="18"/>
                <w:szCs w:val="18"/>
              </w:rPr>
            </w:pPr>
            <w:r>
              <w:rPr>
                <w:rFonts w:ascii="宋体" w:hAnsi="宋体" w:cs="宋体" w:eastAsia="宋体" w:hint="default"/>
                <w:spacing w:val="-7"/>
                <w:sz w:val="18"/>
                <w:szCs w:val="18"/>
              </w:rPr>
              <w:t>发改办高技【</w:t>
            </w:r>
            <w:r>
              <w:rPr>
                <w:rFonts w:ascii="Arial Narrow" w:hAnsi="Arial Narrow" w:cs="Arial Narrow" w:eastAsia="Arial Narrow" w:hint="default"/>
                <w:spacing w:val="-7"/>
                <w:sz w:val="18"/>
                <w:szCs w:val="18"/>
              </w:rPr>
              <w:t>2009</w:t>
            </w:r>
            <w:r>
              <w:rPr>
                <w:rFonts w:ascii="宋体" w:hAnsi="宋体" w:cs="宋体" w:eastAsia="宋体" w:hint="default"/>
                <w:spacing w:val="-7"/>
                <w:sz w:val="18"/>
                <w:szCs w:val="18"/>
              </w:rPr>
              <w:t>】</w:t>
            </w:r>
            <w:r>
              <w:rPr>
                <w:rFonts w:ascii="Arial Narrow" w:hAnsi="Arial Narrow" w:cs="Arial Narrow" w:eastAsia="Arial Narrow" w:hint="default"/>
                <w:spacing w:val="-7"/>
                <w:sz w:val="18"/>
                <w:szCs w:val="18"/>
              </w:rPr>
              <w:t>924</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9"/>
              <w:jc w:val="right"/>
              <w:rPr>
                <w:rFonts w:ascii="Arial Narrow" w:hAnsi="Arial Narrow" w:cs="Arial Narrow" w:eastAsia="Arial Narrow" w:hint="default"/>
                <w:sz w:val="18"/>
                <w:szCs w:val="18"/>
              </w:rPr>
            </w:pPr>
            <w:r>
              <w:rPr>
                <w:rFonts w:ascii="Arial Narrow"/>
                <w:spacing w:val="-1"/>
                <w:sz w:val="18"/>
              </w:rPr>
              <w:t>1,256,223.12</w:t>
            </w:r>
            <w:r>
              <w:rPr>
                <w:rFonts w:ascii="Arial Narrow"/>
                <w:sz w:val="18"/>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9"/>
              <w:jc w:val="right"/>
              <w:rPr>
                <w:rFonts w:ascii="Arial Narrow" w:hAnsi="Arial Narrow" w:cs="Arial Narrow" w:eastAsia="Arial Narrow" w:hint="default"/>
                <w:sz w:val="18"/>
                <w:szCs w:val="18"/>
              </w:rPr>
            </w:pPr>
            <w:r>
              <w:rPr>
                <w:rFonts w:ascii="Arial Narrow"/>
                <w:spacing w:val="-1"/>
                <w:sz w:val="18"/>
              </w:rPr>
              <w:t>1,670,270.76</w:t>
            </w:r>
            <w:r>
              <w:rPr>
                <w:rFonts w:ascii="Arial Narrow"/>
                <w:sz w:val="18"/>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82" w:hRule="exact"/>
        </w:trPr>
        <w:tc>
          <w:tcPr>
            <w:tcW w:w="1745" w:type="dxa"/>
            <w:vMerge/>
            <w:tcBorders>
              <w:left w:val="single" w:sz="6" w:space="0" w:color="000000"/>
              <w:bottom w:val="single" w:sz="6" w:space="0" w:color="000000"/>
              <w:right w:val="single" w:sz="6" w:space="0" w:color="000000"/>
            </w:tcBorders>
          </w:tcPr>
          <w:p>
            <w:pPr/>
          </w:p>
        </w:tc>
        <w:tc>
          <w:tcPr>
            <w:tcW w:w="1366" w:type="dxa"/>
            <w:vMerge/>
            <w:tcBorders>
              <w:left w:val="single" w:sz="6" w:space="0" w:color="000000"/>
              <w:bottom w:val="single" w:sz="6" w:space="0" w:color="000000"/>
              <w:right w:val="single" w:sz="6" w:space="0" w:color="000000"/>
            </w:tcBorders>
          </w:tcPr>
          <w:p>
            <w:pP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Arial Narrow" w:hAnsi="Arial Narrow" w:cs="Arial Narrow" w:eastAsia="Arial Narrow" w:hint="default"/>
                <w:sz w:val="18"/>
                <w:szCs w:val="18"/>
              </w:rPr>
            </w:pPr>
            <w:r>
              <w:rPr>
                <w:rFonts w:ascii="宋体" w:hAnsi="宋体" w:cs="宋体" w:eastAsia="宋体" w:hint="default"/>
                <w:sz w:val="18"/>
                <w:szCs w:val="18"/>
              </w:rPr>
              <w:t>发改高技【</w:t>
            </w:r>
            <w:r>
              <w:rPr>
                <w:rFonts w:ascii="Arial Narrow" w:hAnsi="Arial Narrow" w:cs="Arial Narrow" w:eastAsia="Arial Narrow" w:hint="default"/>
                <w:sz w:val="18"/>
                <w:szCs w:val="18"/>
              </w:rPr>
              <w:t>2010</w:t>
            </w:r>
            <w:r>
              <w:rPr>
                <w:rFonts w:ascii="宋体" w:hAnsi="宋体" w:cs="宋体" w:eastAsia="宋体" w:hint="default"/>
                <w:sz w:val="18"/>
                <w:szCs w:val="18"/>
              </w:rPr>
              <w:t>】</w:t>
            </w:r>
            <w:r>
              <w:rPr>
                <w:rFonts w:ascii="Arial Narrow" w:hAnsi="Arial Narrow" w:cs="Arial Narrow" w:eastAsia="Arial Narrow" w:hint="default"/>
                <w:sz w:val="18"/>
                <w:szCs w:val="18"/>
              </w:rPr>
              <w:t>1377</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8"/>
              <w:jc w:val="right"/>
              <w:rPr>
                <w:rFonts w:ascii="Arial Narrow" w:hAnsi="Arial Narrow" w:cs="Arial Narrow" w:eastAsia="Arial Narrow" w:hint="default"/>
                <w:sz w:val="18"/>
                <w:szCs w:val="18"/>
              </w:rPr>
            </w:pPr>
            <w:r>
              <w:rPr>
                <w:rFonts w:ascii="Arial Narrow"/>
                <w:spacing w:val="-1"/>
                <w:sz w:val="18"/>
              </w:rPr>
              <w:t>503,081.05</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8"/>
              <w:jc w:val="right"/>
              <w:rPr>
                <w:rFonts w:ascii="Arial Narrow" w:hAnsi="Arial Narrow" w:cs="Arial Narrow" w:eastAsia="Arial Narrow" w:hint="default"/>
                <w:sz w:val="18"/>
                <w:szCs w:val="18"/>
              </w:rPr>
            </w:pPr>
            <w:r>
              <w:rPr>
                <w:rFonts w:ascii="Arial Narrow"/>
                <w:sz w:val="18"/>
              </w:rPr>
              <w:t>-</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5"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84"/>
              <w:jc w:val="left"/>
              <w:rPr>
                <w:rFonts w:ascii="宋体" w:hAnsi="宋体" w:cs="宋体" w:eastAsia="宋体" w:hint="default"/>
                <w:sz w:val="18"/>
                <w:szCs w:val="18"/>
              </w:rPr>
            </w:pPr>
            <w:r>
              <w:rPr>
                <w:rFonts w:ascii="宋体" w:hAnsi="宋体" w:cs="宋体" w:eastAsia="宋体" w:hint="default"/>
                <w:spacing w:val="12"/>
                <w:sz w:val="18"/>
                <w:szCs w:val="18"/>
              </w:rPr>
              <w:t>网络信息调查取证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系统</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福建省信息化</w:t>
            </w:r>
            <w:r>
              <w:rPr>
                <w:rFonts w:ascii="宋体" w:hAnsi="宋体" w:cs="宋体" w:eastAsia="宋体" w:hint="default"/>
                <w:sz w:val="18"/>
                <w:szCs w:val="18"/>
              </w:rPr>
            </w:r>
          </w:p>
          <w:p>
            <w:pPr>
              <w:pStyle w:val="TableParagraph"/>
              <w:spacing w:line="240" w:lineRule="auto"/>
              <w:ind w:left="100" w:right="88"/>
              <w:jc w:val="left"/>
              <w:rPr>
                <w:rFonts w:ascii="宋体" w:hAnsi="宋体" w:cs="宋体" w:eastAsia="宋体" w:hint="default"/>
                <w:sz w:val="18"/>
                <w:szCs w:val="18"/>
              </w:rPr>
            </w:pPr>
            <w:r>
              <w:rPr>
                <w:rFonts w:ascii="宋体" w:hAnsi="宋体" w:cs="宋体" w:eastAsia="宋体" w:hint="default"/>
                <w:spacing w:val="13"/>
                <w:sz w:val="18"/>
                <w:szCs w:val="18"/>
              </w:rPr>
              <w:t>局、福建省财 </w:t>
            </w:r>
            <w:r>
              <w:rPr>
                <w:rFonts w:ascii="宋体" w:hAnsi="宋体" w:cs="宋体" w:eastAsia="宋体" w:hint="default"/>
                <w:sz w:val="18"/>
                <w:szCs w:val="18"/>
              </w:rPr>
              <w:t>政局厅</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福建省财政厅、福建省</w:t>
            </w:r>
          </w:p>
          <w:p>
            <w:pPr>
              <w:pStyle w:val="TableParagraph"/>
              <w:spacing w:line="240" w:lineRule="auto"/>
              <w:ind w:left="100" w:right="95"/>
              <w:jc w:val="left"/>
              <w:rPr>
                <w:rFonts w:ascii="宋体" w:hAnsi="宋体" w:cs="宋体" w:eastAsia="宋体" w:hint="default"/>
                <w:sz w:val="18"/>
                <w:szCs w:val="18"/>
              </w:rPr>
            </w:pPr>
            <w:r>
              <w:rPr>
                <w:rFonts w:ascii="宋体" w:hAnsi="宋体" w:cs="宋体" w:eastAsia="宋体" w:hint="default"/>
                <w:spacing w:val="2"/>
                <w:sz w:val="18"/>
                <w:szCs w:val="18"/>
              </w:rPr>
              <w:t>信息化局</w:t>
            </w:r>
            <w:r>
              <w:rPr>
                <w:rFonts w:ascii="宋体" w:hAnsi="宋体" w:cs="宋体" w:eastAsia="宋体" w:hint="default"/>
                <w:spacing w:val="8"/>
                <w:sz w:val="18"/>
                <w:szCs w:val="18"/>
              </w:rPr>
              <w:t> </w:t>
            </w:r>
            <w:r>
              <w:rPr>
                <w:rFonts w:ascii="宋体" w:hAnsi="宋体" w:cs="宋体" w:eastAsia="宋体" w:hint="default"/>
                <w:spacing w:val="3"/>
                <w:sz w:val="18"/>
                <w:szCs w:val="18"/>
              </w:rPr>
              <w:t>闽财（建）</w:t>
            </w:r>
            <w:r>
              <w:rPr>
                <w:rFonts w:ascii="宋体" w:hAnsi="宋体" w:cs="宋体" w:eastAsia="宋体" w:hint="default"/>
                <w:spacing w:val="3"/>
                <w:sz w:val="18"/>
                <w:szCs w:val="18"/>
              </w:rPr>
              <w:t> </w:t>
            </w:r>
            <w:r>
              <w:rPr>
                <w:rFonts w:ascii="宋体" w:hAnsi="宋体" w:cs="宋体" w:eastAsia="宋体" w:hint="default"/>
                <w:sz w:val="18"/>
                <w:szCs w:val="18"/>
              </w:rPr>
              <w:t>指【</w:t>
            </w:r>
            <w:r>
              <w:rPr>
                <w:rFonts w:ascii="Arial Narrow" w:hAnsi="Arial Narrow" w:cs="Arial Narrow" w:eastAsia="Arial Narrow" w:hint="default"/>
                <w:sz w:val="18"/>
                <w:szCs w:val="18"/>
              </w:rPr>
              <w:t>2010</w:t>
            </w:r>
            <w:r>
              <w:rPr>
                <w:rFonts w:ascii="宋体" w:hAnsi="宋体" w:cs="宋体" w:eastAsia="宋体" w:hint="default"/>
                <w:sz w:val="18"/>
                <w:szCs w:val="18"/>
              </w:rPr>
              <w:t>】</w:t>
            </w:r>
            <w:r>
              <w:rPr>
                <w:rFonts w:ascii="Arial Narrow" w:hAnsi="Arial Narrow" w:cs="Arial Narrow" w:eastAsia="Arial Narrow" w:hint="default"/>
                <w:sz w:val="18"/>
                <w:szCs w:val="18"/>
              </w:rPr>
              <w:t>197</w:t>
            </w:r>
            <w:r>
              <w:rPr>
                <w:rFonts w:ascii="Arial Narrow" w:hAnsi="Arial Narrow" w:cs="Arial Narrow" w:eastAsia="Arial Narrow" w:hint="default"/>
                <w:spacing w:val="-1"/>
                <w:sz w:val="18"/>
                <w:szCs w:val="18"/>
              </w:rPr>
              <w:t> </w:t>
            </w: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pacing w:val="-1"/>
                <w:sz w:val="18"/>
              </w:rPr>
              <w:t>800,000.00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pacing w:val="-1"/>
                <w:sz w:val="18"/>
              </w:rPr>
              <w:t>800,000.00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75"/>
              <w:jc w:val="left"/>
              <w:rPr>
                <w:rFonts w:ascii="宋体" w:hAnsi="宋体" w:cs="宋体" w:eastAsia="宋体" w:hint="default"/>
                <w:sz w:val="18"/>
                <w:szCs w:val="18"/>
              </w:rPr>
            </w:pPr>
            <w:r>
              <w:rPr>
                <w:rFonts w:ascii="宋体" w:hAnsi="宋体" w:cs="宋体" w:eastAsia="宋体" w:hint="default"/>
                <w:sz w:val="18"/>
                <w:szCs w:val="18"/>
              </w:rPr>
              <w:t>与资产、收益 相关</w:t>
            </w:r>
          </w:p>
        </w:tc>
      </w:tr>
      <w:tr>
        <w:trPr>
          <w:trHeight w:val="715"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2"/>
                <w:sz w:val="18"/>
                <w:szCs w:val="18"/>
              </w:rPr>
              <w:t>厦门超级计算机中</w:t>
            </w:r>
            <w:r>
              <w:rPr>
                <w:rFonts w:ascii="宋体" w:hAnsi="宋体" w:cs="宋体" w:eastAsia="宋体" w:hint="default"/>
                <w:sz w:val="18"/>
                <w:szCs w:val="18"/>
              </w:rPr>
            </w:r>
          </w:p>
          <w:p>
            <w:pPr>
              <w:pStyle w:val="TableParagraph"/>
              <w:spacing w:line="240" w:lineRule="auto"/>
              <w:ind w:left="100" w:right="84"/>
              <w:jc w:val="left"/>
              <w:rPr>
                <w:rFonts w:ascii="宋体" w:hAnsi="宋体" w:cs="宋体" w:eastAsia="宋体" w:hint="default"/>
                <w:sz w:val="18"/>
                <w:szCs w:val="18"/>
              </w:rPr>
            </w:pPr>
            <w:r>
              <w:rPr>
                <w:rFonts w:ascii="宋体" w:hAnsi="宋体" w:cs="宋体" w:eastAsia="宋体" w:hint="default"/>
                <w:spacing w:val="12"/>
                <w:sz w:val="18"/>
                <w:szCs w:val="18"/>
              </w:rPr>
              <w:t>心（厦门云计算中</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心）</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49"/>
                <w:sz w:val="18"/>
                <w:szCs w:val="18"/>
              </w:rPr>
              <w:t>厦门市科技</w:t>
            </w:r>
            <w:r>
              <w:rPr>
                <w:rFonts w:ascii="宋体" w:hAnsi="宋体" w:cs="宋体" w:eastAsia="宋体" w:hint="default"/>
                <w:spacing w:val="-28"/>
                <w:sz w:val="18"/>
                <w:szCs w:val="18"/>
              </w:rPr>
              <w:t> </w:t>
            </w:r>
            <w:r>
              <w:rPr>
                <w:rFonts w:ascii="宋体" w:hAnsi="宋体" w:cs="宋体" w:eastAsia="宋体" w:hint="default"/>
                <w:sz w:val="18"/>
                <w:szCs w:val="18"/>
              </w:rPr>
            </w:r>
          </w:p>
          <w:p>
            <w:pPr>
              <w:pStyle w:val="TableParagraph"/>
              <w:spacing w:line="240" w:lineRule="auto"/>
              <w:ind w:left="100" w:right="88"/>
              <w:jc w:val="left"/>
              <w:rPr>
                <w:rFonts w:ascii="宋体" w:hAnsi="宋体" w:cs="宋体" w:eastAsia="宋体" w:hint="default"/>
                <w:sz w:val="18"/>
                <w:szCs w:val="18"/>
              </w:rPr>
            </w:pPr>
            <w:r>
              <w:rPr>
                <w:rFonts w:ascii="宋体" w:hAnsi="宋体" w:cs="宋体" w:eastAsia="宋体" w:hint="default"/>
                <w:spacing w:val="13"/>
                <w:sz w:val="18"/>
                <w:szCs w:val="18"/>
              </w:rPr>
              <w:t>局、厦门市财 </w:t>
            </w:r>
            <w:r>
              <w:rPr>
                <w:rFonts w:ascii="宋体" w:hAnsi="宋体" w:cs="宋体" w:eastAsia="宋体" w:hint="default"/>
                <w:sz w:val="18"/>
                <w:szCs w:val="18"/>
              </w:rPr>
              <w:t>政局</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6"/>
                <w:sz w:val="18"/>
                <w:szCs w:val="18"/>
              </w:rPr>
              <w:t>厦门市科学技术局、厦</w:t>
            </w:r>
          </w:p>
          <w:p>
            <w:pPr>
              <w:pStyle w:val="TableParagraph"/>
              <w:spacing w:line="233" w:lineRule="exact"/>
              <w:ind w:left="100" w:right="0"/>
              <w:jc w:val="left"/>
              <w:rPr>
                <w:rFonts w:ascii="宋体" w:hAnsi="宋体" w:cs="宋体" w:eastAsia="宋体" w:hint="default"/>
                <w:sz w:val="18"/>
                <w:szCs w:val="18"/>
              </w:rPr>
            </w:pPr>
            <w:r>
              <w:rPr>
                <w:rFonts w:ascii="宋体" w:hAnsi="宋体" w:cs="宋体" w:eastAsia="宋体" w:hint="default"/>
                <w:spacing w:val="34"/>
                <w:sz w:val="18"/>
                <w:szCs w:val="18"/>
              </w:rPr>
              <w:t>门市财政局</w:t>
            </w:r>
            <w:r>
              <w:rPr>
                <w:rFonts w:ascii="宋体" w:hAnsi="宋体" w:cs="宋体" w:eastAsia="宋体" w:hint="default"/>
                <w:spacing w:val="-43"/>
                <w:sz w:val="18"/>
                <w:szCs w:val="18"/>
              </w:rPr>
              <w:t> </w:t>
            </w:r>
            <w:r>
              <w:rPr>
                <w:rFonts w:ascii="宋体" w:hAnsi="宋体" w:cs="宋体" w:eastAsia="宋体" w:hint="default"/>
                <w:spacing w:val="28"/>
                <w:sz w:val="18"/>
                <w:szCs w:val="18"/>
              </w:rPr>
              <w:t>厦科联</w:t>
            </w:r>
            <w:r>
              <w:rPr>
                <w:rFonts w:ascii="宋体" w:hAnsi="宋体" w:cs="宋体" w:eastAsia="宋体" w:hint="default"/>
                <w:spacing w:val="-47"/>
                <w:sz w:val="18"/>
                <w:szCs w:val="18"/>
              </w:rPr>
              <w:t> </w:t>
            </w:r>
            <w:r>
              <w:rPr>
                <w:rFonts w:ascii="宋体" w:hAnsi="宋体" w:cs="宋体" w:eastAsia="宋体" w:hint="default"/>
                <w:sz w:val="18"/>
                <w:szCs w:val="18"/>
              </w:rPr>
            </w:r>
          </w:p>
          <w:p>
            <w:pPr>
              <w:pStyle w:val="TableParagraph"/>
              <w:spacing w:line="247" w:lineRule="exact"/>
              <w:ind w:left="100" w:right="0"/>
              <w:jc w:val="left"/>
              <w:rPr>
                <w:rFonts w:ascii="宋体" w:hAnsi="宋体" w:cs="宋体" w:eastAsia="宋体" w:hint="default"/>
                <w:sz w:val="18"/>
                <w:szCs w:val="18"/>
              </w:rPr>
            </w:pPr>
            <w:r>
              <w:rPr>
                <w:rFonts w:ascii="宋体" w:hAnsi="宋体" w:cs="宋体" w:eastAsia="宋体" w:hint="default"/>
                <w:sz w:val="18"/>
                <w:szCs w:val="18"/>
              </w:rPr>
              <w:t>【</w:t>
            </w:r>
            <w:r>
              <w:rPr>
                <w:rFonts w:ascii="Arial Narrow" w:hAnsi="Arial Narrow" w:cs="Arial Narrow" w:eastAsia="Arial Narrow" w:hint="default"/>
                <w:sz w:val="18"/>
                <w:szCs w:val="18"/>
              </w:rPr>
              <w:t>2010</w:t>
            </w:r>
            <w:r>
              <w:rPr>
                <w:rFonts w:ascii="宋体" w:hAnsi="宋体" w:cs="宋体" w:eastAsia="宋体" w:hint="default"/>
                <w:sz w:val="18"/>
                <w:szCs w:val="18"/>
              </w:rPr>
              <w:t>】</w:t>
            </w:r>
            <w:r>
              <w:rPr>
                <w:rFonts w:ascii="Arial Narrow" w:hAnsi="Arial Narrow" w:cs="Arial Narrow" w:eastAsia="Arial Narrow" w:hint="default"/>
                <w:sz w:val="18"/>
                <w:szCs w:val="18"/>
              </w:rPr>
              <w:t>69</w:t>
            </w:r>
            <w:r>
              <w:rPr>
                <w:rFonts w:ascii="Arial Narrow" w:hAnsi="Arial Narrow" w:cs="Arial Narrow" w:eastAsia="Arial Narrow" w:hint="default"/>
                <w:spacing w:val="-2"/>
                <w:sz w:val="18"/>
                <w:szCs w:val="18"/>
              </w:rPr>
              <w:t> </w:t>
            </w: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pacing w:val="-1"/>
                <w:sz w:val="18"/>
              </w:rPr>
              <w:t>13,000,000.00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pacing w:val="-1"/>
                <w:sz w:val="18"/>
              </w:rPr>
              <w:t>13,000,000.00</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175"/>
              <w:jc w:val="left"/>
              <w:rPr>
                <w:rFonts w:ascii="宋体" w:hAnsi="宋体" w:cs="宋体" w:eastAsia="宋体" w:hint="default"/>
                <w:sz w:val="18"/>
                <w:szCs w:val="18"/>
              </w:rPr>
            </w:pPr>
            <w:r>
              <w:rPr>
                <w:rFonts w:ascii="宋体" w:hAnsi="宋体" w:cs="宋体" w:eastAsia="宋体" w:hint="default"/>
                <w:sz w:val="18"/>
                <w:szCs w:val="18"/>
              </w:rPr>
              <w:t>与资产、收益 相关</w:t>
            </w:r>
          </w:p>
        </w:tc>
      </w:tr>
      <w:tr>
        <w:trPr>
          <w:trHeight w:val="481"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厦门云计算中心</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厦门市发展与</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改革委员会</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Arial Narrow" w:hAnsi="Arial Narrow" w:cs="Arial Narrow" w:eastAsia="Arial Narrow" w:hint="default"/>
                <w:sz w:val="18"/>
                <w:szCs w:val="18"/>
              </w:rPr>
            </w:pPr>
            <w:r>
              <w:rPr>
                <w:rFonts w:ascii="宋体" w:hAnsi="宋体" w:cs="宋体" w:eastAsia="宋体" w:hint="default"/>
                <w:sz w:val="18"/>
                <w:szCs w:val="18"/>
              </w:rPr>
              <w:t>厦发改高计（</w:t>
            </w:r>
            <w:r>
              <w:rPr>
                <w:rFonts w:ascii="Arial Narrow" w:hAnsi="Arial Narrow" w:cs="Arial Narrow" w:eastAsia="Arial Narrow" w:hint="default"/>
                <w:sz w:val="18"/>
                <w:szCs w:val="18"/>
              </w:rPr>
              <w:t>2011</w:t>
            </w:r>
            <w:r>
              <w:rPr>
                <w:rFonts w:ascii="宋体" w:hAnsi="宋体" w:cs="宋体" w:eastAsia="宋体" w:hint="default"/>
                <w:sz w:val="18"/>
                <w:szCs w:val="18"/>
              </w:rPr>
              <w:t>）</w:t>
            </w:r>
            <w:r>
              <w:rPr>
                <w:rFonts w:ascii="Arial Narrow" w:hAnsi="Arial Narrow" w:cs="Arial Narrow" w:eastAsia="Arial Narrow" w:hint="default"/>
                <w:sz w:val="18"/>
                <w:szCs w:val="18"/>
              </w:rPr>
              <w:t>51</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9"/>
              <w:jc w:val="right"/>
              <w:rPr>
                <w:rFonts w:ascii="Arial Narrow" w:hAnsi="Arial Narrow" w:cs="Arial Narrow" w:eastAsia="Arial Narrow" w:hint="default"/>
                <w:sz w:val="18"/>
                <w:szCs w:val="18"/>
              </w:rPr>
            </w:pPr>
            <w:r>
              <w:rPr>
                <w:rFonts w:ascii="Arial Narrow"/>
                <w:spacing w:val="-1"/>
                <w:sz w:val="18"/>
              </w:rPr>
              <w:t>3,400,000.00</w:t>
            </w:r>
            <w:r>
              <w:rPr>
                <w:rFonts w:ascii="Arial Narrow"/>
                <w:sz w:val="18"/>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8"/>
              <w:jc w:val="right"/>
              <w:rPr>
                <w:rFonts w:ascii="Arial Narrow" w:hAnsi="Arial Narrow" w:cs="Arial Narrow" w:eastAsia="Arial Narrow" w:hint="default"/>
                <w:sz w:val="18"/>
                <w:szCs w:val="18"/>
              </w:rPr>
            </w:pPr>
            <w:r>
              <w:rPr>
                <w:rFonts w:ascii="Arial Narrow"/>
                <w:sz w:val="18"/>
              </w:rPr>
              <w:t>-</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与资产、收益</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相关</w:t>
            </w:r>
          </w:p>
        </w:tc>
      </w:tr>
      <w:tr>
        <w:trPr>
          <w:trHeight w:val="716"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84"/>
              <w:jc w:val="left"/>
              <w:rPr>
                <w:rFonts w:ascii="宋体" w:hAnsi="宋体" w:cs="宋体" w:eastAsia="宋体" w:hint="default"/>
                <w:sz w:val="18"/>
                <w:szCs w:val="18"/>
              </w:rPr>
            </w:pPr>
            <w:r>
              <w:rPr>
                <w:rFonts w:ascii="宋体" w:hAnsi="宋体" w:cs="宋体" w:eastAsia="宋体" w:hint="default"/>
                <w:spacing w:val="12"/>
                <w:sz w:val="18"/>
                <w:szCs w:val="18"/>
              </w:rPr>
              <w:t>基于云取证模式架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构的产业化</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13"/>
                <w:sz w:val="18"/>
                <w:szCs w:val="18"/>
              </w:rPr>
              <w:t>福建省信息化</w:t>
            </w:r>
            <w:r>
              <w:rPr>
                <w:rFonts w:ascii="宋体" w:hAnsi="宋体" w:cs="宋体" w:eastAsia="宋体" w:hint="default"/>
                <w:sz w:val="18"/>
                <w:szCs w:val="18"/>
              </w:rPr>
            </w:r>
          </w:p>
          <w:p>
            <w:pPr>
              <w:pStyle w:val="TableParagraph"/>
              <w:spacing w:line="240" w:lineRule="auto"/>
              <w:ind w:left="100" w:right="88"/>
              <w:jc w:val="left"/>
              <w:rPr>
                <w:rFonts w:ascii="宋体" w:hAnsi="宋体" w:cs="宋体" w:eastAsia="宋体" w:hint="default"/>
                <w:sz w:val="18"/>
                <w:szCs w:val="18"/>
              </w:rPr>
            </w:pPr>
            <w:r>
              <w:rPr>
                <w:rFonts w:ascii="宋体" w:hAnsi="宋体" w:cs="宋体" w:eastAsia="宋体" w:hint="default"/>
                <w:spacing w:val="13"/>
                <w:sz w:val="18"/>
                <w:szCs w:val="18"/>
              </w:rPr>
              <w:t>局、福建省财 </w:t>
            </w:r>
            <w:r>
              <w:rPr>
                <w:rFonts w:ascii="宋体" w:hAnsi="宋体" w:cs="宋体" w:eastAsia="宋体" w:hint="default"/>
                <w:sz w:val="18"/>
                <w:szCs w:val="18"/>
              </w:rPr>
              <w:t>政局厅</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87"/>
              <w:ind w:left="100" w:right="0"/>
              <w:jc w:val="left"/>
              <w:rPr>
                <w:rFonts w:ascii="宋体" w:hAnsi="宋体" w:cs="宋体" w:eastAsia="宋体" w:hint="default"/>
                <w:sz w:val="18"/>
                <w:szCs w:val="18"/>
              </w:rPr>
            </w:pPr>
            <w:r>
              <w:rPr>
                <w:rFonts w:ascii="宋体" w:hAnsi="宋体" w:cs="宋体" w:eastAsia="宋体" w:hint="default"/>
                <w:sz w:val="18"/>
                <w:szCs w:val="18"/>
              </w:rPr>
              <w:t>闽财（建）指（</w:t>
            </w:r>
            <w:r>
              <w:rPr>
                <w:rFonts w:ascii="Arial Narrow" w:hAnsi="Arial Narrow" w:cs="Arial Narrow" w:eastAsia="Arial Narrow" w:hint="default"/>
                <w:sz w:val="18"/>
                <w:szCs w:val="18"/>
              </w:rPr>
              <w:t>2011</w:t>
            </w:r>
            <w:r>
              <w:rPr>
                <w:rFonts w:ascii="宋体" w:hAnsi="宋体" w:cs="宋体" w:eastAsia="宋体" w:hint="default"/>
                <w:sz w:val="18"/>
                <w:szCs w:val="18"/>
              </w:rPr>
              <w:t>）</w:t>
            </w:r>
          </w:p>
          <w:p>
            <w:pPr>
              <w:pStyle w:val="TableParagraph"/>
              <w:spacing w:line="241" w:lineRule="exact"/>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150 </w:t>
            </w: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pacing w:val="-1"/>
                <w:sz w:val="18"/>
              </w:rPr>
              <w:t>800,000.00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8"/>
              <w:jc w:val="right"/>
              <w:rPr>
                <w:rFonts w:ascii="Arial Narrow" w:hAnsi="Arial Narrow" w:cs="Arial Narrow" w:eastAsia="Arial Narrow" w:hint="default"/>
                <w:sz w:val="18"/>
                <w:szCs w:val="18"/>
              </w:rPr>
            </w:pPr>
            <w:r>
              <w:rPr>
                <w:rFonts w:ascii="Arial Narrow"/>
                <w:sz w:val="18"/>
              </w:rPr>
              <w:t>-</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81"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2"/>
                <w:sz w:val="18"/>
                <w:szCs w:val="18"/>
              </w:rPr>
              <w:t>下一代互联网信息</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识别技术的研究</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67"/>
              <w:jc w:val="center"/>
              <w:rPr>
                <w:rFonts w:ascii="宋体" w:hAnsi="宋体" w:cs="宋体" w:eastAsia="宋体" w:hint="default"/>
                <w:sz w:val="18"/>
                <w:szCs w:val="18"/>
              </w:rPr>
            </w:pPr>
            <w:r>
              <w:rPr>
                <w:rFonts w:ascii="宋体" w:hAnsi="宋体" w:cs="宋体" w:eastAsia="宋体" w:hint="default"/>
                <w:sz w:val="18"/>
                <w:szCs w:val="18"/>
              </w:rPr>
              <w:t>厦门市科技局</w:t>
            </w:r>
          </w:p>
        </w:tc>
        <w:tc>
          <w:tcPr>
            <w:tcW w:w="19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厦科联（</w:t>
            </w:r>
            <w:r>
              <w:rPr>
                <w:rFonts w:ascii="Arial Narrow" w:hAnsi="Arial Narrow" w:cs="Arial Narrow" w:eastAsia="Arial Narrow" w:hint="default"/>
                <w:sz w:val="18"/>
                <w:szCs w:val="18"/>
              </w:rPr>
              <w:t>2011</w:t>
            </w:r>
            <w:r>
              <w:rPr>
                <w:rFonts w:ascii="宋体" w:hAnsi="宋体" w:cs="宋体" w:eastAsia="宋体" w:hint="default"/>
                <w:sz w:val="18"/>
                <w:szCs w:val="18"/>
              </w:rPr>
              <w:t>）</w:t>
            </w:r>
            <w:r>
              <w:rPr>
                <w:rFonts w:ascii="Arial Narrow" w:hAnsi="Arial Narrow" w:cs="Arial Narrow" w:eastAsia="Arial Narrow" w:hint="default"/>
                <w:sz w:val="18"/>
                <w:szCs w:val="18"/>
              </w:rPr>
              <w:t>65</w:t>
            </w:r>
            <w:r>
              <w:rPr>
                <w:rFonts w:ascii="Arial Narrow" w:hAnsi="Arial Narrow" w:cs="Arial Narrow" w:eastAsia="Arial Narrow" w:hint="default"/>
                <w:spacing w:val="-13"/>
                <w:sz w:val="18"/>
                <w:szCs w:val="18"/>
              </w:rPr>
              <w:t> </w:t>
            </w:r>
            <w:r>
              <w:rPr>
                <w:rFonts w:ascii="宋体" w:hAnsi="宋体" w:cs="宋体" w:eastAsia="宋体" w:hint="default"/>
                <w:sz w:val="18"/>
                <w:szCs w:val="18"/>
              </w:rPr>
              <w:t>号</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8"/>
              <w:jc w:val="right"/>
              <w:rPr>
                <w:rFonts w:ascii="Arial Narrow" w:hAnsi="Arial Narrow" w:cs="Arial Narrow" w:eastAsia="Arial Narrow" w:hint="default"/>
                <w:sz w:val="18"/>
                <w:szCs w:val="18"/>
              </w:rPr>
            </w:pPr>
            <w:r>
              <w:rPr>
                <w:rFonts w:ascii="Arial Narrow"/>
                <w:spacing w:val="-1"/>
                <w:sz w:val="18"/>
              </w:rPr>
              <w:t>300,000.00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7"/>
              <w:ind w:right="98"/>
              <w:jc w:val="right"/>
              <w:rPr>
                <w:rFonts w:ascii="Arial Narrow" w:hAnsi="Arial Narrow" w:cs="Arial Narrow" w:eastAsia="Arial Narrow" w:hint="default"/>
                <w:sz w:val="18"/>
                <w:szCs w:val="18"/>
              </w:rPr>
            </w:pPr>
            <w:r>
              <w:rPr>
                <w:rFonts w:ascii="Arial Narrow"/>
                <w:sz w:val="18"/>
              </w:rPr>
              <w:t>-</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15"/>
                <w:sz w:val="18"/>
                <w:szCs w:val="18"/>
              </w:rPr>
              <w:t>与资产、收益</w:t>
            </w:r>
            <w:r>
              <w:rPr>
                <w:rFonts w:ascii="宋体" w:hAnsi="宋体" w:cs="宋体" w:eastAsia="宋体" w:hint="default"/>
                <w:sz w:val="18"/>
                <w:szCs w:val="18"/>
              </w:rPr>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相关</w:t>
            </w:r>
          </w:p>
        </w:tc>
      </w:tr>
      <w:tr>
        <w:trPr>
          <w:trHeight w:val="354" w:hRule="exact"/>
        </w:trPr>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366" w:type="dxa"/>
            <w:tcBorders>
              <w:top w:val="single" w:sz="6" w:space="0" w:color="000000"/>
              <w:left w:val="single" w:sz="6" w:space="0" w:color="000000"/>
              <w:bottom w:val="single" w:sz="6" w:space="0" w:color="000000"/>
              <w:right w:val="single" w:sz="6" w:space="0" w:color="000000"/>
            </w:tcBorders>
          </w:tcPr>
          <w:p>
            <w:pPr/>
          </w:p>
        </w:tc>
        <w:tc>
          <w:tcPr>
            <w:tcW w:w="1960" w:type="dxa"/>
            <w:tcBorders>
              <w:top w:val="single" w:sz="6" w:space="0" w:color="000000"/>
              <w:left w:val="single" w:sz="6"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98"/>
              <w:jc w:val="right"/>
              <w:rPr>
                <w:rFonts w:ascii="Arial Narrow" w:hAnsi="Arial Narrow" w:cs="Arial Narrow" w:eastAsia="Arial Narrow" w:hint="default"/>
                <w:sz w:val="18"/>
                <w:szCs w:val="18"/>
              </w:rPr>
            </w:pPr>
            <w:r>
              <w:rPr>
                <w:rFonts w:ascii="Arial Narrow"/>
                <w:spacing w:val="-1"/>
                <w:sz w:val="18"/>
              </w:rPr>
              <w:t>20,059,304.17</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98"/>
              <w:jc w:val="right"/>
              <w:rPr>
                <w:rFonts w:ascii="Arial Narrow" w:hAnsi="Arial Narrow" w:cs="Arial Narrow" w:eastAsia="Arial Narrow" w:hint="default"/>
                <w:sz w:val="18"/>
                <w:szCs w:val="18"/>
              </w:rPr>
            </w:pPr>
            <w:r>
              <w:rPr>
                <w:rFonts w:ascii="Arial Narrow"/>
                <w:spacing w:val="-1"/>
                <w:sz w:val="18"/>
              </w:rPr>
              <w:t>15,470,270.76</w:t>
            </w:r>
          </w:p>
        </w:tc>
        <w:tc>
          <w:tcPr>
            <w:tcW w:w="1373" w:type="dxa"/>
            <w:tcBorders>
              <w:top w:val="single" w:sz="6" w:space="0" w:color="000000"/>
              <w:left w:val="single" w:sz="6" w:space="0" w:color="000000"/>
              <w:bottom w:val="single" w:sz="6" w:space="0" w:color="000000"/>
              <w:right w:val="single" w:sz="6" w:space="0" w:color="000000"/>
            </w:tcBorders>
          </w:tcPr>
          <w:p>
            <w:pPr/>
          </w:p>
        </w:tc>
      </w:tr>
    </w:tbl>
    <w:p>
      <w:pPr>
        <w:tabs>
          <w:tab w:pos="1899" w:val="left" w:leader="none"/>
        </w:tabs>
        <w:spacing w:before="27"/>
        <w:ind w:left="640" w:right="0" w:firstLine="0"/>
        <w:jc w:val="left"/>
        <w:rPr>
          <w:rFonts w:ascii="宋体" w:hAnsi="宋体" w:cs="宋体" w:eastAsia="宋体" w:hint="default"/>
          <w:sz w:val="21"/>
          <w:szCs w:val="21"/>
        </w:rPr>
      </w:pPr>
      <w:r>
        <w:rPr>
          <w:rFonts w:ascii="宋体" w:hAnsi="宋体" w:cs="宋体" w:eastAsia="宋体" w:hint="default"/>
          <w:b/>
          <w:bCs/>
          <w:w w:val="95"/>
          <w:sz w:val="21"/>
          <w:szCs w:val="21"/>
        </w:rPr>
        <w:t>（二十一）</w:t>
        <w:tab/>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2"/>
        <w:rPr>
          <w:rFonts w:ascii="宋体" w:hAnsi="宋体" w:cs="宋体" w:eastAsia="宋体" w:hint="default"/>
          <w:b/>
          <w:bCs/>
          <w:sz w:val="12"/>
          <w:szCs w:val="12"/>
        </w:rPr>
      </w:pPr>
    </w:p>
    <w:p>
      <w:pPr>
        <w:spacing w:before="35"/>
        <w:ind w:left="640" w:right="0" w:firstLine="0"/>
        <w:jc w:val="left"/>
        <w:rPr>
          <w:rFonts w:ascii="宋体" w:hAnsi="宋体" w:cs="宋体" w:eastAsia="宋体" w:hint="default"/>
          <w:sz w:val="21"/>
          <w:szCs w:val="21"/>
        </w:rPr>
      </w:pPr>
      <w:r>
        <w:rPr>
          <w:rFonts w:ascii="宋体" w:hAnsi="宋体" w:cs="宋体" w:eastAsia="宋体" w:hint="default"/>
          <w:sz w:val="21"/>
          <w:szCs w:val="21"/>
        </w:rPr>
        <w:t>本年股本明细项目及增减变动情况列示如下：</w:t>
      </w:r>
    </w:p>
    <w:p>
      <w:pPr>
        <w:spacing w:before="133"/>
        <w:ind w:left="0" w:right="237" w:firstLine="0"/>
        <w:jc w:val="right"/>
        <w:rPr>
          <w:rFonts w:ascii="宋体" w:hAnsi="宋体" w:cs="宋体" w:eastAsia="宋体" w:hint="default"/>
          <w:sz w:val="21"/>
          <w:szCs w:val="21"/>
        </w:rPr>
      </w:pPr>
      <w:r>
        <w:rPr>
          <w:rFonts w:ascii="宋体" w:hAnsi="宋体" w:cs="宋体" w:eastAsia="宋体" w:hint="default"/>
          <w:sz w:val="21"/>
          <w:szCs w:val="21"/>
        </w:rPr>
        <w:t>单位：万股</w:t>
      </w:r>
    </w:p>
    <w:p>
      <w:pPr>
        <w:spacing w:line="240" w:lineRule="auto" w:before="12"/>
        <w:rPr>
          <w:rFonts w:ascii="宋体" w:hAnsi="宋体" w:cs="宋体" w:eastAsia="宋体" w:hint="default"/>
          <w:sz w:val="12"/>
          <w:szCs w:val="12"/>
        </w:rPr>
      </w:pPr>
    </w:p>
    <w:tbl>
      <w:tblPr>
        <w:tblW w:w="0" w:type="auto"/>
        <w:jc w:val="left"/>
        <w:tblInd w:w="104" w:type="dxa"/>
        <w:tblLayout w:type="fixed"/>
        <w:tblCellMar>
          <w:top w:w="0" w:type="dxa"/>
          <w:left w:w="0" w:type="dxa"/>
          <w:bottom w:w="0" w:type="dxa"/>
          <w:right w:w="0" w:type="dxa"/>
        </w:tblCellMar>
        <w:tblLook w:val="01E0"/>
      </w:tblPr>
      <w:tblGrid>
        <w:gridCol w:w="1984"/>
        <w:gridCol w:w="763"/>
        <w:gridCol w:w="763"/>
        <w:gridCol w:w="762"/>
        <w:gridCol w:w="611"/>
        <w:gridCol w:w="917"/>
        <w:gridCol w:w="611"/>
        <w:gridCol w:w="767"/>
        <w:gridCol w:w="916"/>
        <w:gridCol w:w="763"/>
      </w:tblGrid>
      <w:tr>
        <w:trPr>
          <w:trHeight w:val="377" w:hRule="exact"/>
        </w:trPr>
        <w:tc>
          <w:tcPr>
            <w:tcW w:w="198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624" w:right="0"/>
              <w:jc w:val="left"/>
              <w:rPr>
                <w:rFonts w:ascii="宋体" w:hAnsi="宋体" w:cs="宋体" w:eastAsia="宋体" w:hint="default"/>
                <w:sz w:val="18"/>
                <w:szCs w:val="18"/>
              </w:rPr>
            </w:pPr>
            <w:r>
              <w:rPr>
                <w:rFonts w:ascii="宋体" w:hAnsi="宋体" w:cs="宋体" w:eastAsia="宋体" w:hint="default"/>
                <w:sz w:val="18"/>
                <w:szCs w:val="18"/>
              </w:rPr>
              <w:t>股份类别</w:t>
            </w:r>
          </w:p>
        </w:tc>
        <w:tc>
          <w:tcPr>
            <w:tcW w:w="1526" w:type="dxa"/>
            <w:gridSpan w:val="2"/>
            <w:tcBorders>
              <w:top w:val="single" w:sz="6"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33"/>
              <w:ind w:left="216"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3667" w:type="dxa"/>
            <w:gridSpan w:val="5"/>
            <w:tcBorders>
              <w:top w:val="single" w:sz="6"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本期增减</w:t>
            </w:r>
          </w:p>
        </w:tc>
        <w:tc>
          <w:tcPr>
            <w:tcW w:w="1679" w:type="dxa"/>
            <w:gridSpan w:val="2"/>
            <w:tcBorders>
              <w:top w:val="single" w:sz="6"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33"/>
              <w:ind w:left="291"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487" w:hRule="exact"/>
        </w:trPr>
        <w:tc>
          <w:tcPr>
            <w:tcW w:w="1984" w:type="dxa"/>
            <w:vMerge/>
            <w:tcBorders>
              <w:left w:val="single" w:sz="6" w:space="0" w:color="000000"/>
              <w:bottom w:val="single" w:sz="8" w:space="0" w:color="000000"/>
              <w:right w:val="single" w:sz="6" w:space="0" w:color="000000"/>
            </w:tcBorders>
            <w:shd w:val="clear" w:color="auto" w:fill="C0C0C0"/>
          </w:tcPr>
          <w:p>
            <w:pPr/>
          </w:p>
        </w:tc>
        <w:tc>
          <w:tcPr>
            <w:tcW w:w="763"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86"/>
              <w:ind w:left="194" w:right="0"/>
              <w:jc w:val="left"/>
              <w:rPr>
                <w:rFonts w:ascii="宋体" w:hAnsi="宋体" w:cs="宋体" w:eastAsia="宋体" w:hint="default"/>
                <w:sz w:val="18"/>
                <w:szCs w:val="18"/>
              </w:rPr>
            </w:pPr>
            <w:r>
              <w:rPr>
                <w:rFonts w:ascii="宋体" w:hAnsi="宋体" w:cs="宋体" w:eastAsia="宋体" w:hint="default"/>
                <w:sz w:val="18"/>
                <w:szCs w:val="18"/>
              </w:rPr>
              <w:t>股数</w:t>
            </w:r>
          </w:p>
        </w:tc>
        <w:tc>
          <w:tcPr>
            <w:tcW w:w="763"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25"/>
              <w:ind w:right="0"/>
              <w:jc w:val="center"/>
              <w:rPr>
                <w:rFonts w:ascii="Arial Narrow" w:hAnsi="Arial Narrow" w:cs="Arial Narrow" w:eastAsia="Arial Narrow" w:hint="default"/>
                <w:sz w:val="18"/>
                <w:szCs w:val="18"/>
              </w:rPr>
            </w:pPr>
            <w:r>
              <w:rPr>
                <w:rFonts w:ascii="Arial Narrow"/>
                <w:sz w:val="18"/>
              </w:rPr>
              <w:t>(%)</w:t>
            </w:r>
          </w:p>
        </w:tc>
        <w:tc>
          <w:tcPr>
            <w:tcW w:w="762"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发行新</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股</w:t>
            </w:r>
          </w:p>
        </w:tc>
        <w:tc>
          <w:tcPr>
            <w:tcW w:w="611"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86"/>
              <w:ind w:right="116"/>
              <w:jc w:val="right"/>
              <w:rPr>
                <w:rFonts w:ascii="宋体" w:hAnsi="宋体" w:cs="宋体" w:eastAsia="宋体" w:hint="default"/>
                <w:sz w:val="18"/>
                <w:szCs w:val="18"/>
              </w:rPr>
            </w:pPr>
            <w:r>
              <w:rPr>
                <w:rFonts w:ascii="宋体" w:hAnsi="宋体" w:cs="宋体" w:eastAsia="宋体" w:hint="default"/>
                <w:sz w:val="18"/>
                <w:szCs w:val="18"/>
              </w:rPr>
              <w:t>送股</w:t>
            </w:r>
          </w:p>
        </w:tc>
        <w:tc>
          <w:tcPr>
            <w:tcW w:w="917"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05" w:lineRule="exact"/>
              <w:ind w:left="270"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pStyle w:val="TableParagraph"/>
              <w:spacing w:line="235" w:lineRule="exact"/>
              <w:ind w:left="270" w:right="0"/>
              <w:jc w:val="left"/>
              <w:rPr>
                <w:rFonts w:ascii="宋体" w:hAnsi="宋体" w:cs="宋体" w:eastAsia="宋体" w:hint="default"/>
                <w:sz w:val="18"/>
                <w:szCs w:val="18"/>
              </w:rPr>
            </w:pPr>
            <w:r>
              <w:rPr>
                <w:rFonts w:ascii="宋体" w:hAnsi="宋体" w:cs="宋体" w:eastAsia="宋体" w:hint="default"/>
                <w:sz w:val="18"/>
                <w:szCs w:val="18"/>
              </w:rPr>
              <w:t>转股</w:t>
            </w:r>
          </w:p>
        </w:tc>
        <w:tc>
          <w:tcPr>
            <w:tcW w:w="611"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86"/>
              <w:ind w:right="116"/>
              <w:jc w:val="right"/>
              <w:rPr>
                <w:rFonts w:ascii="宋体" w:hAnsi="宋体" w:cs="宋体" w:eastAsia="宋体" w:hint="default"/>
                <w:sz w:val="18"/>
                <w:szCs w:val="18"/>
              </w:rPr>
            </w:pPr>
            <w:r>
              <w:rPr>
                <w:rFonts w:ascii="宋体" w:hAnsi="宋体" w:cs="宋体" w:eastAsia="宋体" w:hint="default"/>
                <w:sz w:val="18"/>
                <w:szCs w:val="18"/>
              </w:rPr>
              <w:t>其他</w:t>
            </w:r>
          </w:p>
        </w:tc>
        <w:tc>
          <w:tcPr>
            <w:tcW w:w="767"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86"/>
              <w:ind w:left="19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16"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40" w:lineRule="auto" w:before="86"/>
              <w:ind w:left="269" w:right="0"/>
              <w:jc w:val="left"/>
              <w:rPr>
                <w:rFonts w:ascii="宋体" w:hAnsi="宋体" w:cs="宋体" w:eastAsia="宋体" w:hint="default"/>
                <w:sz w:val="18"/>
                <w:szCs w:val="18"/>
              </w:rPr>
            </w:pPr>
            <w:r>
              <w:rPr>
                <w:rFonts w:ascii="宋体" w:hAnsi="宋体" w:cs="宋体" w:eastAsia="宋体" w:hint="default"/>
                <w:sz w:val="18"/>
                <w:szCs w:val="18"/>
              </w:rPr>
              <w:t>股数</w:t>
            </w:r>
          </w:p>
        </w:tc>
        <w:tc>
          <w:tcPr>
            <w:tcW w:w="763" w:type="dxa"/>
            <w:tcBorders>
              <w:top w:val="single" w:sz="8" w:space="0" w:color="000000"/>
              <w:left w:val="single" w:sz="6" w:space="0" w:color="000000"/>
              <w:bottom w:val="single" w:sz="8" w:space="0" w:color="000000"/>
              <w:right w:val="single" w:sz="6" w:space="0" w:color="000000"/>
            </w:tcBorders>
            <w:shd w:val="clear" w:color="auto" w:fill="C0C0C0"/>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25"/>
              <w:ind w:right="0"/>
              <w:jc w:val="center"/>
              <w:rPr>
                <w:rFonts w:ascii="Arial Narrow" w:hAnsi="Arial Narrow" w:cs="Arial Narrow" w:eastAsia="Arial Narrow" w:hint="default"/>
                <w:sz w:val="18"/>
                <w:szCs w:val="18"/>
              </w:rPr>
            </w:pPr>
            <w:r>
              <w:rPr>
                <w:rFonts w:ascii="Arial Narrow"/>
                <w:sz w:val="18"/>
              </w:rPr>
              <w:t>(%)</w:t>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763" w:type="dxa"/>
            <w:tcBorders>
              <w:top w:val="single" w:sz="8" w:space="0" w:color="000000"/>
              <w:left w:val="single" w:sz="6" w:space="0" w:color="000000"/>
              <w:bottom w:val="single" w:sz="8" w:space="0" w:color="000000"/>
              <w:right w:val="single" w:sz="6" w:space="0" w:color="000000"/>
            </w:tcBorders>
          </w:tcPr>
          <w:p>
            <w:pPr/>
          </w:p>
        </w:tc>
        <w:tc>
          <w:tcPr>
            <w:tcW w:w="763" w:type="dxa"/>
            <w:tcBorders>
              <w:top w:val="single" w:sz="8" w:space="0" w:color="000000"/>
              <w:left w:val="single" w:sz="6" w:space="0" w:color="000000"/>
              <w:bottom w:val="single" w:sz="8" w:space="0" w:color="000000"/>
              <w:right w:val="single" w:sz="6" w:space="0" w:color="000000"/>
            </w:tcBorders>
          </w:tcPr>
          <w:p>
            <w:pPr/>
          </w:p>
        </w:tc>
        <w:tc>
          <w:tcPr>
            <w:tcW w:w="762" w:type="dxa"/>
            <w:tcBorders>
              <w:top w:val="single" w:sz="8" w:space="0" w:color="000000"/>
              <w:left w:val="single" w:sz="6" w:space="0" w:color="000000"/>
              <w:bottom w:val="single" w:sz="8" w:space="0" w:color="000000"/>
              <w:right w:val="single" w:sz="6" w:space="0" w:color="000000"/>
            </w:tcBorders>
          </w:tcPr>
          <w:p>
            <w:pPr/>
          </w:p>
        </w:tc>
        <w:tc>
          <w:tcPr>
            <w:tcW w:w="611" w:type="dxa"/>
            <w:tcBorders>
              <w:top w:val="single" w:sz="8" w:space="0" w:color="000000"/>
              <w:left w:val="single" w:sz="6" w:space="0" w:color="000000"/>
              <w:bottom w:val="single" w:sz="8" w:space="0" w:color="000000"/>
              <w:right w:val="single" w:sz="6" w:space="0" w:color="000000"/>
            </w:tcBorders>
          </w:tcPr>
          <w:p>
            <w:pPr/>
          </w:p>
        </w:tc>
        <w:tc>
          <w:tcPr>
            <w:tcW w:w="917" w:type="dxa"/>
            <w:tcBorders>
              <w:top w:val="single" w:sz="8" w:space="0" w:color="000000"/>
              <w:left w:val="single" w:sz="6" w:space="0" w:color="000000"/>
              <w:bottom w:val="single" w:sz="8" w:space="0" w:color="000000"/>
              <w:right w:val="single" w:sz="6" w:space="0" w:color="000000"/>
            </w:tcBorders>
          </w:tcPr>
          <w:p>
            <w:pPr/>
          </w:p>
        </w:tc>
        <w:tc>
          <w:tcPr>
            <w:tcW w:w="611" w:type="dxa"/>
            <w:tcBorders>
              <w:top w:val="single" w:sz="8" w:space="0" w:color="000000"/>
              <w:left w:val="single" w:sz="6" w:space="0" w:color="000000"/>
              <w:bottom w:val="single" w:sz="8" w:space="0" w:color="000000"/>
              <w:right w:val="single" w:sz="6" w:space="0" w:color="000000"/>
            </w:tcBorders>
          </w:tcPr>
          <w:p>
            <w:pPr/>
          </w:p>
        </w:tc>
        <w:tc>
          <w:tcPr>
            <w:tcW w:w="767" w:type="dxa"/>
            <w:tcBorders>
              <w:top w:val="single" w:sz="8" w:space="0" w:color="000000"/>
              <w:left w:val="single" w:sz="6" w:space="0" w:color="000000"/>
              <w:bottom w:val="single" w:sz="8" w:space="0" w:color="000000"/>
              <w:right w:val="single" w:sz="6" w:space="0" w:color="000000"/>
            </w:tcBorders>
          </w:tcPr>
          <w:p>
            <w:pPr/>
          </w:p>
        </w:tc>
        <w:tc>
          <w:tcPr>
            <w:tcW w:w="916" w:type="dxa"/>
            <w:tcBorders>
              <w:top w:val="single" w:sz="8" w:space="0" w:color="000000"/>
              <w:left w:val="single" w:sz="6" w:space="0" w:color="000000"/>
              <w:bottom w:val="single" w:sz="8" w:space="0" w:color="000000"/>
              <w:right w:val="single" w:sz="6" w:space="0" w:color="000000"/>
            </w:tcBorders>
          </w:tcPr>
          <w:p>
            <w:pPr/>
          </w:p>
        </w:tc>
        <w:tc>
          <w:tcPr>
            <w:tcW w:w="763" w:type="dxa"/>
            <w:tcBorders>
              <w:top w:val="single" w:sz="8" w:space="0" w:color="000000"/>
              <w:left w:val="single" w:sz="6" w:space="0" w:color="000000"/>
              <w:bottom w:val="single" w:sz="8" w:space="0" w:color="000000"/>
              <w:right w:val="single" w:sz="6" w:space="0" w:color="000000"/>
            </w:tcBorders>
          </w:tcPr>
          <w:p>
            <w:pPr/>
          </w:p>
        </w:tc>
      </w:tr>
      <w:tr>
        <w:trPr>
          <w:trHeight w:val="379"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国家持股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国有法人持股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其他内资持股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2,440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61.00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2,440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45.61</w:t>
            </w:r>
            <w:r>
              <w:rPr>
                <w:rFonts w:ascii="Arial Narrow"/>
                <w:sz w:val="20"/>
              </w:rPr>
            </w:r>
          </w:p>
        </w:tc>
      </w:tr>
      <w:tr>
        <w:trPr>
          <w:trHeight w:val="486"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其中：境内非国有法人</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800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20.00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100"/>
              <w:jc w:val="right"/>
              <w:rPr>
                <w:rFonts w:ascii="Arial Narrow" w:hAnsi="Arial Narrow" w:cs="Arial Narrow" w:eastAsia="Arial Narrow" w:hint="default"/>
                <w:sz w:val="20"/>
                <w:szCs w:val="20"/>
              </w:rPr>
            </w:pPr>
            <w:r>
              <w:rPr>
                <w:rFonts w:ascii="Arial Narrow"/>
                <w:spacing w:val="-1"/>
                <w:sz w:val="20"/>
              </w:rPr>
              <w:t>800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119"/>
              <w:ind w:right="98"/>
              <w:jc w:val="right"/>
              <w:rPr>
                <w:rFonts w:ascii="Arial Narrow" w:hAnsi="Arial Narrow" w:cs="Arial Narrow" w:eastAsia="Arial Narrow" w:hint="default"/>
                <w:sz w:val="20"/>
                <w:szCs w:val="20"/>
              </w:rPr>
            </w:pPr>
            <w:r>
              <w:rPr>
                <w:rFonts w:ascii="Arial Narrow"/>
                <w:spacing w:val="-1"/>
                <w:sz w:val="20"/>
              </w:rPr>
              <w:t>14.95</w:t>
            </w:r>
            <w:r>
              <w:rPr>
                <w:rFonts w:ascii="Arial Narrow"/>
                <w:sz w:val="20"/>
              </w:rPr>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1,640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41.00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1,640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30.66</w:t>
            </w:r>
            <w:r>
              <w:rPr>
                <w:rFonts w:ascii="Arial Narrow"/>
                <w:sz w:val="20"/>
              </w:rPr>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境外持股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1,560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39.00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1,560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29.16</w:t>
            </w:r>
            <w:r>
              <w:rPr>
                <w:rFonts w:ascii="Arial Narrow"/>
                <w:sz w:val="20"/>
              </w:rPr>
            </w:r>
          </w:p>
        </w:tc>
      </w:tr>
      <w:tr>
        <w:trPr>
          <w:trHeight w:val="379"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0</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0.00</w:t>
            </w:r>
            <w:r>
              <w:rPr>
                <w:rFonts w:ascii="Arial Narrow"/>
                <w:sz w:val="20"/>
              </w:rPr>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1,560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39.00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1,560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29.16</w:t>
            </w:r>
            <w:r>
              <w:rPr>
                <w:rFonts w:ascii="Arial Narrow"/>
                <w:sz w:val="20"/>
              </w:rPr>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4,000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100</w:t>
            </w:r>
            <w:r>
              <w:rPr>
                <w:rFonts w:ascii="Arial Narrow"/>
                <w:sz w:val="20"/>
              </w:rPr>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4,000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74.77</w:t>
            </w:r>
            <w:r>
              <w:rPr>
                <w:rFonts w:ascii="Arial Narrow"/>
                <w:sz w:val="20"/>
              </w:rPr>
            </w:r>
          </w:p>
        </w:tc>
      </w:tr>
      <w:tr>
        <w:trPr>
          <w:trHeight w:val="379"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763" w:type="dxa"/>
            <w:tcBorders>
              <w:top w:val="single" w:sz="8" w:space="0" w:color="000000"/>
              <w:left w:val="single" w:sz="6" w:space="0" w:color="000000"/>
              <w:bottom w:val="single" w:sz="8" w:space="0" w:color="000000"/>
              <w:right w:val="single" w:sz="6" w:space="0" w:color="000000"/>
            </w:tcBorders>
          </w:tcPr>
          <w:p>
            <w:pPr/>
          </w:p>
        </w:tc>
        <w:tc>
          <w:tcPr>
            <w:tcW w:w="763" w:type="dxa"/>
            <w:tcBorders>
              <w:top w:val="single" w:sz="8" w:space="0" w:color="000000"/>
              <w:left w:val="single" w:sz="6" w:space="0" w:color="000000"/>
              <w:bottom w:val="single" w:sz="8" w:space="0" w:color="000000"/>
              <w:right w:val="single" w:sz="6" w:space="0" w:color="000000"/>
            </w:tcBorders>
          </w:tcPr>
          <w:p>
            <w:pPr/>
          </w:p>
        </w:tc>
        <w:tc>
          <w:tcPr>
            <w:tcW w:w="762" w:type="dxa"/>
            <w:tcBorders>
              <w:top w:val="single" w:sz="8" w:space="0" w:color="000000"/>
              <w:left w:val="single" w:sz="6" w:space="0" w:color="000000"/>
              <w:bottom w:val="single" w:sz="8" w:space="0" w:color="000000"/>
              <w:right w:val="single" w:sz="6" w:space="0" w:color="000000"/>
            </w:tcBorders>
          </w:tcPr>
          <w:p>
            <w:pPr/>
          </w:p>
        </w:tc>
        <w:tc>
          <w:tcPr>
            <w:tcW w:w="611" w:type="dxa"/>
            <w:tcBorders>
              <w:top w:val="single" w:sz="8" w:space="0" w:color="000000"/>
              <w:left w:val="single" w:sz="6" w:space="0" w:color="000000"/>
              <w:bottom w:val="single" w:sz="8" w:space="0" w:color="000000"/>
              <w:right w:val="single" w:sz="6" w:space="0" w:color="000000"/>
            </w:tcBorders>
          </w:tcPr>
          <w:p>
            <w:pPr/>
          </w:p>
        </w:tc>
        <w:tc>
          <w:tcPr>
            <w:tcW w:w="917" w:type="dxa"/>
            <w:tcBorders>
              <w:top w:val="single" w:sz="8" w:space="0" w:color="000000"/>
              <w:left w:val="single" w:sz="6" w:space="0" w:color="000000"/>
              <w:bottom w:val="single" w:sz="8" w:space="0" w:color="000000"/>
              <w:right w:val="single" w:sz="6" w:space="0" w:color="000000"/>
            </w:tcBorders>
          </w:tcPr>
          <w:p>
            <w:pPr/>
          </w:p>
        </w:tc>
        <w:tc>
          <w:tcPr>
            <w:tcW w:w="611" w:type="dxa"/>
            <w:tcBorders>
              <w:top w:val="single" w:sz="8" w:space="0" w:color="000000"/>
              <w:left w:val="single" w:sz="6" w:space="0" w:color="000000"/>
              <w:bottom w:val="single" w:sz="8" w:space="0" w:color="000000"/>
              <w:right w:val="single" w:sz="6" w:space="0" w:color="000000"/>
            </w:tcBorders>
          </w:tcPr>
          <w:p>
            <w:pPr/>
          </w:p>
        </w:tc>
        <w:tc>
          <w:tcPr>
            <w:tcW w:w="767" w:type="dxa"/>
            <w:tcBorders>
              <w:top w:val="single" w:sz="8" w:space="0" w:color="000000"/>
              <w:left w:val="single" w:sz="6" w:space="0" w:color="000000"/>
              <w:bottom w:val="single" w:sz="8" w:space="0" w:color="000000"/>
              <w:right w:val="single" w:sz="6" w:space="0" w:color="000000"/>
            </w:tcBorders>
          </w:tcPr>
          <w:p>
            <w:pPr/>
          </w:p>
        </w:tc>
        <w:tc>
          <w:tcPr>
            <w:tcW w:w="916" w:type="dxa"/>
            <w:tcBorders>
              <w:top w:val="single" w:sz="8" w:space="0" w:color="000000"/>
              <w:left w:val="single" w:sz="6" w:space="0" w:color="000000"/>
              <w:bottom w:val="single" w:sz="8" w:space="0" w:color="000000"/>
              <w:right w:val="single" w:sz="6" w:space="0" w:color="000000"/>
            </w:tcBorders>
          </w:tcPr>
          <w:p>
            <w:pPr/>
          </w:p>
        </w:tc>
        <w:tc>
          <w:tcPr>
            <w:tcW w:w="763" w:type="dxa"/>
            <w:tcBorders>
              <w:top w:val="single" w:sz="8" w:space="0" w:color="000000"/>
              <w:left w:val="single" w:sz="6" w:space="0" w:color="000000"/>
              <w:bottom w:val="single" w:sz="8" w:space="0" w:color="000000"/>
              <w:right w:val="single" w:sz="6" w:space="0" w:color="000000"/>
            </w:tcBorders>
          </w:tcPr>
          <w:p>
            <w:pP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1.</w:t>
            </w:r>
            <w:r>
              <w:rPr>
                <w:rFonts w:ascii="宋体" w:hAnsi="宋体" w:cs="宋体" w:eastAsia="宋体" w:hint="default"/>
                <w:sz w:val="18"/>
                <w:szCs w:val="18"/>
              </w:rPr>
              <w:t>人民币普通股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25.23</w:t>
            </w:r>
            <w:r>
              <w:rPr>
                <w:rFonts w:ascii="Arial Narrow"/>
                <w:sz w:val="20"/>
              </w:rPr>
            </w:r>
          </w:p>
        </w:tc>
      </w:tr>
      <w:tr>
        <w:trPr>
          <w:trHeight w:val="380"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2.</w:t>
            </w:r>
            <w:r>
              <w:rPr>
                <w:rFonts w:ascii="宋体" w:hAnsi="宋体" w:cs="宋体" w:eastAsia="宋体" w:hint="default"/>
                <w:sz w:val="18"/>
                <w:szCs w:val="18"/>
              </w:rPr>
              <w:t>境内上市的外资股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r>
      <w:tr>
        <w:trPr>
          <w:trHeight w:val="379" w:hRule="exact"/>
        </w:trPr>
        <w:tc>
          <w:tcPr>
            <w:tcW w:w="1984"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3.</w:t>
            </w:r>
            <w:r>
              <w:rPr>
                <w:rFonts w:ascii="宋体" w:hAnsi="宋体" w:cs="宋体" w:eastAsia="宋体" w:hint="default"/>
                <w:sz w:val="18"/>
                <w:szCs w:val="18"/>
              </w:rPr>
              <w:t>境外上市的外资股</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r>
      <w:tr>
        <w:trPr>
          <w:trHeight w:val="378" w:hRule="exact"/>
        </w:trPr>
        <w:tc>
          <w:tcPr>
            <w:tcW w:w="1984"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Arial Narrow" w:hAnsi="Arial Narrow" w:cs="Arial Narrow" w:eastAsia="Arial Narrow" w:hint="default"/>
                <w:sz w:val="18"/>
                <w:szCs w:val="18"/>
              </w:rPr>
              <w:t>4.</w:t>
            </w:r>
            <w:r>
              <w:rPr>
                <w:rFonts w:ascii="宋体" w:hAnsi="宋体" w:cs="宋体" w:eastAsia="宋体" w:hint="default"/>
                <w:sz w:val="18"/>
                <w:szCs w:val="18"/>
              </w:rPr>
              <w:t>其他</w:t>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6"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r>
    </w:tbl>
    <w:p>
      <w:pPr>
        <w:spacing w:after="0" w:line="240" w:lineRule="auto"/>
        <w:jc w:val="right"/>
        <w:rPr>
          <w:rFonts w:ascii="Arial Narrow" w:hAnsi="Arial Narrow" w:cs="Arial Narrow" w:eastAsia="Arial Narrow" w:hint="default"/>
          <w:sz w:val="20"/>
          <w:szCs w:val="20"/>
        </w:rPr>
        <w:sectPr>
          <w:pgSz w:w="12240" w:h="15840"/>
          <w:pgMar w:header="0" w:footer="688" w:top="1360" w:bottom="900" w:left="1580" w:right="1560"/>
        </w:sectPr>
      </w:pPr>
    </w:p>
    <w:p>
      <w:pPr>
        <w:spacing w:line="240" w:lineRule="auto" w:before="1"/>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1984"/>
        <w:gridCol w:w="763"/>
        <w:gridCol w:w="763"/>
        <w:gridCol w:w="762"/>
        <w:gridCol w:w="611"/>
        <w:gridCol w:w="917"/>
        <w:gridCol w:w="611"/>
        <w:gridCol w:w="767"/>
        <w:gridCol w:w="916"/>
        <w:gridCol w:w="763"/>
      </w:tblGrid>
      <w:tr>
        <w:trPr>
          <w:trHeight w:val="378" w:hRule="exact"/>
        </w:trPr>
        <w:tc>
          <w:tcPr>
            <w:tcW w:w="1984"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18"/>
                <w:szCs w:val="18"/>
              </w:rPr>
            </w:pPr>
            <w:r>
              <w:rPr>
                <w:rFonts w:ascii="宋体" w:hAnsi="宋体" w:cs="宋体" w:eastAsia="宋体" w:hint="default"/>
                <w:sz w:val="18"/>
                <w:szCs w:val="18"/>
              </w:rPr>
              <w:t>无限售条件股份合计</w:t>
            </w:r>
          </w:p>
        </w:tc>
        <w:tc>
          <w:tcPr>
            <w:tcW w:w="763"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3"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2"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611"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916"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763" w:type="dxa"/>
            <w:tcBorders>
              <w:top w:val="single" w:sz="6" w:space="0" w:color="000000"/>
              <w:left w:val="single" w:sz="6" w:space="0" w:color="000000"/>
              <w:bottom w:val="single" w:sz="8" w:space="0" w:color="000000"/>
              <w:right w:val="single" w:sz="6" w:space="0" w:color="000000"/>
            </w:tcBorders>
          </w:tcPr>
          <w:p>
            <w:pPr>
              <w:pStyle w:val="TableParagraph"/>
              <w:spacing w:line="240" w:lineRule="auto" w:before="65"/>
              <w:ind w:right="99"/>
              <w:jc w:val="right"/>
              <w:rPr>
                <w:rFonts w:ascii="Arial Narrow" w:hAnsi="Arial Narrow" w:cs="Arial Narrow" w:eastAsia="Arial Narrow" w:hint="default"/>
                <w:sz w:val="20"/>
                <w:szCs w:val="20"/>
              </w:rPr>
            </w:pPr>
            <w:r>
              <w:rPr>
                <w:rFonts w:ascii="Arial Narrow"/>
                <w:spacing w:val="-1"/>
                <w:sz w:val="20"/>
              </w:rPr>
              <w:t>25.23</w:t>
            </w:r>
            <w:r>
              <w:rPr>
                <w:rFonts w:ascii="Arial Narrow"/>
                <w:sz w:val="20"/>
              </w:rPr>
            </w:r>
          </w:p>
        </w:tc>
      </w:tr>
      <w:tr>
        <w:trPr>
          <w:trHeight w:val="391" w:hRule="exact"/>
        </w:trPr>
        <w:tc>
          <w:tcPr>
            <w:tcW w:w="1984"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40"/>
              <w:ind w:left="624"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4,000</w:t>
            </w:r>
            <w:r>
              <w:rPr>
                <w:rFonts w:ascii="Arial Narrow"/>
                <w:sz w:val="20"/>
              </w:rPr>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100</w:t>
            </w:r>
            <w:r>
              <w:rPr>
                <w:rFonts w:ascii="Arial Narrow"/>
                <w:sz w:val="20"/>
              </w:rPr>
            </w:r>
          </w:p>
        </w:tc>
        <w:tc>
          <w:tcPr>
            <w:tcW w:w="762"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611"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Arial Narrow" w:hAnsi="Arial Narrow" w:cs="Arial Narrow" w:eastAsia="Arial Narrow" w:hint="default"/>
                <w:sz w:val="20"/>
                <w:szCs w:val="20"/>
              </w:rPr>
            </w:pPr>
            <w:r>
              <w:rPr>
                <w:rFonts w:ascii="Arial Narrow"/>
                <w:w w:val="100"/>
                <w:sz w:val="20"/>
              </w:rPr>
              <w:t>-</w:t>
            </w:r>
          </w:p>
        </w:tc>
        <w:tc>
          <w:tcPr>
            <w:tcW w:w="917"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100"/>
              <w:jc w:val="right"/>
              <w:rPr>
                <w:rFonts w:ascii="Arial Narrow" w:hAnsi="Arial Narrow" w:cs="Arial Narrow" w:eastAsia="Arial Narrow" w:hint="default"/>
                <w:sz w:val="20"/>
                <w:szCs w:val="20"/>
              </w:rPr>
            </w:pPr>
            <w:r>
              <w:rPr>
                <w:rFonts w:ascii="Arial Narrow"/>
                <w:w w:val="100"/>
                <w:sz w:val="20"/>
              </w:rPr>
              <w:t>-</w:t>
            </w:r>
          </w:p>
        </w:tc>
        <w:tc>
          <w:tcPr>
            <w:tcW w:w="611"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Arial Narrow" w:hAnsi="Arial Narrow" w:cs="Arial Narrow" w:eastAsia="Arial Narrow" w:hint="default"/>
                <w:sz w:val="20"/>
                <w:szCs w:val="20"/>
              </w:rPr>
            </w:pPr>
            <w:r>
              <w:rPr>
                <w:rFonts w:ascii="Arial Narrow"/>
                <w:w w:val="100"/>
                <w:sz w:val="20"/>
              </w:rPr>
              <w:t>-</w:t>
            </w:r>
          </w:p>
        </w:tc>
        <w:tc>
          <w:tcPr>
            <w:tcW w:w="767"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1,350</w:t>
            </w:r>
            <w:r>
              <w:rPr>
                <w:rFonts w:ascii="Arial Narrow"/>
                <w:sz w:val="20"/>
              </w:rPr>
            </w:r>
          </w:p>
        </w:tc>
        <w:tc>
          <w:tcPr>
            <w:tcW w:w="916"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5,350</w:t>
            </w:r>
            <w:r>
              <w:rPr>
                <w:rFonts w:ascii="Arial Narrow"/>
                <w:sz w:val="20"/>
              </w:rPr>
            </w:r>
          </w:p>
        </w:tc>
        <w:tc>
          <w:tcPr>
            <w:tcW w:w="763" w:type="dxa"/>
            <w:tcBorders>
              <w:top w:val="single" w:sz="8"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0"/>
                <w:szCs w:val="20"/>
              </w:rPr>
            </w:pPr>
            <w:r>
              <w:rPr>
                <w:rFonts w:ascii="Arial Narrow"/>
                <w:spacing w:val="-1"/>
                <w:sz w:val="20"/>
              </w:rPr>
              <w:t>100</w:t>
            </w:r>
            <w:r>
              <w:rPr>
                <w:rFonts w:ascii="Arial Narrow"/>
                <w:sz w:val="20"/>
              </w:rPr>
            </w:r>
          </w:p>
        </w:tc>
      </w:tr>
    </w:tbl>
    <w:p>
      <w:pPr>
        <w:spacing w:line="257" w:lineRule="exact" w:before="0"/>
        <w:ind w:left="220" w:right="0" w:firstLine="420"/>
        <w:jc w:val="left"/>
        <w:rPr>
          <w:rFonts w:ascii="宋体" w:hAnsi="宋体" w:cs="宋体" w:eastAsia="宋体" w:hint="default"/>
          <w:sz w:val="21"/>
          <w:szCs w:val="21"/>
        </w:rPr>
      </w:pPr>
      <w:r>
        <w:rPr>
          <w:rFonts w:ascii="宋体" w:hAnsi="宋体" w:cs="宋体" w:eastAsia="宋体" w:hint="default"/>
          <w:sz w:val="21"/>
          <w:szCs w:val="21"/>
        </w:rPr>
        <w:t>注：经中国证券监督管理委员会</w:t>
      </w:r>
      <w:r>
        <w:rPr>
          <w:rFonts w:ascii="宋体" w:hAnsi="宋体" w:cs="宋体" w:eastAsia="宋体" w:hint="default"/>
          <w:spacing w:val="-43"/>
          <w:sz w:val="21"/>
          <w:szCs w:val="21"/>
        </w:rPr>
        <w:t> </w:t>
      </w:r>
      <w:r>
        <w:rPr>
          <w:rFonts w:ascii="宋体" w:hAnsi="宋体" w:cs="宋体" w:eastAsia="宋体" w:hint="default"/>
          <w:sz w:val="21"/>
          <w:szCs w:val="21"/>
        </w:rPr>
        <w:t>“证监许可</w:t>
      </w:r>
      <w:r>
        <w:rPr>
          <w:rFonts w:ascii="Arial Narrow" w:hAnsi="Arial Narrow" w:cs="Arial Narrow" w:eastAsia="Arial Narrow" w:hint="default"/>
          <w:sz w:val="21"/>
          <w:szCs w:val="21"/>
        </w:rPr>
        <w:t>[2011]263</w:t>
      </w:r>
      <w:r>
        <w:rPr>
          <w:rFonts w:ascii="Arial Narrow" w:hAnsi="Arial Narrow" w:cs="Arial Narrow" w:eastAsia="Arial Narrow" w:hint="default"/>
          <w:spacing w:val="-13"/>
          <w:sz w:val="21"/>
          <w:szCs w:val="21"/>
        </w:rPr>
        <w:t> </w:t>
      </w:r>
      <w:r>
        <w:rPr>
          <w:rFonts w:ascii="宋体" w:hAnsi="宋体" w:cs="宋体" w:eastAsia="宋体" w:hint="default"/>
          <w:sz w:val="21"/>
          <w:szCs w:val="21"/>
        </w:rPr>
        <w:t>号”文《关于核准厦门市美亚柏科信</w:t>
      </w:r>
    </w:p>
    <w:p>
      <w:pPr>
        <w:spacing w:line="355" w:lineRule="auto" w:before="120"/>
        <w:ind w:left="220" w:right="224" w:firstLine="0"/>
        <w:jc w:val="left"/>
        <w:rPr>
          <w:rFonts w:ascii="Arial Narrow" w:hAnsi="Arial Narrow" w:cs="Arial Narrow" w:eastAsia="Arial Narrow" w:hint="default"/>
          <w:sz w:val="21"/>
          <w:szCs w:val="21"/>
        </w:rPr>
      </w:pPr>
      <w:r>
        <w:rPr>
          <w:rFonts w:ascii="宋体" w:hAnsi="宋体" w:cs="宋体" w:eastAsia="宋体" w:hint="default"/>
          <w:sz w:val="21"/>
          <w:szCs w:val="21"/>
        </w:rPr>
        <w:t>息股份有限公司首次公开发行股票并在创业板上市的批复》核准，本公司申请通过向社会公开</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发行人民币普通股（</w:t>
      </w:r>
      <w:r>
        <w:rPr>
          <w:rFonts w:ascii="Arial Narrow" w:hAnsi="Arial Narrow" w:cs="Arial Narrow" w:eastAsia="Arial Narrow" w:hint="default"/>
          <w:sz w:val="21"/>
          <w:szCs w:val="21"/>
        </w:rPr>
        <w:t>A </w:t>
      </w:r>
      <w:r>
        <w:rPr>
          <w:rFonts w:ascii="宋体" w:hAnsi="宋体" w:cs="宋体" w:eastAsia="宋体" w:hint="default"/>
          <w:sz w:val="21"/>
          <w:szCs w:val="21"/>
        </w:rPr>
        <w:t>股）增加注册资本人民币 </w:t>
      </w:r>
      <w:r>
        <w:rPr>
          <w:rFonts w:ascii="Arial Narrow" w:hAnsi="Arial Narrow" w:cs="Arial Narrow" w:eastAsia="Arial Narrow" w:hint="default"/>
          <w:sz w:val="21"/>
          <w:szCs w:val="21"/>
        </w:rPr>
        <w:t>1,350 </w:t>
      </w:r>
      <w:r>
        <w:rPr>
          <w:rFonts w:ascii="宋体" w:hAnsi="宋体" w:cs="宋体" w:eastAsia="宋体" w:hint="default"/>
          <w:sz w:val="21"/>
          <w:szCs w:val="21"/>
        </w:rPr>
        <w:t>万元，变更后的注册资本为人民币</w:t>
      </w:r>
      <w:r>
        <w:rPr>
          <w:rFonts w:ascii="宋体" w:hAnsi="宋体" w:cs="宋体" w:eastAsia="宋体" w:hint="default"/>
          <w:spacing w:val="3"/>
          <w:sz w:val="21"/>
          <w:szCs w:val="21"/>
        </w:rPr>
        <w:t> </w:t>
      </w:r>
      <w:r>
        <w:rPr>
          <w:rFonts w:ascii="Arial Narrow" w:hAnsi="Arial Narrow" w:cs="Arial Narrow" w:eastAsia="Arial Narrow" w:hint="default"/>
          <w:sz w:val="21"/>
          <w:szCs w:val="21"/>
        </w:rPr>
        <w:t>5,350</w:t>
      </w:r>
    </w:p>
    <w:p>
      <w:pPr>
        <w:spacing w:before="4"/>
        <w:ind w:left="220" w:right="0" w:firstLine="0"/>
        <w:jc w:val="left"/>
        <w:rPr>
          <w:rFonts w:ascii="宋体" w:hAnsi="宋体" w:cs="宋体" w:eastAsia="宋体" w:hint="default"/>
          <w:sz w:val="21"/>
          <w:szCs w:val="21"/>
        </w:rPr>
      </w:pPr>
      <w:r>
        <w:rPr>
          <w:rFonts w:ascii="宋体" w:hAnsi="宋体" w:cs="宋体" w:eastAsia="宋体" w:hint="default"/>
          <w:sz w:val="21"/>
          <w:szCs w:val="21"/>
        </w:rPr>
        <w:t>万元，股本为人民币 </w:t>
      </w:r>
      <w:r>
        <w:rPr>
          <w:rFonts w:ascii="Arial Narrow" w:hAnsi="Arial Narrow" w:cs="Arial Narrow" w:eastAsia="Arial Narrow" w:hint="default"/>
          <w:sz w:val="21"/>
          <w:szCs w:val="21"/>
        </w:rPr>
        <w:t>5,350 </w:t>
      </w:r>
      <w:r>
        <w:rPr>
          <w:rFonts w:ascii="Arial Narrow" w:hAnsi="Arial Narrow" w:cs="Arial Narrow" w:eastAsia="Arial Narrow" w:hint="default"/>
          <w:spacing w:val="22"/>
          <w:sz w:val="21"/>
          <w:szCs w:val="21"/>
        </w:rPr>
        <w:t> </w:t>
      </w:r>
      <w:r>
        <w:rPr>
          <w:rFonts w:ascii="宋体" w:hAnsi="宋体" w:cs="宋体" w:eastAsia="宋体" w:hint="default"/>
          <w:sz w:val="21"/>
          <w:szCs w:val="21"/>
        </w:rPr>
        <w:t>万元。此次增资业经天健正信会计师事务所有限公司“天健正信验</w:t>
      </w:r>
    </w:p>
    <w:p>
      <w:pPr>
        <w:spacing w:before="120"/>
        <w:ind w:left="219"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2011</w:t>
      </w:r>
      <w:r>
        <w:rPr>
          <w:rFonts w:ascii="宋体" w:hAnsi="宋体" w:cs="宋体" w:eastAsia="宋体" w:hint="default"/>
          <w:sz w:val="21"/>
          <w:szCs w:val="21"/>
        </w:rPr>
        <w:t>）综字第</w:t>
      </w:r>
      <w:r>
        <w:rPr>
          <w:rFonts w:ascii="宋体" w:hAnsi="宋体" w:cs="宋体" w:eastAsia="宋体" w:hint="default"/>
          <w:spacing w:val="-62"/>
          <w:sz w:val="21"/>
          <w:szCs w:val="21"/>
        </w:rPr>
        <w:t> </w:t>
      </w:r>
      <w:r>
        <w:rPr>
          <w:rFonts w:ascii="Arial Narrow" w:hAnsi="Arial Narrow" w:cs="Arial Narrow" w:eastAsia="Arial Narrow" w:hint="default"/>
          <w:sz w:val="21"/>
          <w:szCs w:val="21"/>
        </w:rPr>
        <w:t>020022</w:t>
      </w:r>
      <w:r>
        <w:rPr>
          <w:rFonts w:ascii="Arial Narrow" w:hAnsi="Arial Narrow" w:cs="Arial Narrow" w:eastAsia="Arial Narrow" w:hint="default"/>
          <w:spacing w:val="-4"/>
          <w:sz w:val="21"/>
          <w:szCs w:val="21"/>
        </w:rPr>
        <w:t> </w:t>
      </w:r>
      <w:r>
        <w:rPr>
          <w:rFonts w:ascii="宋体" w:hAnsi="宋体" w:cs="宋体" w:eastAsia="宋体" w:hint="default"/>
          <w:sz w:val="21"/>
          <w:szCs w:val="21"/>
        </w:rPr>
        <w:t>号”验资报告验证。</w:t>
      </w:r>
    </w:p>
    <w:p>
      <w:pPr>
        <w:tabs>
          <w:tab w:pos="1899" w:val="left" w:leader="none"/>
        </w:tabs>
        <w:spacing w:line="410" w:lineRule="auto" w:before="178"/>
        <w:ind w:left="639" w:right="4889" w:firstLine="0"/>
        <w:jc w:val="left"/>
        <w:rPr>
          <w:rFonts w:ascii="宋体" w:hAnsi="宋体" w:cs="宋体" w:eastAsia="宋体" w:hint="default"/>
          <w:sz w:val="21"/>
          <w:szCs w:val="21"/>
        </w:rPr>
      </w:pPr>
      <w:r>
        <w:rPr>
          <w:rFonts w:ascii="宋体" w:hAnsi="宋体" w:cs="宋体" w:eastAsia="宋体" w:hint="default"/>
          <w:b/>
          <w:bCs/>
          <w:w w:val="95"/>
          <w:sz w:val="21"/>
          <w:szCs w:val="21"/>
        </w:rPr>
        <w:t>（二十二）</w:t>
        <w:tab/>
      </w:r>
      <w:r>
        <w:rPr>
          <w:rFonts w:ascii="宋体" w:hAnsi="宋体" w:cs="宋体" w:eastAsia="宋体" w:hint="default"/>
          <w:b/>
          <w:bCs/>
          <w:sz w:val="21"/>
          <w:szCs w:val="21"/>
        </w:rPr>
        <w:t>资本公积</w:t>
      </w:r>
      <w:r>
        <w:rPr>
          <w:rFonts w:ascii="宋体" w:hAnsi="宋体" w:cs="宋体" w:eastAsia="宋体" w:hint="default"/>
          <w:b/>
          <w:bCs/>
          <w:spacing w:val="1"/>
          <w:w w:val="99"/>
          <w:sz w:val="21"/>
          <w:szCs w:val="21"/>
        </w:rPr>
        <w:t> </w:t>
      </w:r>
      <w:r>
        <w:rPr>
          <w:rFonts w:ascii="宋体" w:hAnsi="宋体" w:cs="宋体" w:eastAsia="宋体" w:hint="default"/>
          <w:sz w:val="21"/>
          <w:szCs w:val="21"/>
        </w:rPr>
        <w:t>本年资本公积增减变动情况列示如下：</w:t>
      </w:r>
    </w:p>
    <w:tbl>
      <w:tblPr>
        <w:tblW w:w="0" w:type="auto"/>
        <w:jc w:val="left"/>
        <w:tblInd w:w="110" w:type="dxa"/>
        <w:tblLayout w:type="fixed"/>
        <w:tblCellMar>
          <w:top w:w="0" w:type="dxa"/>
          <w:left w:w="0" w:type="dxa"/>
          <w:bottom w:w="0" w:type="dxa"/>
          <w:right w:w="0" w:type="dxa"/>
        </w:tblCellMar>
        <w:tblLook w:val="01E0"/>
      </w:tblPr>
      <w:tblGrid>
        <w:gridCol w:w="2735"/>
        <w:gridCol w:w="1786"/>
        <w:gridCol w:w="1414"/>
        <w:gridCol w:w="1343"/>
        <w:gridCol w:w="1567"/>
      </w:tblGrid>
      <w:tr>
        <w:trPr>
          <w:trHeight w:val="355" w:hRule="exact"/>
        </w:trPr>
        <w:tc>
          <w:tcPr>
            <w:tcW w:w="273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78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254"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14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本年增加额</w:t>
            </w:r>
          </w:p>
        </w:tc>
        <w:tc>
          <w:tcPr>
            <w:tcW w:w="134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39"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56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144"/>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76" w:hRule="exact"/>
        </w:trPr>
        <w:tc>
          <w:tcPr>
            <w:tcW w:w="2735" w:type="dxa"/>
            <w:tcBorders>
              <w:top w:val="single" w:sz="6" w:space="0" w:color="000000"/>
              <w:left w:val="single" w:sz="6" w:space="0" w:color="000000"/>
              <w:bottom w:val="single" w:sz="6" w:space="0" w:color="000000"/>
              <w:right w:val="single" w:sz="6" w:space="0" w:color="000000"/>
            </w:tcBorders>
          </w:tcPr>
          <w:p>
            <w:pPr>
              <w:pStyle w:val="TableParagraph"/>
              <w:spacing w:line="301" w:lineRule="exact"/>
              <w:ind w:left="100" w:right="0"/>
              <w:jc w:val="left"/>
              <w:rPr>
                <w:rFonts w:ascii="宋体" w:hAnsi="宋体" w:cs="宋体" w:eastAsia="宋体" w:hint="default"/>
                <w:sz w:val="24"/>
                <w:szCs w:val="24"/>
              </w:rPr>
            </w:pPr>
            <w:r>
              <w:rPr>
                <w:rFonts w:ascii="宋体" w:hAnsi="宋体" w:cs="宋体" w:eastAsia="宋体" w:hint="default"/>
                <w:sz w:val="24"/>
                <w:szCs w:val="24"/>
              </w:rPr>
              <w:t>股本溢价</w:t>
            </w:r>
          </w:p>
        </w:tc>
        <w:tc>
          <w:tcPr>
            <w:tcW w:w="17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67" w:right="0"/>
              <w:jc w:val="left"/>
              <w:rPr>
                <w:rFonts w:ascii="Arial Narrow" w:hAnsi="Arial Narrow" w:cs="Arial Narrow" w:eastAsia="Arial Narrow" w:hint="default"/>
                <w:sz w:val="21"/>
                <w:szCs w:val="21"/>
              </w:rPr>
            </w:pPr>
            <w:r>
              <w:rPr>
                <w:rFonts w:ascii="Arial Narrow"/>
                <w:sz w:val="21"/>
              </w:rPr>
              <w:t>15,275,985.13</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1" w:right="0"/>
              <w:jc w:val="center"/>
              <w:rPr>
                <w:rFonts w:ascii="Arial Narrow" w:hAnsi="Arial Narrow" w:cs="Arial Narrow" w:eastAsia="Arial Narrow" w:hint="default"/>
                <w:sz w:val="21"/>
                <w:szCs w:val="21"/>
              </w:rPr>
            </w:pPr>
            <w:r>
              <w:rPr>
                <w:rFonts w:ascii="Arial Narrow"/>
                <w:sz w:val="21"/>
              </w:rPr>
              <w:t>487,906,035.00</w:t>
            </w:r>
          </w:p>
        </w:tc>
        <w:tc>
          <w:tcPr>
            <w:tcW w:w="1343" w:type="dxa"/>
            <w:tcBorders>
              <w:top w:val="single" w:sz="6" w:space="0" w:color="000000"/>
              <w:left w:val="single" w:sz="6" w:space="0" w:color="000000"/>
              <w:bottom w:val="single" w:sz="6" w:space="0" w:color="000000"/>
              <w:right w:val="single" w:sz="6" w:space="0" w:color="000000"/>
            </w:tcBorders>
          </w:tcPr>
          <w:p>
            <w:pPr/>
          </w:p>
        </w:tc>
        <w:tc>
          <w:tcPr>
            <w:tcW w:w="15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503,182,020.13</w:t>
            </w:r>
          </w:p>
        </w:tc>
      </w:tr>
    </w:tbl>
    <w:p>
      <w:pPr>
        <w:spacing w:line="240" w:lineRule="auto" w:before="4"/>
        <w:rPr>
          <w:rFonts w:ascii="宋体" w:hAnsi="宋体" w:cs="宋体" w:eastAsia="宋体" w:hint="default"/>
          <w:sz w:val="5"/>
          <w:szCs w:val="5"/>
        </w:rPr>
      </w:pPr>
    </w:p>
    <w:p>
      <w:pPr>
        <w:spacing w:line="348" w:lineRule="auto" w:before="35"/>
        <w:ind w:left="220" w:right="236" w:firstLine="420"/>
        <w:jc w:val="both"/>
        <w:rPr>
          <w:rFonts w:ascii="Arial Narrow" w:hAnsi="Arial Narrow" w:cs="Arial Narrow" w:eastAsia="Arial Narrow" w:hint="default"/>
          <w:sz w:val="21"/>
          <w:szCs w:val="21"/>
        </w:rPr>
      </w:pPr>
      <w:r>
        <w:rPr>
          <w:rFonts w:ascii="宋体" w:hAnsi="宋体" w:cs="宋体" w:eastAsia="宋体" w:hint="default"/>
          <w:sz w:val="21"/>
          <w:szCs w:val="21"/>
        </w:rPr>
        <w:t>注：股本溢价本年增加系经中国证券监督管理委员会“证监许可</w:t>
      </w:r>
      <w:r>
        <w:rPr>
          <w:rFonts w:ascii="Arial Narrow" w:hAnsi="Arial Narrow" w:cs="Arial Narrow" w:eastAsia="Arial Narrow" w:hint="default"/>
          <w:sz w:val="21"/>
          <w:szCs w:val="21"/>
        </w:rPr>
        <w:t>[2011]263</w:t>
      </w:r>
      <w:r>
        <w:rPr>
          <w:rFonts w:ascii="Arial Narrow" w:hAnsi="Arial Narrow" w:cs="Arial Narrow" w:eastAsia="Arial Narrow" w:hint="default"/>
          <w:spacing w:val="5"/>
          <w:sz w:val="21"/>
          <w:szCs w:val="21"/>
        </w:rPr>
        <w:t> </w:t>
      </w:r>
      <w:r>
        <w:rPr>
          <w:rFonts w:ascii="宋体" w:hAnsi="宋体" w:cs="宋体" w:eastAsia="宋体" w:hint="default"/>
          <w:sz w:val="21"/>
          <w:szCs w:val="21"/>
        </w:rPr>
        <w:t>号”文《关于核 准厦门市美亚柏科信息股份有限公司首次公开发行股票并在创业板上市的批复》核准，本公司</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向社会公开发行 </w:t>
      </w:r>
      <w:r>
        <w:rPr>
          <w:rFonts w:ascii="Arial Narrow" w:hAnsi="Arial Narrow" w:cs="Arial Narrow" w:eastAsia="Arial Narrow" w:hint="default"/>
          <w:w w:val="99"/>
          <w:sz w:val="21"/>
          <w:szCs w:val="21"/>
        </w:rPr>
        <w:t>1,350 </w:t>
      </w:r>
      <w:r>
        <w:rPr>
          <w:rFonts w:ascii="宋体" w:hAnsi="宋体" w:cs="宋体" w:eastAsia="宋体" w:hint="default"/>
          <w:sz w:val="21"/>
          <w:szCs w:val="21"/>
        </w:rPr>
        <w:t>万股人民币普通股（</w:t>
      </w:r>
      <w:r>
        <w:rPr>
          <w:rFonts w:ascii="Arial Narrow" w:hAnsi="Arial Narrow" w:cs="Arial Narrow" w:eastAsia="Arial Narrow" w:hint="default"/>
          <w:sz w:val="21"/>
          <w:szCs w:val="21"/>
        </w:rPr>
        <w:t>A </w:t>
      </w:r>
      <w:r>
        <w:rPr>
          <w:rFonts w:ascii="宋体" w:hAnsi="宋体" w:cs="宋体" w:eastAsia="宋体" w:hint="default"/>
          <w:spacing w:val="-16"/>
          <w:sz w:val="21"/>
          <w:szCs w:val="21"/>
        </w:rPr>
        <w:t>股），每股面值</w:t>
      </w:r>
      <w:r>
        <w:rPr>
          <w:rFonts w:ascii="宋体" w:hAnsi="宋体" w:cs="宋体" w:eastAsia="宋体" w:hint="default"/>
          <w:sz w:val="21"/>
          <w:szCs w:val="21"/>
        </w:rPr>
        <w:t> </w:t>
      </w:r>
      <w:r>
        <w:rPr>
          <w:rFonts w:ascii="Arial Narrow" w:hAnsi="Arial Narrow" w:cs="Arial Narrow" w:eastAsia="Arial Narrow" w:hint="default"/>
          <w:w w:val="99"/>
          <w:sz w:val="21"/>
          <w:szCs w:val="21"/>
        </w:rPr>
        <w:t>1.00 </w:t>
      </w:r>
      <w:r>
        <w:rPr>
          <w:rFonts w:ascii="宋体" w:hAnsi="宋体" w:cs="宋体" w:eastAsia="宋体" w:hint="default"/>
          <w:spacing w:val="-1"/>
          <w:sz w:val="21"/>
          <w:szCs w:val="21"/>
        </w:rPr>
        <w:t>元，实际发行价格每股</w:t>
      </w:r>
      <w:r>
        <w:rPr>
          <w:rFonts w:ascii="宋体" w:hAnsi="宋体" w:cs="宋体" w:eastAsia="宋体" w:hint="default"/>
          <w:spacing w:val="56"/>
          <w:sz w:val="21"/>
          <w:szCs w:val="21"/>
        </w:rPr>
        <w:t> </w:t>
      </w:r>
      <w:r>
        <w:rPr>
          <w:rFonts w:ascii="Arial Narrow" w:hAnsi="Arial Narrow" w:cs="Arial Narrow" w:eastAsia="Arial Narrow" w:hint="default"/>
          <w:w w:val="99"/>
          <w:sz w:val="21"/>
          <w:szCs w:val="21"/>
        </w:rPr>
        <w:t>40.00</w:t>
      </w:r>
      <w:r>
        <w:rPr>
          <w:rFonts w:ascii="Arial Narrow" w:hAnsi="Arial Narrow" w:cs="Arial Narrow" w:eastAsia="Arial Narrow" w:hint="default"/>
          <w:sz w:val="21"/>
          <w:szCs w:val="21"/>
        </w:rPr>
      </w:r>
    </w:p>
    <w:p>
      <w:pPr>
        <w:spacing w:before="11"/>
        <w:ind w:left="219" w:right="0" w:firstLine="0"/>
        <w:jc w:val="left"/>
        <w:rPr>
          <w:rFonts w:ascii="宋体" w:hAnsi="宋体" w:cs="宋体" w:eastAsia="宋体" w:hint="default"/>
          <w:sz w:val="21"/>
          <w:szCs w:val="21"/>
        </w:rPr>
      </w:pPr>
      <w:r>
        <w:rPr>
          <w:rFonts w:ascii="宋体" w:hAnsi="宋体" w:cs="宋体" w:eastAsia="宋体" w:hint="default"/>
          <w:sz w:val="21"/>
          <w:szCs w:val="21"/>
        </w:rPr>
        <w:t>元，募集资金总额为人民币</w:t>
      </w:r>
      <w:r>
        <w:rPr>
          <w:rFonts w:ascii="宋体" w:hAnsi="宋体" w:cs="宋体" w:eastAsia="宋体" w:hint="default"/>
          <w:spacing w:val="-63"/>
          <w:sz w:val="21"/>
          <w:szCs w:val="21"/>
        </w:rPr>
        <w:t> </w:t>
      </w:r>
      <w:r>
        <w:rPr>
          <w:rFonts w:ascii="Arial Narrow" w:hAnsi="Arial Narrow" w:cs="Arial Narrow" w:eastAsia="Arial Narrow" w:hint="default"/>
          <w:sz w:val="21"/>
          <w:szCs w:val="21"/>
        </w:rPr>
        <w:t>540,000,000.00</w:t>
      </w:r>
      <w:r>
        <w:rPr>
          <w:rFonts w:ascii="Arial Narrow" w:hAnsi="Arial Narrow" w:cs="Arial Narrow" w:eastAsia="Arial Narrow" w:hint="default"/>
          <w:spacing w:val="-6"/>
          <w:sz w:val="21"/>
          <w:szCs w:val="21"/>
        </w:rPr>
        <w:t> </w:t>
      </w:r>
      <w:r>
        <w:rPr>
          <w:rFonts w:ascii="宋体" w:hAnsi="宋体" w:cs="宋体" w:eastAsia="宋体" w:hint="default"/>
          <w:sz w:val="21"/>
          <w:szCs w:val="21"/>
        </w:rPr>
        <w:t>元，由国信证券股份有限公司扣除证券承销费及保荐</w:t>
      </w:r>
    </w:p>
    <w:p>
      <w:pPr>
        <w:spacing w:before="120"/>
        <w:ind w:left="219" w:right="0" w:firstLine="0"/>
        <w:jc w:val="left"/>
        <w:rPr>
          <w:rFonts w:ascii="宋体" w:hAnsi="宋体" w:cs="宋体" w:eastAsia="宋体" w:hint="default"/>
          <w:sz w:val="21"/>
          <w:szCs w:val="21"/>
        </w:rPr>
      </w:pPr>
      <w:r>
        <w:rPr>
          <w:rFonts w:ascii="宋体" w:hAnsi="宋体" w:cs="宋体" w:eastAsia="宋体" w:hint="default"/>
          <w:spacing w:val="4"/>
          <w:sz w:val="21"/>
          <w:szCs w:val="21"/>
        </w:rPr>
        <w:t>费等发行费用 </w:t>
      </w:r>
      <w:r>
        <w:rPr>
          <w:rFonts w:ascii="Arial Narrow" w:hAnsi="Arial Narrow" w:cs="Arial Narrow" w:eastAsia="Arial Narrow" w:hint="default"/>
          <w:sz w:val="21"/>
          <w:szCs w:val="21"/>
        </w:rPr>
        <w:t>32,600,000.00 </w:t>
      </w:r>
      <w:r>
        <w:rPr>
          <w:rFonts w:ascii="Arial Narrow" w:hAnsi="Arial Narrow" w:cs="Arial Narrow" w:eastAsia="Arial Narrow" w:hint="default"/>
          <w:spacing w:val="21"/>
          <w:sz w:val="21"/>
          <w:szCs w:val="21"/>
        </w:rPr>
        <w:t> </w:t>
      </w:r>
      <w:r>
        <w:rPr>
          <w:rFonts w:ascii="宋体" w:hAnsi="宋体" w:cs="宋体" w:eastAsia="宋体" w:hint="default"/>
          <w:spacing w:val="5"/>
          <w:sz w:val="21"/>
          <w:szCs w:val="21"/>
        </w:rPr>
        <w:t>元后，汇入本公司在银行开立的专用账户资金净额为人民币余额</w:t>
      </w:r>
      <w:r>
        <w:rPr>
          <w:rFonts w:ascii="宋体" w:hAnsi="宋体" w:cs="宋体" w:eastAsia="宋体" w:hint="default"/>
          <w:sz w:val="21"/>
          <w:szCs w:val="21"/>
        </w:rPr>
      </w:r>
    </w:p>
    <w:p>
      <w:pPr>
        <w:spacing w:before="118"/>
        <w:ind w:left="219" w:right="0" w:firstLine="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507,400,000.00 </w:t>
      </w:r>
      <w:r>
        <w:rPr>
          <w:rFonts w:ascii="宋体" w:hAnsi="宋体" w:cs="宋体" w:eastAsia="宋体" w:hint="default"/>
          <w:sz w:val="21"/>
          <w:szCs w:val="21"/>
        </w:rPr>
        <w:t>元，经本公司扣除自行支付的中介机构费和其他发行相关费用人民币</w:t>
      </w:r>
      <w:r>
        <w:rPr>
          <w:rFonts w:ascii="宋体" w:hAnsi="宋体" w:cs="宋体" w:eastAsia="宋体" w:hint="default"/>
          <w:spacing w:val="-23"/>
          <w:sz w:val="21"/>
          <w:szCs w:val="21"/>
        </w:rPr>
        <w:t> </w:t>
      </w:r>
      <w:r>
        <w:rPr>
          <w:rFonts w:ascii="Arial Narrow" w:hAnsi="Arial Narrow" w:cs="Arial Narrow" w:eastAsia="Arial Narrow" w:hint="default"/>
          <w:sz w:val="21"/>
          <w:szCs w:val="21"/>
        </w:rPr>
        <w:t>5,993,965.00</w:t>
      </w:r>
    </w:p>
    <w:p>
      <w:pPr>
        <w:spacing w:before="118"/>
        <w:ind w:left="220" w:right="0" w:firstLine="0"/>
        <w:jc w:val="left"/>
        <w:rPr>
          <w:rFonts w:ascii="宋体" w:hAnsi="宋体" w:cs="宋体" w:eastAsia="宋体" w:hint="default"/>
          <w:sz w:val="21"/>
          <w:szCs w:val="21"/>
        </w:rPr>
      </w:pPr>
      <w:r>
        <w:rPr>
          <w:rFonts w:ascii="宋体" w:hAnsi="宋体" w:cs="宋体" w:eastAsia="宋体" w:hint="default"/>
          <w:spacing w:val="-3"/>
          <w:sz w:val="21"/>
          <w:szCs w:val="21"/>
        </w:rPr>
        <w:t>元后，实际募集资金净额为人民币</w:t>
      </w:r>
      <w:r>
        <w:rPr>
          <w:rFonts w:ascii="宋体" w:hAnsi="宋体" w:cs="宋体" w:eastAsia="宋体" w:hint="default"/>
          <w:spacing w:val="-52"/>
          <w:sz w:val="21"/>
          <w:szCs w:val="21"/>
        </w:rPr>
        <w:t> </w:t>
      </w:r>
      <w:r>
        <w:rPr>
          <w:rFonts w:ascii="Arial Narrow" w:hAnsi="Arial Narrow" w:cs="Arial Narrow" w:eastAsia="Arial Narrow" w:hint="default"/>
          <w:sz w:val="21"/>
          <w:szCs w:val="21"/>
        </w:rPr>
        <w:t>501,406,035.00</w:t>
      </w:r>
      <w:r>
        <w:rPr>
          <w:rFonts w:ascii="Arial Narrow" w:hAnsi="Arial Narrow" w:cs="Arial Narrow" w:eastAsia="Arial Narrow" w:hint="default"/>
          <w:spacing w:val="5"/>
          <w:sz w:val="21"/>
          <w:szCs w:val="21"/>
        </w:rPr>
        <w:t> </w:t>
      </w:r>
      <w:r>
        <w:rPr>
          <w:rFonts w:ascii="宋体" w:hAnsi="宋体" w:cs="宋体" w:eastAsia="宋体" w:hint="default"/>
          <w:spacing w:val="-3"/>
          <w:sz w:val="21"/>
          <w:szCs w:val="21"/>
        </w:rPr>
        <w:t>元，其中新增注册资本人民币</w:t>
      </w:r>
      <w:r>
        <w:rPr>
          <w:rFonts w:ascii="宋体" w:hAnsi="宋体" w:cs="宋体" w:eastAsia="宋体" w:hint="default"/>
          <w:spacing w:val="-52"/>
          <w:sz w:val="21"/>
          <w:szCs w:val="21"/>
        </w:rPr>
        <w:t> </w:t>
      </w:r>
      <w:r>
        <w:rPr>
          <w:rFonts w:ascii="Arial Narrow" w:hAnsi="Arial Narrow" w:cs="Arial Narrow" w:eastAsia="Arial Narrow" w:hint="default"/>
          <w:sz w:val="21"/>
          <w:szCs w:val="21"/>
        </w:rPr>
        <w:t>13,500,000.00</w:t>
      </w:r>
      <w:r>
        <w:rPr>
          <w:rFonts w:ascii="Arial Narrow" w:hAnsi="Arial Narrow" w:cs="Arial Narrow" w:eastAsia="Arial Narrow" w:hint="default"/>
          <w:spacing w:val="6"/>
          <w:sz w:val="21"/>
          <w:szCs w:val="21"/>
        </w:rPr>
        <w:t> </w:t>
      </w:r>
      <w:r>
        <w:rPr>
          <w:rFonts w:ascii="宋体" w:hAnsi="宋体" w:cs="宋体" w:eastAsia="宋体" w:hint="default"/>
          <w:sz w:val="21"/>
          <w:szCs w:val="21"/>
        </w:rPr>
        <w:t>元，</w:t>
      </w:r>
    </w:p>
    <w:p>
      <w:pPr>
        <w:spacing w:before="120"/>
        <w:ind w:left="219" w:right="0" w:firstLine="0"/>
        <w:jc w:val="left"/>
        <w:rPr>
          <w:rFonts w:ascii="宋体" w:hAnsi="宋体" w:cs="宋体" w:eastAsia="宋体" w:hint="default"/>
          <w:sz w:val="21"/>
          <w:szCs w:val="21"/>
        </w:rPr>
      </w:pPr>
      <w:r>
        <w:rPr>
          <w:rFonts w:ascii="宋体" w:hAnsi="宋体" w:cs="宋体" w:eastAsia="宋体" w:hint="default"/>
          <w:sz w:val="21"/>
          <w:szCs w:val="21"/>
        </w:rPr>
        <w:t>余额计人民币</w:t>
      </w:r>
      <w:r>
        <w:rPr>
          <w:rFonts w:ascii="宋体" w:hAnsi="宋体" w:cs="宋体" w:eastAsia="宋体" w:hint="default"/>
          <w:spacing w:val="-57"/>
          <w:sz w:val="21"/>
          <w:szCs w:val="21"/>
        </w:rPr>
        <w:t> </w:t>
      </w:r>
      <w:r>
        <w:rPr>
          <w:rFonts w:ascii="Arial Narrow" w:hAnsi="Arial Narrow" w:cs="Arial Narrow" w:eastAsia="Arial Narrow" w:hint="default"/>
          <w:sz w:val="21"/>
          <w:szCs w:val="21"/>
        </w:rPr>
        <w:t>487,906,035.00</w:t>
      </w:r>
      <w:r>
        <w:rPr>
          <w:rFonts w:ascii="Arial Narrow" w:hAnsi="Arial Narrow" w:cs="Arial Narrow" w:eastAsia="Arial Narrow" w:hint="default"/>
          <w:spacing w:val="1"/>
          <w:sz w:val="21"/>
          <w:szCs w:val="21"/>
        </w:rPr>
        <w:t> </w:t>
      </w:r>
      <w:r>
        <w:rPr>
          <w:rFonts w:ascii="宋体" w:hAnsi="宋体" w:cs="宋体" w:eastAsia="宋体" w:hint="default"/>
          <w:sz w:val="21"/>
          <w:szCs w:val="21"/>
        </w:rPr>
        <w:t>元转入资本公积。</w:t>
      </w:r>
    </w:p>
    <w:p>
      <w:pPr>
        <w:tabs>
          <w:tab w:pos="1899" w:val="left" w:leader="none"/>
        </w:tabs>
        <w:spacing w:line="410" w:lineRule="auto" w:before="178"/>
        <w:ind w:left="639" w:right="5308" w:firstLine="0"/>
        <w:jc w:val="left"/>
        <w:rPr>
          <w:rFonts w:ascii="宋体" w:hAnsi="宋体" w:cs="宋体" w:eastAsia="宋体" w:hint="default"/>
          <w:sz w:val="21"/>
          <w:szCs w:val="21"/>
        </w:rPr>
      </w:pPr>
      <w:r>
        <w:rPr>
          <w:rFonts w:ascii="宋体" w:hAnsi="宋体" w:cs="宋体" w:eastAsia="宋体" w:hint="default"/>
          <w:b/>
          <w:bCs/>
          <w:w w:val="95"/>
          <w:sz w:val="21"/>
          <w:szCs w:val="21"/>
        </w:rPr>
        <w:t>（二十三）</w:t>
        <w:tab/>
      </w:r>
      <w:r>
        <w:rPr>
          <w:rFonts w:ascii="宋体" w:hAnsi="宋体" w:cs="宋体" w:eastAsia="宋体" w:hint="default"/>
          <w:b/>
          <w:bCs/>
          <w:sz w:val="21"/>
          <w:szCs w:val="21"/>
        </w:rPr>
        <w:t>盈余公积</w:t>
      </w:r>
      <w:r>
        <w:rPr>
          <w:rFonts w:ascii="宋体" w:hAnsi="宋体" w:cs="宋体" w:eastAsia="宋体" w:hint="default"/>
          <w:b/>
          <w:bCs/>
          <w:spacing w:val="1"/>
          <w:w w:val="99"/>
          <w:sz w:val="21"/>
          <w:szCs w:val="21"/>
        </w:rPr>
        <w:t> </w:t>
      </w:r>
      <w:r>
        <w:rPr>
          <w:rFonts w:ascii="宋体" w:hAnsi="宋体" w:cs="宋体" w:eastAsia="宋体" w:hint="default"/>
          <w:sz w:val="21"/>
          <w:szCs w:val="21"/>
        </w:rPr>
        <w:t>本年盈余公积变动情况列示如下：</w:t>
      </w:r>
    </w:p>
    <w:p>
      <w:pPr>
        <w:spacing w:line="240" w:lineRule="auto" w:before="0"/>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2357"/>
        <w:gridCol w:w="1746"/>
        <w:gridCol w:w="1608"/>
        <w:gridCol w:w="1603"/>
        <w:gridCol w:w="1530"/>
      </w:tblGrid>
      <w:tr>
        <w:trPr>
          <w:trHeight w:val="341" w:hRule="exact"/>
        </w:trPr>
        <w:tc>
          <w:tcPr>
            <w:tcW w:w="235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959"/>
              <w:jc w:val="right"/>
              <w:rPr>
                <w:rFonts w:ascii="宋体" w:hAnsi="宋体" w:cs="宋体" w:eastAsia="宋体" w:hint="default"/>
                <w:sz w:val="21"/>
                <w:szCs w:val="21"/>
              </w:rPr>
            </w:pPr>
            <w:r>
              <w:rPr>
                <w:rFonts w:ascii="宋体" w:hAnsi="宋体" w:cs="宋体" w:eastAsia="宋体" w:hint="default"/>
                <w:sz w:val="21"/>
                <w:szCs w:val="21"/>
              </w:rPr>
              <w:t>项目</w:t>
            </w:r>
          </w:p>
        </w:tc>
        <w:tc>
          <w:tcPr>
            <w:tcW w:w="174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35"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160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71"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60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68" w:right="0"/>
              <w:jc w:val="left"/>
              <w:rPr>
                <w:rFonts w:ascii="宋体" w:hAnsi="宋体" w:cs="宋体" w:eastAsia="宋体" w:hint="default"/>
                <w:sz w:val="21"/>
                <w:szCs w:val="21"/>
              </w:rPr>
            </w:pPr>
            <w:r>
              <w:rPr>
                <w:rFonts w:ascii="宋体" w:hAnsi="宋体" w:cs="宋体" w:eastAsia="宋体" w:hint="default"/>
                <w:sz w:val="21"/>
                <w:szCs w:val="21"/>
              </w:rPr>
              <w:t>本年减少额</w:t>
            </w:r>
          </w:p>
        </w:tc>
        <w:tc>
          <w:tcPr>
            <w:tcW w:w="153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126"/>
              <w:jc w:val="righ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83" w:hRule="exact"/>
        </w:trPr>
        <w:tc>
          <w:tcPr>
            <w:tcW w:w="23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79"/>
              <w:jc w:val="right"/>
              <w:rPr>
                <w:rFonts w:ascii="宋体" w:hAnsi="宋体" w:cs="宋体" w:eastAsia="宋体" w:hint="default"/>
                <w:sz w:val="21"/>
                <w:szCs w:val="21"/>
              </w:rPr>
            </w:pPr>
            <w:r>
              <w:rPr>
                <w:rFonts w:ascii="宋体" w:hAnsi="宋体" w:cs="宋体" w:eastAsia="宋体" w:hint="default"/>
                <w:sz w:val="21"/>
                <w:szCs w:val="21"/>
              </w:rPr>
              <w:t>法定盈余公积</w:t>
            </w:r>
          </w:p>
        </w:tc>
        <w:tc>
          <w:tcPr>
            <w:tcW w:w="1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623" w:right="0"/>
              <w:jc w:val="left"/>
              <w:rPr>
                <w:rFonts w:ascii="Arial Narrow" w:hAnsi="Arial Narrow" w:cs="Arial Narrow" w:eastAsia="Arial Narrow" w:hint="default"/>
                <w:sz w:val="21"/>
                <w:szCs w:val="21"/>
              </w:rPr>
            </w:pPr>
            <w:r>
              <w:rPr>
                <w:rFonts w:ascii="Arial Narrow"/>
                <w:sz w:val="21"/>
              </w:rPr>
              <w:t>2,188,756.36</w:t>
            </w:r>
          </w:p>
        </w:tc>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87" w:right="0"/>
              <w:jc w:val="left"/>
              <w:rPr>
                <w:rFonts w:ascii="Arial Narrow" w:hAnsi="Arial Narrow" w:cs="Arial Narrow" w:eastAsia="Arial Narrow" w:hint="default"/>
                <w:sz w:val="21"/>
                <w:szCs w:val="21"/>
              </w:rPr>
            </w:pPr>
            <w:r>
              <w:rPr>
                <w:rFonts w:ascii="Arial Narrow"/>
                <w:sz w:val="21"/>
              </w:rPr>
              <w:t>6,009,229.32</w:t>
            </w:r>
          </w:p>
        </w:tc>
        <w:tc>
          <w:tcPr>
            <w:tcW w:w="1603"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7"/>
              <w:jc w:val="right"/>
              <w:rPr>
                <w:rFonts w:ascii="Arial Narrow" w:hAnsi="Arial Narrow" w:cs="Arial Narrow" w:eastAsia="Arial Narrow" w:hint="default"/>
                <w:sz w:val="21"/>
                <w:szCs w:val="21"/>
              </w:rPr>
            </w:pPr>
            <w:r>
              <w:rPr>
                <w:rFonts w:ascii="Arial Narrow"/>
                <w:spacing w:val="-1"/>
                <w:sz w:val="21"/>
              </w:rPr>
              <w:t>12,338,591.73</w:t>
            </w:r>
          </w:p>
        </w:tc>
      </w:tr>
    </w:tbl>
    <w:p>
      <w:pPr>
        <w:spacing w:line="255" w:lineRule="exact" w:before="0"/>
        <w:ind w:left="640" w:right="0" w:firstLine="0"/>
        <w:jc w:val="left"/>
        <w:rPr>
          <w:rFonts w:ascii="宋体" w:hAnsi="宋体" w:cs="宋体" w:eastAsia="宋体" w:hint="default"/>
          <w:sz w:val="21"/>
          <w:szCs w:val="21"/>
        </w:rPr>
      </w:pPr>
      <w:r>
        <w:rPr>
          <w:rFonts w:ascii="宋体" w:hAnsi="宋体" w:cs="宋体" w:eastAsia="宋体" w:hint="default"/>
          <w:sz w:val="21"/>
          <w:szCs w:val="21"/>
        </w:rPr>
        <w:t>注：本年度盈余公积增加数系母公司根据本年度实现的净利润的</w:t>
      </w:r>
      <w:r>
        <w:rPr>
          <w:rFonts w:ascii="宋体" w:hAnsi="宋体" w:cs="宋体" w:eastAsia="宋体" w:hint="default"/>
          <w:spacing w:val="-55"/>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％提取法定盈余公积。</w:t>
      </w:r>
    </w:p>
    <w:p>
      <w:pPr>
        <w:spacing w:line="240" w:lineRule="auto" w:before="3"/>
        <w:rPr>
          <w:rFonts w:ascii="宋体" w:hAnsi="宋体" w:cs="宋体" w:eastAsia="宋体" w:hint="default"/>
          <w:sz w:val="18"/>
          <w:szCs w:val="18"/>
        </w:rPr>
      </w:pPr>
    </w:p>
    <w:p>
      <w:pPr>
        <w:tabs>
          <w:tab w:pos="1899" w:val="left" w:leader="none"/>
        </w:tabs>
        <w:spacing w:line="410" w:lineRule="auto" w:before="0"/>
        <w:ind w:left="639" w:right="5098" w:firstLine="0"/>
        <w:jc w:val="left"/>
        <w:rPr>
          <w:rFonts w:ascii="宋体" w:hAnsi="宋体" w:cs="宋体" w:eastAsia="宋体" w:hint="default"/>
          <w:sz w:val="21"/>
          <w:szCs w:val="21"/>
        </w:rPr>
      </w:pPr>
      <w:r>
        <w:rPr>
          <w:rFonts w:ascii="宋体" w:hAnsi="宋体" w:cs="宋体" w:eastAsia="宋体" w:hint="default"/>
          <w:b/>
          <w:bCs/>
          <w:w w:val="95"/>
          <w:sz w:val="21"/>
          <w:szCs w:val="21"/>
        </w:rPr>
        <w:t>（二十四）</w:t>
        <w:tab/>
      </w:r>
      <w:r>
        <w:rPr>
          <w:rFonts w:ascii="宋体" w:hAnsi="宋体" w:cs="宋体" w:eastAsia="宋体" w:hint="default"/>
          <w:b/>
          <w:bCs/>
          <w:sz w:val="21"/>
          <w:szCs w:val="21"/>
        </w:rPr>
        <w:t>未分配利润</w:t>
      </w:r>
      <w:r>
        <w:rPr>
          <w:rFonts w:ascii="宋体" w:hAnsi="宋体" w:cs="宋体" w:eastAsia="宋体" w:hint="default"/>
          <w:b/>
          <w:bCs/>
          <w:w w:val="99"/>
          <w:sz w:val="21"/>
          <w:szCs w:val="21"/>
        </w:rPr>
        <w:t> </w:t>
      </w:r>
      <w:r>
        <w:rPr>
          <w:rFonts w:ascii="宋体" w:hAnsi="宋体" w:cs="宋体" w:eastAsia="宋体" w:hint="default"/>
          <w:sz w:val="21"/>
          <w:szCs w:val="21"/>
        </w:rPr>
        <w:t>未分配利润增减变动情况列示如下：</w:t>
      </w:r>
    </w:p>
    <w:tbl>
      <w:tblPr>
        <w:tblW w:w="0" w:type="auto"/>
        <w:jc w:val="left"/>
        <w:tblInd w:w="110" w:type="dxa"/>
        <w:tblLayout w:type="fixed"/>
        <w:tblCellMar>
          <w:top w:w="0" w:type="dxa"/>
          <w:left w:w="0" w:type="dxa"/>
          <w:bottom w:w="0" w:type="dxa"/>
          <w:right w:w="0" w:type="dxa"/>
        </w:tblCellMar>
        <w:tblLook w:val="01E0"/>
      </w:tblPr>
      <w:tblGrid>
        <w:gridCol w:w="4362"/>
        <w:gridCol w:w="2242"/>
        <w:gridCol w:w="2240"/>
      </w:tblGrid>
      <w:tr>
        <w:trPr>
          <w:trHeight w:val="406" w:hRule="exact"/>
        </w:trPr>
        <w:tc>
          <w:tcPr>
            <w:tcW w:w="436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24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587"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2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587"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408"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上年年末未分配利润</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49,172,370.51</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6"/>
              <w:jc w:val="right"/>
              <w:rPr>
                <w:rFonts w:ascii="Arial Narrow" w:hAnsi="Arial Narrow" w:cs="Arial Narrow" w:eastAsia="Arial Narrow" w:hint="default"/>
                <w:sz w:val="21"/>
                <w:szCs w:val="21"/>
              </w:rPr>
            </w:pPr>
            <w:r>
              <w:rPr>
                <w:rFonts w:ascii="Arial Narrow"/>
                <w:spacing w:val="-1"/>
                <w:sz w:val="21"/>
              </w:rPr>
              <w:t>18,267,406.09</w:t>
            </w:r>
          </w:p>
        </w:tc>
      </w:tr>
      <w:tr>
        <w:trPr>
          <w:trHeight w:val="407"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left="206" w:right="0"/>
              <w:jc w:val="left"/>
              <w:rPr>
                <w:rFonts w:ascii="宋体" w:hAnsi="宋体" w:cs="宋体" w:eastAsia="宋体" w:hint="default"/>
                <w:sz w:val="21"/>
                <w:szCs w:val="21"/>
              </w:rPr>
            </w:pPr>
            <w:r>
              <w:rPr>
                <w:rFonts w:ascii="宋体" w:hAnsi="宋体" w:cs="宋体" w:eastAsia="宋体" w:hint="default"/>
                <w:sz w:val="21"/>
                <w:szCs w:val="21"/>
              </w:rPr>
              <w:t>加：年初未分配利润调整数（调减“</w:t>
            </w:r>
            <w:r>
              <w:rPr>
                <w:rFonts w:ascii="Arial Narrow" w:hAnsi="Arial Narrow" w:cs="Arial Narrow" w:eastAsia="Arial Narrow" w:hint="default"/>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Arial Narrow" w:hAnsi="Arial Narrow" w:cs="Arial Narrow" w:eastAsia="Arial Narrow" w:hint="default"/>
                <w:sz w:val="21"/>
                <w:szCs w:val="21"/>
              </w:rPr>
            </w:pPr>
            <w:r>
              <w:rPr>
                <w:rFonts w:ascii="Arial Narrow"/>
                <w:sz w:val="21"/>
              </w:rPr>
              <w:t>-</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z w:val="21"/>
              </w:rPr>
              <w:t>-</w:t>
            </w:r>
          </w:p>
        </w:tc>
      </w:tr>
      <w:tr>
        <w:trPr>
          <w:trHeight w:val="407"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本年年初未分配利润</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49,172,370.51</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6"/>
              <w:jc w:val="right"/>
              <w:rPr>
                <w:rFonts w:ascii="Arial Narrow" w:hAnsi="Arial Narrow" w:cs="Arial Narrow" w:eastAsia="Arial Narrow" w:hint="default"/>
                <w:sz w:val="21"/>
                <w:szCs w:val="21"/>
              </w:rPr>
            </w:pPr>
            <w:r>
              <w:rPr>
                <w:rFonts w:ascii="Arial Narrow"/>
                <w:spacing w:val="-1"/>
                <w:sz w:val="21"/>
              </w:rPr>
              <w:t>18,267,406.09</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6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4362"/>
        <w:gridCol w:w="2242"/>
        <w:gridCol w:w="2240"/>
      </w:tblGrid>
      <w:tr>
        <w:trPr>
          <w:trHeight w:val="407"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hAnsi="宋体" w:cs="宋体" w:eastAsia="宋体" w:hint="default"/>
                <w:sz w:val="21"/>
                <w:szCs w:val="21"/>
              </w:rPr>
              <w:t>加：本年归属于母公司所有者的净利润</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61,504,981.78</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6"/>
              <w:jc w:val="right"/>
              <w:rPr>
                <w:rFonts w:ascii="Arial Narrow" w:hAnsi="Arial Narrow" w:cs="Arial Narrow" w:eastAsia="Arial Narrow" w:hint="default"/>
                <w:sz w:val="21"/>
                <w:szCs w:val="21"/>
              </w:rPr>
            </w:pPr>
            <w:r>
              <w:rPr>
                <w:rFonts w:ascii="Arial Narrow"/>
                <w:spacing w:val="-1"/>
                <w:sz w:val="21"/>
              </w:rPr>
              <w:t>41,045,570.47</w:t>
            </w:r>
          </w:p>
        </w:tc>
      </w:tr>
      <w:tr>
        <w:trPr>
          <w:trHeight w:val="408"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hAnsi="宋体" w:cs="宋体" w:eastAsia="宋体" w:hint="default"/>
                <w:sz w:val="21"/>
                <w:szCs w:val="21"/>
              </w:rPr>
              <w:t>加：其他</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Arial Narrow" w:hAnsi="Arial Narrow" w:cs="Arial Narrow" w:eastAsia="Arial Narrow" w:hint="default"/>
                <w:sz w:val="21"/>
                <w:szCs w:val="21"/>
              </w:rPr>
            </w:pPr>
            <w:r>
              <w:rPr>
                <w:rFonts w:ascii="Arial Narrow"/>
                <w:sz w:val="21"/>
              </w:rPr>
              <w:t>-</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z w:val="21"/>
              </w:rPr>
              <w:t>-</w:t>
            </w:r>
          </w:p>
        </w:tc>
      </w:tr>
      <w:tr>
        <w:trPr>
          <w:trHeight w:val="407"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6"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7"/>
              <w:jc w:val="right"/>
              <w:rPr>
                <w:rFonts w:ascii="Arial Narrow" w:hAnsi="Arial Narrow" w:cs="Arial Narrow" w:eastAsia="Arial Narrow" w:hint="default"/>
                <w:sz w:val="21"/>
                <w:szCs w:val="21"/>
              </w:rPr>
            </w:pPr>
            <w:r>
              <w:rPr>
                <w:rFonts w:ascii="Arial Narrow"/>
                <w:spacing w:val="-1"/>
                <w:sz w:val="21"/>
              </w:rPr>
              <w:t>6,009,229.32</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4,140,606.05</w:t>
            </w:r>
          </w:p>
        </w:tc>
      </w:tr>
      <w:tr>
        <w:trPr>
          <w:trHeight w:val="408"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26"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9"/>
              <w:jc w:val="right"/>
              <w:rPr>
                <w:rFonts w:ascii="Arial Narrow" w:hAnsi="Arial Narrow" w:cs="Arial Narrow" w:eastAsia="Arial Narrow" w:hint="default"/>
                <w:sz w:val="21"/>
                <w:szCs w:val="21"/>
              </w:rPr>
            </w:pPr>
            <w:r>
              <w:rPr>
                <w:rFonts w:ascii="Arial Narrow"/>
                <w:sz w:val="21"/>
              </w:rPr>
              <w:t>-</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6,000,000.00</w:t>
            </w:r>
          </w:p>
        </w:tc>
      </w:tr>
      <w:tr>
        <w:trPr>
          <w:trHeight w:val="407" w:hRule="exact"/>
        </w:trPr>
        <w:tc>
          <w:tcPr>
            <w:tcW w:w="43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年末未分配利润</w:t>
            </w:r>
          </w:p>
        </w:tc>
        <w:tc>
          <w:tcPr>
            <w:tcW w:w="2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104,668,122.97</w:t>
            </w:r>
          </w:p>
        </w:tc>
        <w:tc>
          <w:tcPr>
            <w:tcW w:w="2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6"/>
              <w:jc w:val="right"/>
              <w:rPr>
                <w:rFonts w:ascii="Arial Narrow" w:hAnsi="Arial Narrow" w:cs="Arial Narrow" w:eastAsia="Arial Narrow" w:hint="default"/>
                <w:sz w:val="21"/>
                <w:szCs w:val="21"/>
              </w:rPr>
            </w:pPr>
            <w:r>
              <w:rPr>
                <w:rFonts w:ascii="Arial Narrow"/>
                <w:spacing w:val="-1"/>
                <w:sz w:val="21"/>
              </w:rPr>
              <w:t>49,172,370.51</w:t>
            </w:r>
          </w:p>
        </w:tc>
      </w:tr>
    </w:tbl>
    <w:p>
      <w:pPr>
        <w:tabs>
          <w:tab w:pos="1899" w:val="left" w:leader="none"/>
        </w:tabs>
        <w:spacing w:before="27"/>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（二十五）</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、营业收入、营业成本明细项目列示如下：</w:t>
      </w:r>
    </w:p>
    <w:p>
      <w:pPr>
        <w:spacing w:line="240" w:lineRule="auto" w:before="12"/>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4106"/>
        <w:gridCol w:w="2369"/>
        <w:gridCol w:w="2369"/>
      </w:tblGrid>
      <w:tr>
        <w:trPr>
          <w:trHeight w:val="329" w:hRule="exact"/>
        </w:trPr>
        <w:tc>
          <w:tcPr>
            <w:tcW w:w="410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525" w:val="left" w:leader="none"/>
              </w:tabs>
              <w:spacing w:line="240" w:lineRule="auto" w:before="7"/>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6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7"/>
              <w:ind w:left="651"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36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7"/>
              <w:ind w:left="651"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35" w:hRule="exact"/>
        </w:trPr>
        <w:tc>
          <w:tcPr>
            <w:tcW w:w="4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7"/>
              <w:jc w:val="right"/>
              <w:rPr>
                <w:rFonts w:ascii="Arial Narrow" w:hAnsi="Arial Narrow" w:cs="Arial Narrow" w:eastAsia="Arial Narrow" w:hint="default"/>
                <w:sz w:val="21"/>
                <w:szCs w:val="21"/>
              </w:rPr>
            </w:pPr>
            <w:r>
              <w:rPr>
                <w:rFonts w:ascii="Arial Narrow"/>
                <w:spacing w:val="-1"/>
                <w:sz w:val="21"/>
              </w:rPr>
              <w:t>268,515,584.75</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7"/>
              <w:jc w:val="right"/>
              <w:rPr>
                <w:rFonts w:ascii="Arial Narrow" w:hAnsi="Arial Narrow" w:cs="Arial Narrow" w:eastAsia="Arial Narrow" w:hint="default"/>
                <w:sz w:val="21"/>
                <w:szCs w:val="21"/>
              </w:rPr>
            </w:pPr>
            <w:r>
              <w:rPr>
                <w:rFonts w:ascii="Arial Narrow"/>
                <w:spacing w:val="-1"/>
                <w:sz w:val="21"/>
              </w:rPr>
              <w:t>187,996,001.19</w:t>
            </w:r>
          </w:p>
        </w:tc>
      </w:tr>
      <w:tr>
        <w:trPr>
          <w:trHeight w:val="332" w:hRule="exact"/>
        </w:trPr>
        <w:tc>
          <w:tcPr>
            <w:tcW w:w="4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310" w:right="0"/>
              <w:jc w:val="left"/>
              <w:rPr>
                <w:rFonts w:ascii="宋体" w:hAnsi="宋体" w:cs="宋体" w:eastAsia="宋体" w:hint="default"/>
                <w:sz w:val="21"/>
                <w:szCs w:val="21"/>
              </w:rPr>
            </w:pPr>
            <w:r>
              <w:rPr>
                <w:rFonts w:ascii="宋体" w:hAnsi="宋体" w:cs="宋体" w:eastAsia="宋体" w:hint="default"/>
                <w:sz w:val="21"/>
                <w:szCs w:val="21"/>
              </w:rPr>
              <w:t>其中：主营业务收入</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268,515,584.75</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187,996,001.19</w:t>
            </w:r>
          </w:p>
        </w:tc>
      </w:tr>
      <w:tr>
        <w:trPr>
          <w:trHeight w:val="334" w:hRule="exact"/>
        </w:trPr>
        <w:tc>
          <w:tcPr>
            <w:tcW w:w="4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98,071,682.24</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81,263,144.09</w:t>
            </w:r>
          </w:p>
        </w:tc>
      </w:tr>
      <w:tr>
        <w:trPr>
          <w:trHeight w:val="332" w:hRule="exact"/>
        </w:trPr>
        <w:tc>
          <w:tcPr>
            <w:tcW w:w="4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310" w:right="0"/>
              <w:jc w:val="left"/>
              <w:rPr>
                <w:rFonts w:ascii="宋体" w:hAnsi="宋体" w:cs="宋体" w:eastAsia="宋体" w:hint="default"/>
                <w:sz w:val="21"/>
                <w:szCs w:val="21"/>
              </w:rPr>
            </w:pPr>
            <w:r>
              <w:rPr>
                <w:rFonts w:ascii="宋体" w:hAnsi="宋体" w:cs="宋体" w:eastAsia="宋体" w:hint="default"/>
                <w:sz w:val="21"/>
                <w:szCs w:val="21"/>
              </w:rPr>
              <w:t>其中：主营业务成本</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98,071,682.24</w:t>
            </w:r>
          </w:p>
        </w:tc>
        <w:tc>
          <w:tcPr>
            <w:tcW w:w="2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97"/>
              <w:jc w:val="right"/>
              <w:rPr>
                <w:rFonts w:ascii="Arial Narrow" w:hAnsi="Arial Narrow" w:cs="Arial Narrow" w:eastAsia="Arial Narrow" w:hint="default"/>
                <w:sz w:val="21"/>
                <w:szCs w:val="21"/>
              </w:rPr>
            </w:pPr>
            <w:r>
              <w:rPr>
                <w:rFonts w:ascii="Arial Narrow"/>
                <w:spacing w:val="-1"/>
                <w:sz w:val="21"/>
              </w:rPr>
              <w:t>81,263,144.09</w:t>
            </w:r>
          </w:p>
        </w:tc>
      </w:tr>
    </w:tbl>
    <w:p>
      <w:pPr>
        <w:spacing w:line="257" w:lineRule="exact"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注：本年度营业收入较上年度增长</w:t>
      </w:r>
      <w:r>
        <w:rPr>
          <w:rFonts w:ascii="宋体" w:hAnsi="宋体" w:cs="宋体" w:eastAsia="宋体" w:hint="default"/>
          <w:spacing w:val="-54"/>
          <w:sz w:val="21"/>
          <w:szCs w:val="21"/>
        </w:rPr>
        <w:t> </w:t>
      </w:r>
      <w:r>
        <w:rPr>
          <w:rFonts w:ascii="Arial Narrow" w:hAnsi="Arial Narrow" w:cs="Arial Narrow" w:eastAsia="Arial Narrow" w:hint="default"/>
          <w:sz w:val="21"/>
          <w:szCs w:val="21"/>
        </w:rPr>
        <w:t>42.83%</w:t>
      </w:r>
      <w:r>
        <w:rPr>
          <w:rFonts w:ascii="宋体" w:hAnsi="宋体" w:cs="宋体" w:eastAsia="宋体" w:hint="default"/>
          <w:sz w:val="21"/>
          <w:szCs w:val="21"/>
        </w:rPr>
        <w:t>，主要系本公司经营规模扩大所致。</w:t>
      </w:r>
    </w:p>
    <w:p>
      <w:pPr>
        <w:spacing w:before="118"/>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、营业收入按业务类别列示如下：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2460"/>
        <w:gridCol w:w="1652"/>
        <w:gridCol w:w="1541"/>
        <w:gridCol w:w="1652"/>
        <w:gridCol w:w="1538"/>
      </w:tblGrid>
      <w:tr>
        <w:trPr>
          <w:trHeight w:val="408" w:hRule="exact"/>
        </w:trPr>
        <w:tc>
          <w:tcPr>
            <w:tcW w:w="246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802"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19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3191"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26" w:hRule="exact"/>
        </w:trPr>
        <w:tc>
          <w:tcPr>
            <w:tcW w:w="2460" w:type="dxa"/>
            <w:vMerge/>
            <w:tcBorders>
              <w:left w:val="single" w:sz="6" w:space="0" w:color="000000"/>
              <w:bottom w:val="single" w:sz="6" w:space="0" w:color="000000"/>
              <w:right w:val="single" w:sz="6" w:space="0" w:color="000000"/>
            </w:tcBorders>
            <w:shd w:val="clear" w:color="auto" w:fill="C0C0C0"/>
          </w:tcPr>
          <w:p>
            <w:pPr/>
          </w:p>
        </w:tc>
        <w:tc>
          <w:tcPr>
            <w:tcW w:w="165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39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4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3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5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39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3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341"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28"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268,515,584.75</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98,071,682.24</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187,996,001.19</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81,263,144.09</w:t>
            </w:r>
          </w:p>
        </w:tc>
      </w:tr>
      <w:tr>
        <w:trPr>
          <w:trHeight w:val="326"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其中：硬件产品销售</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125,684,472.46</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90,493,849.61</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89,322,762.21</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75,648,646.85</w:t>
            </w:r>
          </w:p>
        </w:tc>
      </w:tr>
      <w:tr>
        <w:trPr>
          <w:trHeight w:val="328"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软件产品销售</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120,157,580.20</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754,635.32</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73,359,189.85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34,963.39</w:t>
            </w:r>
          </w:p>
        </w:tc>
      </w:tr>
      <w:tr>
        <w:trPr>
          <w:trHeight w:val="326"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技术服务收入</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22,673,532.09</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6,823,197.31</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25,314,049.13</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5,579,533.85</w:t>
            </w:r>
          </w:p>
        </w:tc>
      </w:tr>
      <w:tr>
        <w:trPr>
          <w:trHeight w:val="326"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268,515,584.75</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98,071,682.24</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187,996,001.19</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81,263,144.09</w:t>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、主营业务按地区分项列示如下：</w:t>
      </w:r>
    </w:p>
    <w:p>
      <w:pPr>
        <w:spacing w:line="240" w:lineRule="auto" w:before="12"/>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1430"/>
        <w:gridCol w:w="1944"/>
        <w:gridCol w:w="1778"/>
        <w:gridCol w:w="1913"/>
        <w:gridCol w:w="1778"/>
      </w:tblGrid>
      <w:tr>
        <w:trPr>
          <w:trHeight w:val="406" w:hRule="exact"/>
        </w:trPr>
        <w:tc>
          <w:tcPr>
            <w:tcW w:w="143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87"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722"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3691"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55" w:hRule="exact"/>
        </w:trPr>
        <w:tc>
          <w:tcPr>
            <w:tcW w:w="1430" w:type="dxa"/>
            <w:vMerge/>
            <w:tcBorders>
              <w:left w:val="single" w:sz="6" w:space="0" w:color="000000"/>
              <w:bottom w:val="single" w:sz="6" w:space="0" w:color="000000"/>
              <w:right w:val="single" w:sz="6" w:space="0" w:color="000000"/>
            </w:tcBorders>
            <w:shd w:val="clear" w:color="auto" w:fill="C0C0C0"/>
          </w:tcPr>
          <w:p>
            <w:pPr/>
          </w:p>
        </w:tc>
        <w:tc>
          <w:tcPr>
            <w:tcW w:w="19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54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46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91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527"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7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461"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56"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华东</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77,695,461.98</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31,343,748.34</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Arial Narrow" w:hAnsi="Arial Narrow" w:cs="Arial Narrow" w:eastAsia="Arial Narrow" w:hint="default"/>
                <w:sz w:val="24"/>
                <w:szCs w:val="24"/>
              </w:rPr>
            </w:pPr>
            <w:r>
              <w:rPr>
                <w:rFonts w:ascii="Arial Narrow"/>
                <w:w w:val="95"/>
                <w:sz w:val="24"/>
              </w:rPr>
              <w:t>57,500,510.86</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Arial Narrow" w:hAnsi="Arial Narrow" w:cs="Arial Narrow" w:eastAsia="Arial Narrow" w:hint="default"/>
                <w:sz w:val="24"/>
                <w:szCs w:val="24"/>
              </w:rPr>
            </w:pPr>
            <w:r>
              <w:rPr>
                <w:rFonts w:ascii="Arial Narrow"/>
                <w:w w:val="95"/>
                <w:sz w:val="24"/>
              </w:rPr>
              <w:t>25,282,721.91</w:t>
            </w:r>
            <w:r>
              <w:rPr>
                <w:rFonts w:ascii="Arial Narrow"/>
                <w:sz w:val="24"/>
              </w:rPr>
            </w:r>
          </w:p>
        </w:tc>
      </w:tr>
      <w:tr>
        <w:trPr>
          <w:trHeight w:val="355"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华南</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25,567,156.61</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10,519,908.02</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18,569,329.27</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9,863,993.65</w:t>
            </w:r>
            <w:r>
              <w:rPr>
                <w:rFonts w:ascii="Arial Narrow"/>
                <w:sz w:val="24"/>
              </w:rPr>
            </w:r>
          </w:p>
        </w:tc>
      </w:tr>
      <w:tr>
        <w:trPr>
          <w:trHeight w:val="355"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东北</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14,463,730.85</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Arial Narrow" w:hAnsi="Arial Narrow" w:cs="Arial Narrow" w:eastAsia="Arial Narrow" w:hint="default"/>
                <w:sz w:val="21"/>
                <w:szCs w:val="21"/>
              </w:rPr>
            </w:pPr>
            <w:r>
              <w:rPr>
                <w:rFonts w:ascii="Arial Narrow"/>
                <w:spacing w:val="-1"/>
                <w:sz w:val="21"/>
              </w:rPr>
              <w:t>6,607,629.96</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17,528,689.65</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8,056,851.94</w:t>
            </w:r>
            <w:r>
              <w:rPr>
                <w:rFonts w:ascii="Arial Narrow"/>
                <w:sz w:val="24"/>
              </w:rPr>
            </w:r>
          </w:p>
        </w:tc>
      </w:tr>
      <w:tr>
        <w:trPr>
          <w:trHeight w:val="354"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华北</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58,798,784.31</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21,831,474.55</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Arial Narrow" w:hAnsi="Arial Narrow" w:cs="Arial Narrow" w:eastAsia="Arial Narrow" w:hint="default"/>
                <w:sz w:val="24"/>
                <w:szCs w:val="24"/>
              </w:rPr>
            </w:pPr>
            <w:r>
              <w:rPr>
                <w:rFonts w:ascii="Arial Narrow"/>
                <w:w w:val="95"/>
                <w:sz w:val="24"/>
              </w:rPr>
              <w:t>29,671,364.08</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Arial Narrow" w:hAnsi="Arial Narrow" w:cs="Arial Narrow" w:eastAsia="Arial Narrow" w:hint="default"/>
                <w:sz w:val="24"/>
                <w:szCs w:val="24"/>
              </w:rPr>
            </w:pPr>
            <w:r>
              <w:rPr>
                <w:rFonts w:ascii="Arial Narrow"/>
                <w:w w:val="95"/>
                <w:sz w:val="24"/>
              </w:rPr>
              <w:t>12,238,162.20</w:t>
            </w:r>
            <w:r>
              <w:rPr>
                <w:rFonts w:ascii="Arial Narrow"/>
                <w:sz w:val="24"/>
              </w:rPr>
            </w:r>
          </w:p>
        </w:tc>
      </w:tr>
      <w:tr>
        <w:trPr>
          <w:trHeight w:val="355"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华中</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12,107,521.51</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Arial Narrow" w:hAnsi="Arial Narrow" w:cs="Arial Narrow" w:eastAsia="Arial Narrow" w:hint="default"/>
                <w:sz w:val="21"/>
                <w:szCs w:val="21"/>
              </w:rPr>
            </w:pPr>
            <w:r>
              <w:rPr>
                <w:rFonts w:ascii="Arial Narrow"/>
                <w:spacing w:val="-1"/>
                <w:sz w:val="21"/>
              </w:rPr>
              <w:t>4,705,574.83</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10,180,873.52</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4,168,291.58</w:t>
            </w:r>
            <w:r>
              <w:rPr>
                <w:rFonts w:ascii="Arial Narrow"/>
                <w:sz w:val="24"/>
              </w:rPr>
            </w:r>
          </w:p>
        </w:tc>
      </w:tr>
      <w:tr>
        <w:trPr>
          <w:trHeight w:val="355"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西南</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52,995,246.32</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13,818,195.80</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w w:val="95"/>
                <w:sz w:val="24"/>
              </w:rPr>
              <w:t>22,202,931.52</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3"/>
                <w:sz w:val="24"/>
              </w:rPr>
              <w:t>9,272,604.11</w:t>
            </w:r>
          </w:p>
        </w:tc>
      </w:tr>
      <w:tr>
        <w:trPr>
          <w:trHeight w:val="355"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西北</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26,887,683.17</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Arial Narrow" w:hAnsi="Arial Narrow" w:cs="Arial Narrow" w:eastAsia="Arial Narrow" w:hint="default"/>
                <w:sz w:val="21"/>
                <w:szCs w:val="21"/>
              </w:rPr>
            </w:pPr>
            <w:r>
              <w:rPr>
                <w:rFonts w:ascii="Arial Narrow"/>
                <w:spacing w:val="-1"/>
                <w:sz w:val="21"/>
              </w:rPr>
              <w:t>9,245,150.74</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9"/>
              <w:jc w:val="right"/>
              <w:rPr>
                <w:rFonts w:ascii="Arial Narrow" w:hAnsi="Arial Narrow" w:cs="Arial Narrow" w:eastAsia="Arial Narrow" w:hint="default"/>
                <w:sz w:val="24"/>
                <w:szCs w:val="24"/>
              </w:rPr>
            </w:pPr>
            <w:r>
              <w:rPr>
                <w:rFonts w:ascii="Arial Narrow"/>
                <w:w w:val="95"/>
                <w:sz w:val="24"/>
              </w:rPr>
              <w:t>32,342,302.29</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Arial Narrow" w:hAnsi="Arial Narrow" w:cs="Arial Narrow" w:eastAsia="Arial Narrow" w:hint="default"/>
                <w:sz w:val="24"/>
                <w:szCs w:val="24"/>
              </w:rPr>
            </w:pPr>
            <w:r>
              <w:rPr>
                <w:rFonts w:ascii="Arial Narrow"/>
                <w:w w:val="95"/>
                <w:sz w:val="24"/>
              </w:rPr>
              <w:t>12,380,518.70</w:t>
            </w:r>
            <w:r>
              <w:rPr>
                <w:rFonts w:ascii="Arial Narrow"/>
                <w:sz w:val="24"/>
              </w:rPr>
            </w:r>
          </w:p>
        </w:tc>
      </w:tr>
      <w:tr>
        <w:trPr>
          <w:trHeight w:val="354" w:hRule="exact"/>
        </w:trPr>
        <w:tc>
          <w:tcPr>
            <w:tcW w:w="1430" w:type="dxa"/>
            <w:tcBorders>
              <w:top w:val="single" w:sz="6" w:space="0" w:color="000000"/>
              <w:left w:val="single" w:sz="6" w:space="0" w:color="000000"/>
              <w:bottom w:val="single" w:sz="6" w:space="0" w:color="000000"/>
              <w:right w:val="single" w:sz="6" w:space="0" w:color="000000"/>
            </w:tcBorders>
          </w:tcPr>
          <w:p>
            <w:pPr>
              <w:pStyle w:val="TableParagraph"/>
              <w:tabs>
                <w:tab w:pos="827" w:val="left" w:leader="none"/>
              </w:tabs>
              <w:spacing w:line="291" w:lineRule="exact"/>
              <w:ind w:left="347"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268,515,584.75</w:t>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98,071,682.24</w:t>
            </w:r>
          </w:p>
        </w:tc>
        <w:tc>
          <w:tcPr>
            <w:tcW w:w="19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00"/>
              <w:jc w:val="right"/>
              <w:rPr>
                <w:rFonts w:ascii="Arial Narrow" w:hAnsi="Arial Narrow" w:cs="Arial Narrow" w:eastAsia="Arial Narrow" w:hint="default"/>
                <w:sz w:val="24"/>
                <w:szCs w:val="24"/>
              </w:rPr>
            </w:pPr>
            <w:r>
              <w:rPr>
                <w:rFonts w:ascii="Arial Narrow"/>
                <w:spacing w:val="-1"/>
                <w:sz w:val="24"/>
              </w:rPr>
              <w:t>187,996,001.19</w:t>
            </w:r>
            <w:r>
              <w:rPr>
                <w:rFonts w:ascii="Arial Narrow"/>
                <w:sz w:val="24"/>
              </w:rPr>
            </w:r>
          </w:p>
        </w:tc>
        <w:tc>
          <w:tcPr>
            <w:tcW w:w="1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98"/>
              <w:jc w:val="right"/>
              <w:rPr>
                <w:rFonts w:ascii="Arial Narrow" w:hAnsi="Arial Narrow" w:cs="Arial Narrow" w:eastAsia="Arial Narrow" w:hint="default"/>
                <w:sz w:val="24"/>
                <w:szCs w:val="24"/>
              </w:rPr>
            </w:pPr>
            <w:r>
              <w:rPr>
                <w:rFonts w:ascii="Arial Narrow"/>
                <w:spacing w:val="-1"/>
                <w:w w:val="95"/>
                <w:sz w:val="24"/>
              </w:rPr>
              <w:t>81,263,144.09</w:t>
            </w:r>
            <w:r>
              <w:rPr>
                <w:rFonts w:ascii="Arial Narrow"/>
                <w:sz w:val="24"/>
              </w:rPr>
            </w:r>
          </w:p>
        </w:tc>
      </w:tr>
    </w:tbl>
    <w:p>
      <w:pPr>
        <w:spacing w:before="87"/>
        <w:ind w:left="646"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、公司前五名客户营业收入情况</w:t>
      </w:r>
    </w:p>
    <w:p>
      <w:pPr>
        <w:spacing w:after="0"/>
        <w:jc w:val="left"/>
        <w:rPr>
          <w:rFonts w:ascii="宋体" w:hAnsi="宋体" w:cs="宋体" w:eastAsia="宋体" w:hint="default"/>
          <w:sz w:val="21"/>
          <w:szCs w:val="21"/>
        </w:rPr>
        <w:sectPr>
          <w:pgSz w:w="12240" w:h="15840"/>
          <w:pgMar w:header="0" w:footer="688" w:top="1360" w:bottom="900" w:left="1580" w:right="1580"/>
        </w:sectPr>
      </w:pPr>
    </w:p>
    <w:p>
      <w:pPr>
        <w:spacing w:line="240" w:lineRule="auto" w:before="2"/>
        <w:rPr>
          <w:rFonts w:ascii="宋体" w:hAnsi="宋体" w:cs="宋体" w:eastAsia="宋体" w:hint="default"/>
          <w:sz w:val="6"/>
          <w:szCs w:val="6"/>
        </w:rPr>
      </w:pPr>
    </w:p>
    <w:tbl>
      <w:tblPr>
        <w:tblW w:w="0" w:type="auto"/>
        <w:jc w:val="left"/>
        <w:tblInd w:w="104" w:type="dxa"/>
        <w:tblLayout w:type="fixed"/>
        <w:tblCellMar>
          <w:top w:w="0" w:type="dxa"/>
          <w:left w:w="0" w:type="dxa"/>
          <w:bottom w:w="0" w:type="dxa"/>
          <w:right w:w="0" w:type="dxa"/>
        </w:tblCellMar>
        <w:tblLook w:val="01E0"/>
      </w:tblPr>
      <w:tblGrid>
        <w:gridCol w:w="4412"/>
        <w:gridCol w:w="2825"/>
        <w:gridCol w:w="1619"/>
      </w:tblGrid>
      <w:tr>
        <w:trPr>
          <w:trHeight w:val="406" w:hRule="exact"/>
        </w:trPr>
        <w:tc>
          <w:tcPr>
            <w:tcW w:w="4412"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444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本年发生额</w:t>
            </w:r>
          </w:p>
        </w:tc>
      </w:tr>
      <w:tr>
        <w:trPr>
          <w:trHeight w:val="327" w:hRule="exact"/>
        </w:trPr>
        <w:tc>
          <w:tcPr>
            <w:tcW w:w="4412" w:type="dxa"/>
            <w:vMerge/>
            <w:tcBorders>
              <w:left w:val="single" w:sz="6" w:space="0" w:color="000000"/>
              <w:bottom w:val="single" w:sz="6" w:space="0" w:color="000000"/>
              <w:right w:val="single" w:sz="6" w:space="0" w:color="000000"/>
            </w:tcBorders>
            <w:shd w:val="clear" w:color="auto" w:fill="C0C0C0"/>
          </w:tcPr>
          <w:p>
            <w:pPr/>
          </w:p>
        </w:tc>
        <w:tc>
          <w:tcPr>
            <w:tcW w:w="282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61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27"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新疆维吾尔自治区公安厅</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7"/>
              <w:jc w:val="right"/>
              <w:rPr>
                <w:rFonts w:ascii="Arial Narrow" w:hAnsi="Arial Narrow" w:cs="Arial Narrow" w:eastAsia="Arial Narrow" w:hint="default"/>
                <w:sz w:val="21"/>
                <w:szCs w:val="21"/>
              </w:rPr>
            </w:pPr>
            <w:r>
              <w:rPr>
                <w:rFonts w:ascii="Arial Narrow"/>
                <w:spacing w:val="-1"/>
                <w:sz w:val="21"/>
              </w:rPr>
              <w:t>13,900,021.37</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6"/>
              <w:jc w:val="right"/>
              <w:rPr>
                <w:rFonts w:ascii="Arial Narrow" w:hAnsi="Arial Narrow" w:cs="Arial Narrow" w:eastAsia="Arial Narrow" w:hint="default"/>
                <w:sz w:val="21"/>
                <w:szCs w:val="21"/>
              </w:rPr>
            </w:pPr>
            <w:r>
              <w:rPr>
                <w:rFonts w:ascii="Arial Narrow"/>
                <w:w w:val="95"/>
                <w:sz w:val="21"/>
              </w:rPr>
              <w:t>5.18%</w:t>
            </w:r>
            <w:r>
              <w:rPr>
                <w:rFonts w:ascii="Arial Narrow"/>
                <w:sz w:val="21"/>
              </w:rPr>
            </w:r>
          </w:p>
        </w:tc>
      </w:tr>
      <w:tr>
        <w:trPr>
          <w:trHeight w:val="328"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北京瑞邦一网科技发展有限公司</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6,948,888.90</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2.59%</w:t>
            </w:r>
            <w:r>
              <w:rPr>
                <w:rFonts w:ascii="Arial Narrow"/>
                <w:sz w:val="21"/>
              </w:rPr>
            </w:r>
          </w:p>
        </w:tc>
      </w:tr>
      <w:tr>
        <w:trPr>
          <w:trHeight w:val="326"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深圳市公安局</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6,690,999.99</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2.49%</w:t>
            </w:r>
            <w:r>
              <w:rPr>
                <w:rFonts w:ascii="Arial Narrow"/>
                <w:sz w:val="21"/>
              </w:rPr>
            </w:r>
          </w:p>
        </w:tc>
      </w:tr>
      <w:tr>
        <w:trPr>
          <w:trHeight w:val="328"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安徽省公安厅</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5,310,576.91</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1.98%</w:t>
            </w:r>
            <w:r>
              <w:rPr>
                <w:rFonts w:ascii="Arial Narrow"/>
                <w:sz w:val="21"/>
              </w:rPr>
            </w:r>
          </w:p>
        </w:tc>
      </w:tr>
      <w:tr>
        <w:trPr>
          <w:trHeight w:val="326"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江西优码创达软件技术有限公司</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4,051,282.07</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1.51%</w:t>
            </w:r>
            <w:r>
              <w:rPr>
                <w:rFonts w:ascii="Arial Narrow"/>
                <w:sz w:val="21"/>
              </w:rPr>
            </w:r>
          </w:p>
        </w:tc>
      </w:tr>
      <w:tr>
        <w:trPr>
          <w:trHeight w:val="326" w:hRule="exact"/>
        </w:trPr>
        <w:tc>
          <w:tcPr>
            <w:tcW w:w="4412"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36,901,769.24</w:t>
            </w:r>
          </w:p>
        </w:tc>
        <w:tc>
          <w:tcPr>
            <w:tcW w:w="16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13.75%</w:t>
            </w:r>
            <w:r>
              <w:rPr>
                <w:rFonts w:ascii="Arial Narrow"/>
                <w:sz w:val="21"/>
              </w:rPr>
            </w:r>
          </w:p>
        </w:tc>
      </w:tr>
    </w:tbl>
    <w:p>
      <w:pPr>
        <w:tabs>
          <w:tab w:pos="1899" w:val="left" w:leader="none"/>
        </w:tabs>
        <w:spacing w:before="27"/>
        <w:ind w:left="640" w:right="0" w:firstLine="0"/>
        <w:jc w:val="left"/>
        <w:rPr>
          <w:rFonts w:ascii="宋体" w:hAnsi="宋体" w:cs="宋体" w:eastAsia="宋体" w:hint="default"/>
          <w:sz w:val="21"/>
          <w:szCs w:val="21"/>
        </w:rPr>
      </w:pPr>
      <w:r>
        <w:rPr>
          <w:rFonts w:ascii="宋体" w:hAnsi="宋体" w:cs="宋体" w:eastAsia="宋体" w:hint="default"/>
          <w:b/>
          <w:bCs/>
          <w:w w:val="95"/>
          <w:sz w:val="21"/>
          <w:szCs w:val="21"/>
        </w:rPr>
        <w:t>（二十六）</w:t>
        <w:tab/>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6"/>
        <w:rPr>
          <w:rFonts w:ascii="宋体" w:hAnsi="宋体" w:cs="宋体" w:eastAsia="宋体" w:hint="default"/>
          <w:b/>
          <w:bCs/>
          <w:sz w:val="17"/>
          <w:szCs w:val="17"/>
        </w:rPr>
      </w:pPr>
    </w:p>
    <w:tbl>
      <w:tblPr>
        <w:tblW w:w="0" w:type="auto"/>
        <w:jc w:val="left"/>
        <w:tblInd w:w="110" w:type="dxa"/>
        <w:tblLayout w:type="fixed"/>
        <w:tblCellMar>
          <w:top w:w="0" w:type="dxa"/>
          <w:left w:w="0" w:type="dxa"/>
          <w:bottom w:w="0" w:type="dxa"/>
          <w:right w:w="0" w:type="dxa"/>
        </w:tblCellMar>
        <w:tblLook w:val="01E0"/>
      </w:tblPr>
      <w:tblGrid>
        <w:gridCol w:w="2683"/>
        <w:gridCol w:w="3044"/>
        <w:gridCol w:w="3116"/>
      </w:tblGrid>
      <w:tr>
        <w:trPr>
          <w:trHeight w:val="338" w:hRule="exact"/>
        </w:trPr>
        <w:tc>
          <w:tcPr>
            <w:tcW w:w="268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30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99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31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1025"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72" w:hRule="exact"/>
        </w:trPr>
        <w:tc>
          <w:tcPr>
            <w:tcW w:w="2683"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044"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8"/>
              <w:jc w:val="right"/>
              <w:rPr>
                <w:rFonts w:ascii="Arial Narrow" w:hAnsi="Arial Narrow" w:cs="Arial Narrow" w:eastAsia="Arial Narrow" w:hint="default"/>
                <w:sz w:val="21"/>
                <w:szCs w:val="21"/>
              </w:rPr>
            </w:pPr>
            <w:r>
              <w:rPr>
                <w:rFonts w:ascii="Arial Narrow"/>
                <w:spacing w:val="-1"/>
                <w:sz w:val="21"/>
              </w:rPr>
              <w:t>791,048.62</w:t>
            </w:r>
          </w:p>
        </w:tc>
        <w:tc>
          <w:tcPr>
            <w:tcW w:w="3116"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479,266.88</w:t>
            </w:r>
          </w:p>
        </w:tc>
      </w:tr>
      <w:tr>
        <w:trPr>
          <w:trHeight w:val="354" w:hRule="exact"/>
        </w:trPr>
        <w:tc>
          <w:tcPr>
            <w:tcW w:w="26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城市建设维护税</w:t>
            </w:r>
          </w:p>
        </w:tc>
        <w:tc>
          <w:tcPr>
            <w:tcW w:w="3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1,720,556.35</w:t>
            </w:r>
          </w:p>
        </w:tc>
        <w:tc>
          <w:tcPr>
            <w:tcW w:w="3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1,250,951.15</w:t>
            </w:r>
          </w:p>
        </w:tc>
      </w:tr>
      <w:tr>
        <w:trPr>
          <w:trHeight w:val="355" w:hRule="exact"/>
        </w:trPr>
        <w:tc>
          <w:tcPr>
            <w:tcW w:w="26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743,044.18</w:t>
            </w:r>
          </w:p>
        </w:tc>
        <w:tc>
          <w:tcPr>
            <w:tcW w:w="3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536,121.95</w:t>
            </w:r>
          </w:p>
        </w:tc>
      </w:tr>
      <w:tr>
        <w:trPr>
          <w:trHeight w:val="355" w:hRule="exact"/>
        </w:trPr>
        <w:tc>
          <w:tcPr>
            <w:tcW w:w="2683"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地方教育附加</w:t>
            </w:r>
          </w:p>
        </w:tc>
        <w:tc>
          <w:tcPr>
            <w:tcW w:w="3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485,924.66</w:t>
            </w:r>
          </w:p>
        </w:tc>
        <w:tc>
          <w:tcPr>
            <w:tcW w:w="3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180,334.56</w:t>
            </w:r>
          </w:p>
        </w:tc>
      </w:tr>
      <w:tr>
        <w:trPr>
          <w:trHeight w:val="354" w:hRule="exact"/>
        </w:trPr>
        <w:tc>
          <w:tcPr>
            <w:tcW w:w="2683" w:type="dxa"/>
            <w:tcBorders>
              <w:top w:val="single" w:sz="6" w:space="0" w:color="000000"/>
              <w:left w:val="single" w:sz="6" w:space="0" w:color="000000"/>
              <w:bottom w:val="single" w:sz="6" w:space="0" w:color="000000"/>
              <w:right w:val="single" w:sz="6" w:space="0" w:color="000000"/>
            </w:tcBorders>
          </w:tcPr>
          <w:p>
            <w:pPr>
              <w:pStyle w:val="TableParagraph"/>
              <w:tabs>
                <w:tab w:pos="479" w:val="left" w:leader="none"/>
              </w:tabs>
              <w:spacing w:line="291" w:lineRule="exact"/>
              <w:ind w:right="0"/>
              <w:jc w:val="center"/>
              <w:rPr>
                <w:rFonts w:ascii="宋体" w:hAnsi="宋体" w:cs="宋体" w:eastAsia="宋体" w:hint="default"/>
                <w:sz w:val="24"/>
                <w:szCs w:val="24"/>
              </w:rPr>
            </w:pPr>
            <w:r>
              <w:rPr>
                <w:rFonts w:ascii="宋体" w:hAnsi="宋体" w:cs="宋体" w:eastAsia="宋体" w:hint="default"/>
                <w:sz w:val="24"/>
                <w:szCs w:val="24"/>
              </w:rPr>
              <w:t>合</w:t>
              <w:tab/>
              <w:t>计</w:t>
            </w:r>
          </w:p>
        </w:tc>
        <w:tc>
          <w:tcPr>
            <w:tcW w:w="30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3,740,573.81</w:t>
            </w:r>
          </w:p>
        </w:tc>
        <w:tc>
          <w:tcPr>
            <w:tcW w:w="3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2,446,674.54</w:t>
            </w:r>
          </w:p>
        </w:tc>
      </w:tr>
    </w:tbl>
    <w:p>
      <w:pPr>
        <w:spacing w:line="257" w:lineRule="exact" w:before="0"/>
        <w:ind w:left="640" w:right="0" w:firstLine="0"/>
        <w:jc w:val="left"/>
        <w:rPr>
          <w:rFonts w:ascii="宋体" w:hAnsi="宋体" w:cs="宋体" w:eastAsia="宋体" w:hint="default"/>
          <w:sz w:val="21"/>
          <w:szCs w:val="21"/>
        </w:rPr>
      </w:pPr>
      <w:r>
        <w:rPr>
          <w:rFonts w:ascii="宋体" w:hAnsi="宋体" w:cs="宋体" w:eastAsia="宋体" w:hint="default"/>
          <w:sz w:val="21"/>
          <w:szCs w:val="21"/>
        </w:rPr>
        <w:t>注：本年度营业税金及附加较上年度增长</w:t>
      </w:r>
      <w:r>
        <w:rPr>
          <w:rFonts w:ascii="宋体" w:hAnsi="宋体" w:cs="宋体" w:eastAsia="宋体" w:hint="default"/>
          <w:spacing w:val="-33"/>
          <w:sz w:val="21"/>
          <w:szCs w:val="21"/>
        </w:rPr>
        <w:t> </w:t>
      </w:r>
      <w:r>
        <w:rPr>
          <w:rFonts w:ascii="Arial Narrow" w:hAnsi="Arial Narrow" w:cs="Arial Narrow" w:eastAsia="Arial Narrow" w:hint="default"/>
          <w:sz w:val="21"/>
          <w:szCs w:val="21"/>
        </w:rPr>
        <w:t>52.88%</w:t>
      </w:r>
      <w:r>
        <w:rPr>
          <w:rFonts w:ascii="宋体" w:hAnsi="宋体" w:cs="宋体" w:eastAsia="宋体" w:hint="default"/>
          <w:sz w:val="21"/>
          <w:szCs w:val="21"/>
        </w:rPr>
        <w:t>，主要系本公司经营规模扩大，营业收入</w:t>
      </w:r>
    </w:p>
    <w:p>
      <w:pPr>
        <w:spacing w:before="120"/>
        <w:ind w:left="219" w:right="0" w:firstLine="0"/>
        <w:jc w:val="left"/>
        <w:rPr>
          <w:rFonts w:ascii="宋体" w:hAnsi="宋体" w:cs="宋体" w:eastAsia="宋体" w:hint="default"/>
          <w:sz w:val="21"/>
          <w:szCs w:val="21"/>
        </w:rPr>
      </w:pPr>
      <w:r>
        <w:rPr>
          <w:rFonts w:ascii="宋体" w:hAnsi="宋体" w:cs="宋体" w:eastAsia="宋体" w:hint="default"/>
          <w:sz w:val="21"/>
          <w:szCs w:val="21"/>
        </w:rPr>
        <w:t>大幅增长所致。</w:t>
      </w:r>
    </w:p>
    <w:p>
      <w:pPr>
        <w:spacing w:line="240" w:lineRule="auto" w:before="10"/>
        <w:rPr>
          <w:rFonts w:ascii="宋体" w:hAnsi="宋体" w:cs="宋体" w:eastAsia="宋体" w:hint="default"/>
          <w:sz w:val="14"/>
          <w:szCs w:val="14"/>
        </w:rPr>
      </w:pPr>
    </w:p>
    <w:p>
      <w:pPr>
        <w:tabs>
          <w:tab w:pos="1899" w:val="left" w:leader="none"/>
        </w:tabs>
        <w:spacing w:before="0"/>
        <w:ind w:left="639" w:right="0" w:firstLine="0"/>
        <w:jc w:val="left"/>
        <w:rPr>
          <w:rFonts w:ascii="宋体" w:hAnsi="宋体" w:cs="宋体" w:eastAsia="宋体" w:hint="default"/>
          <w:sz w:val="21"/>
          <w:szCs w:val="21"/>
        </w:rPr>
      </w:pPr>
      <w:r>
        <w:rPr>
          <w:rFonts w:ascii="宋体" w:hAnsi="宋体" w:cs="宋体" w:eastAsia="宋体" w:hint="default"/>
          <w:b/>
          <w:bCs/>
          <w:w w:val="95"/>
          <w:sz w:val="21"/>
          <w:szCs w:val="21"/>
        </w:rPr>
        <w:t>（二十七）</w:t>
        <w:tab/>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6"/>
        <w:rPr>
          <w:rFonts w:ascii="宋体" w:hAnsi="宋体" w:cs="宋体" w:eastAsia="宋体" w:hint="default"/>
          <w:b/>
          <w:bCs/>
          <w:sz w:val="17"/>
          <w:szCs w:val="17"/>
        </w:rPr>
      </w:pPr>
    </w:p>
    <w:tbl>
      <w:tblPr>
        <w:tblW w:w="0" w:type="auto"/>
        <w:jc w:val="left"/>
        <w:tblInd w:w="104" w:type="dxa"/>
        <w:tblLayout w:type="fixed"/>
        <w:tblCellMar>
          <w:top w:w="0" w:type="dxa"/>
          <w:left w:w="0" w:type="dxa"/>
          <w:bottom w:w="0" w:type="dxa"/>
          <w:right w:w="0" w:type="dxa"/>
        </w:tblCellMar>
        <w:tblLook w:val="01E0"/>
      </w:tblPr>
      <w:tblGrid>
        <w:gridCol w:w="2698"/>
        <w:gridCol w:w="3120"/>
        <w:gridCol w:w="3038"/>
      </w:tblGrid>
      <w:tr>
        <w:trPr>
          <w:trHeight w:val="284" w:hRule="exact"/>
        </w:trPr>
        <w:tc>
          <w:tcPr>
            <w:tcW w:w="2698" w:type="dxa"/>
            <w:tcBorders>
              <w:top w:val="single" w:sz="6" w:space="0" w:color="000000"/>
              <w:left w:val="single" w:sz="6" w:space="0" w:color="000000"/>
              <w:bottom w:val="single" w:sz="4" w:space="0" w:color="000000"/>
              <w:right w:val="single" w:sz="4" w:space="0" w:color="000000"/>
            </w:tcBorders>
            <w:shd w:val="clear" w:color="auto" w:fill="C0C0C0"/>
          </w:tcPr>
          <w:p>
            <w:pPr>
              <w:pStyle w:val="TableParagraph"/>
              <w:tabs>
                <w:tab w:pos="421" w:val="left" w:leader="none"/>
              </w:tabs>
              <w:spacing w:line="240" w:lineRule="exact"/>
              <w:ind w:right="102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20" w:type="dxa"/>
            <w:tcBorders>
              <w:top w:val="single" w:sz="6" w:space="0" w:color="000000"/>
              <w:left w:val="single" w:sz="4" w:space="0" w:color="000000"/>
              <w:bottom w:val="single" w:sz="4" w:space="0" w:color="000000"/>
              <w:right w:val="single" w:sz="4" w:space="0" w:color="000000"/>
            </w:tcBorders>
            <w:shd w:val="clear" w:color="auto" w:fill="C0C0C0"/>
          </w:tcPr>
          <w:p>
            <w:pPr>
              <w:pStyle w:val="TableParagraph"/>
              <w:spacing w:line="240" w:lineRule="exact"/>
              <w:ind w:left="103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3038" w:type="dxa"/>
            <w:tcBorders>
              <w:top w:val="single" w:sz="6" w:space="0" w:color="000000"/>
              <w:left w:val="single" w:sz="4" w:space="0" w:color="000000"/>
              <w:bottom w:val="single" w:sz="4" w:space="0" w:color="000000"/>
              <w:right w:val="single" w:sz="6" w:space="0" w:color="000000"/>
            </w:tcBorders>
            <w:shd w:val="clear" w:color="auto" w:fill="C0C0C0"/>
          </w:tcPr>
          <w:p>
            <w:pPr>
              <w:pStyle w:val="TableParagraph"/>
              <w:spacing w:line="240" w:lineRule="exact"/>
              <w:ind w:left="988"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工资</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spacing w:val="-1"/>
                <w:sz w:val="21"/>
              </w:rPr>
              <w:t>25,571,667.78</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7"/>
              <w:jc w:val="right"/>
              <w:rPr>
                <w:rFonts w:ascii="Arial Narrow" w:hAnsi="Arial Narrow" w:cs="Arial Narrow" w:eastAsia="Arial Narrow" w:hint="default"/>
                <w:sz w:val="21"/>
                <w:szCs w:val="21"/>
              </w:rPr>
            </w:pPr>
            <w:r>
              <w:rPr>
                <w:rFonts w:ascii="Arial Narrow"/>
                <w:spacing w:val="-1"/>
                <w:sz w:val="21"/>
              </w:rPr>
              <w:t>10,874,638.64</w:t>
            </w:r>
          </w:p>
        </w:tc>
      </w:tr>
      <w:tr>
        <w:trPr>
          <w:trHeight w:val="283"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8,967,370.40</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6,202,529.16</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业务宣传费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7,493,214.17</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2,914,730.66</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3,079,025.26</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886,050.62</w:t>
            </w:r>
          </w:p>
        </w:tc>
      </w:tr>
      <w:tr>
        <w:trPr>
          <w:trHeight w:val="283"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电讯费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2,466,236.86</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1,101,649.34</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1,770,454.48</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2"/>
                <w:sz w:val="21"/>
              </w:rPr>
              <w:t>1,363,511.62</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邮寄费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spacing w:val="-1"/>
                <w:sz w:val="21"/>
              </w:rPr>
              <w:t>1,550,237.32</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838,626.82</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汽车费用</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934,946.15</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583,523.56</w:t>
            </w:r>
          </w:p>
        </w:tc>
      </w:tr>
      <w:tr>
        <w:trPr>
          <w:trHeight w:val="283"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628,045.42</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345,376.66</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福利费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350,173.81</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236,910.98</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投标费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331,096.90</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230,362.00</w:t>
            </w:r>
          </w:p>
        </w:tc>
      </w:tr>
      <w:tr>
        <w:trPr>
          <w:trHeight w:val="283"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运杂费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230,518.95</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w w:val="95"/>
                <w:sz w:val="21"/>
              </w:rPr>
              <w:t>7,295.15</w:t>
            </w:r>
            <w:r>
              <w:rPr>
                <w:rFonts w:ascii="Arial Narrow"/>
                <w:sz w:val="21"/>
              </w:rPr>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企业年金</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128,923.38</w:t>
            </w:r>
          </w:p>
        </w:tc>
        <w:tc>
          <w:tcPr>
            <w:tcW w:w="3038" w:type="dxa"/>
            <w:tcBorders>
              <w:top w:val="single" w:sz="4" w:space="0" w:color="000000"/>
              <w:left w:val="single" w:sz="4" w:space="0" w:color="000000"/>
              <w:bottom w:val="single" w:sz="4" w:space="0" w:color="000000"/>
              <w:right w:val="single" w:sz="6" w:space="0" w:color="000000"/>
            </w:tcBorders>
          </w:tcPr>
          <w:p>
            <w:pP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16,325.69</w:t>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10,559.50</w:t>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1"/>
              <w:jc w:val="right"/>
              <w:rPr>
                <w:rFonts w:ascii="Arial Narrow" w:hAnsi="Arial Narrow" w:cs="Arial Narrow" w:eastAsia="Arial Narrow" w:hint="default"/>
                <w:sz w:val="21"/>
                <w:szCs w:val="21"/>
              </w:rPr>
            </w:pPr>
            <w:r>
              <w:rPr>
                <w:rFonts w:ascii="Arial Narrow"/>
                <w:w w:val="95"/>
                <w:sz w:val="21"/>
              </w:rPr>
              <w:t>2,454.33</w:t>
            </w:r>
            <w:r>
              <w:rPr>
                <w:rFonts w:ascii="Arial Narrow"/>
                <w:sz w:val="21"/>
              </w:rPr>
            </w: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34,913.47</w:t>
            </w:r>
          </w:p>
        </w:tc>
      </w:tr>
      <w:tr>
        <w:trPr>
          <w:trHeight w:val="283"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出口费用</w:t>
            </w:r>
          </w:p>
        </w:tc>
        <w:tc>
          <w:tcPr>
            <w:tcW w:w="3120" w:type="dxa"/>
            <w:tcBorders>
              <w:top w:val="single" w:sz="4" w:space="0" w:color="000000"/>
              <w:left w:val="single" w:sz="4" w:space="0" w:color="000000"/>
              <w:bottom w:val="single" w:sz="4" w:space="0" w:color="000000"/>
              <w:right w:val="single" w:sz="4" w:space="0" w:color="000000"/>
            </w:tcBorders>
          </w:tcPr>
          <w:p>
            <w:pP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w w:val="95"/>
                <w:sz w:val="21"/>
              </w:rPr>
              <w:t>4,187.82</w:t>
            </w:r>
            <w:r>
              <w:rPr>
                <w:rFonts w:ascii="Arial Narrow"/>
                <w:sz w:val="21"/>
              </w:rPr>
            </w:r>
          </w:p>
        </w:tc>
      </w:tr>
      <w:tr>
        <w:trPr>
          <w:trHeight w:val="282" w:hRule="exact"/>
        </w:trPr>
        <w:tc>
          <w:tcPr>
            <w:tcW w:w="2698"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包装费</w:t>
            </w:r>
          </w:p>
        </w:tc>
        <w:tc>
          <w:tcPr>
            <w:tcW w:w="3120" w:type="dxa"/>
            <w:tcBorders>
              <w:top w:val="single" w:sz="4" w:space="0" w:color="000000"/>
              <w:left w:val="single" w:sz="4" w:space="0" w:color="000000"/>
              <w:bottom w:val="single" w:sz="4" w:space="0" w:color="000000"/>
              <w:right w:val="single" w:sz="4" w:space="0" w:color="000000"/>
            </w:tcBorders>
          </w:tcPr>
          <w:p>
            <w:pPr/>
          </w:p>
        </w:tc>
        <w:tc>
          <w:tcPr>
            <w:tcW w:w="3038"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w w:val="95"/>
                <w:sz w:val="21"/>
              </w:rPr>
              <w:t>2,474.61</w:t>
            </w:r>
            <w:r>
              <w:rPr>
                <w:rFonts w:ascii="Arial Narrow"/>
                <w:sz w:val="21"/>
              </w:rPr>
            </w:r>
          </w:p>
        </w:tc>
      </w:tr>
      <w:tr>
        <w:trPr>
          <w:trHeight w:val="284" w:hRule="exact"/>
        </w:trPr>
        <w:tc>
          <w:tcPr>
            <w:tcW w:w="2698" w:type="dxa"/>
            <w:tcBorders>
              <w:top w:val="single" w:sz="4" w:space="0" w:color="000000"/>
              <w:left w:val="single" w:sz="6" w:space="0" w:color="000000"/>
              <w:bottom w:val="single" w:sz="6" w:space="0" w:color="000000"/>
              <w:right w:val="single" w:sz="4" w:space="0" w:color="000000"/>
            </w:tcBorders>
          </w:tcPr>
          <w:p>
            <w:pPr>
              <w:pStyle w:val="TableParagraph"/>
              <w:tabs>
                <w:tab w:pos="421" w:val="left" w:leader="none"/>
              </w:tabs>
              <w:spacing w:line="240" w:lineRule="exact"/>
              <w:ind w:right="1026"/>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20"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spacing w:val="-1"/>
                <w:sz w:val="21"/>
              </w:rPr>
              <w:t>53,520,690.90</w:t>
            </w:r>
          </w:p>
        </w:tc>
        <w:tc>
          <w:tcPr>
            <w:tcW w:w="3038"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29"/>
              <w:ind w:right="97"/>
              <w:jc w:val="right"/>
              <w:rPr>
                <w:rFonts w:ascii="Arial Narrow" w:hAnsi="Arial Narrow" w:cs="Arial Narrow" w:eastAsia="Arial Narrow" w:hint="default"/>
                <w:sz w:val="21"/>
                <w:szCs w:val="21"/>
              </w:rPr>
            </w:pPr>
            <w:r>
              <w:rPr>
                <w:rFonts w:ascii="Arial Narrow"/>
                <w:spacing w:val="-1"/>
                <w:sz w:val="21"/>
              </w:rPr>
              <w:t>25,637,340.61</w:t>
            </w:r>
          </w:p>
        </w:tc>
      </w:tr>
    </w:tbl>
    <w:p>
      <w:pPr>
        <w:spacing w:line="338" w:lineRule="auto" w:before="87"/>
        <w:ind w:left="219" w:right="150" w:firstLine="420"/>
        <w:jc w:val="left"/>
        <w:rPr>
          <w:rFonts w:ascii="宋体" w:hAnsi="宋体" w:cs="宋体" w:eastAsia="宋体" w:hint="default"/>
          <w:sz w:val="21"/>
          <w:szCs w:val="21"/>
        </w:rPr>
      </w:pPr>
      <w:r>
        <w:rPr>
          <w:rFonts w:ascii="宋体" w:hAnsi="宋体" w:cs="宋体" w:eastAsia="宋体" w:hint="default"/>
          <w:sz w:val="21"/>
          <w:szCs w:val="21"/>
        </w:rPr>
        <w:t>注：本年度销售费用较上年度增长</w:t>
      </w:r>
      <w:r>
        <w:rPr>
          <w:rFonts w:ascii="宋体" w:hAnsi="宋体" w:cs="宋体" w:eastAsia="宋体" w:hint="default"/>
          <w:spacing w:val="-54"/>
          <w:sz w:val="21"/>
          <w:szCs w:val="21"/>
        </w:rPr>
        <w:t> </w:t>
      </w:r>
      <w:r>
        <w:rPr>
          <w:rFonts w:ascii="Arial Narrow" w:hAnsi="Arial Narrow" w:cs="Arial Narrow" w:eastAsia="Arial Narrow" w:hint="default"/>
          <w:sz w:val="21"/>
          <w:szCs w:val="21"/>
        </w:rPr>
        <w:t>108.76%</w:t>
      </w:r>
      <w:r>
        <w:rPr>
          <w:rFonts w:ascii="宋体" w:hAnsi="宋体" w:cs="宋体" w:eastAsia="宋体" w:hint="default"/>
          <w:sz w:val="21"/>
          <w:szCs w:val="21"/>
        </w:rPr>
        <w:t>，主要系本公司经营规模扩大、员工人数增加， 人员费用及差旅费用、业务宣传费等大幅增长所致。</w:t>
      </w:r>
    </w:p>
    <w:p>
      <w:pPr>
        <w:spacing w:after="0" w:line="338" w:lineRule="auto"/>
        <w:jc w:val="left"/>
        <w:rPr>
          <w:rFonts w:ascii="宋体" w:hAnsi="宋体" w:cs="宋体" w:eastAsia="宋体" w:hint="default"/>
          <w:sz w:val="21"/>
          <w:szCs w:val="21"/>
        </w:rPr>
        <w:sectPr>
          <w:pgSz w:w="12240" w:h="15840"/>
          <w:pgMar w:header="0" w:footer="688" w:top="1360" w:bottom="900" w:left="1580" w:right="1560"/>
        </w:sectPr>
      </w:pPr>
    </w:p>
    <w:p>
      <w:pPr>
        <w:tabs>
          <w:tab w:pos="1899" w:val="left" w:leader="none"/>
        </w:tabs>
        <w:spacing w:before="6"/>
        <w:ind w:left="640" w:right="0" w:firstLine="0"/>
        <w:jc w:val="left"/>
        <w:rPr>
          <w:rFonts w:ascii="宋体" w:hAnsi="宋体" w:cs="宋体" w:eastAsia="宋体" w:hint="default"/>
          <w:sz w:val="21"/>
          <w:szCs w:val="21"/>
        </w:rPr>
      </w:pPr>
      <w:r>
        <w:rPr>
          <w:rFonts w:ascii="宋体" w:hAnsi="宋体" w:cs="宋体" w:eastAsia="宋体" w:hint="default"/>
          <w:b/>
          <w:bCs/>
          <w:w w:val="95"/>
          <w:sz w:val="21"/>
          <w:szCs w:val="21"/>
        </w:rPr>
        <w:t>（二十八）</w:t>
        <w:tab/>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5"/>
        <w:rPr>
          <w:rFonts w:ascii="宋体" w:hAnsi="宋体" w:cs="宋体" w:eastAsia="宋体" w:hint="default"/>
          <w:b/>
          <w:bCs/>
          <w:sz w:val="17"/>
          <w:szCs w:val="17"/>
        </w:rPr>
      </w:pPr>
    </w:p>
    <w:tbl>
      <w:tblPr>
        <w:tblW w:w="0" w:type="auto"/>
        <w:jc w:val="left"/>
        <w:tblInd w:w="104" w:type="dxa"/>
        <w:tblLayout w:type="fixed"/>
        <w:tblCellMar>
          <w:top w:w="0" w:type="dxa"/>
          <w:left w:w="0" w:type="dxa"/>
          <w:bottom w:w="0" w:type="dxa"/>
          <w:right w:w="0" w:type="dxa"/>
        </w:tblCellMar>
        <w:tblLook w:val="01E0"/>
      </w:tblPr>
      <w:tblGrid>
        <w:gridCol w:w="2632"/>
        <w:gridCol w:w="3325"/>
        <w:gridCol w:w="2899"/>
      </w:tblGrid>
      <w:tr>
        <w:trPr>
          <w:trHeight w:val="285" w:hRule="exact"/>
        </w:trPr>
        <w:tc>
          <w:tcPr>
            <w:tcW w:w="2632" w:type="dxa"/>
            <w:tcBorders>
              <w:top w:val="single" w:sz="6" w:space="0" w:color="000000"/>
              <w:left w:val="single" w:sz="6" w:space="0" w:color="000000"/>
              <w:bottom w:val="single" w:sz="4" w:space="0" w:color="000000"/>
              <w:right w:val="single" w:sz="4" w:space="0" w:color="000000"/>
            </w:tcBorders>
            <w:shd w:val="clear" w:color="auto" w:fill="C0C0C0"/>
          </w:tcPr>
          <w:p>
            <w:pPr>
              <w:pStyle w:val="TableParagraph"/>
              <w:tabs>
                <w:tab w:pos="421" w:val="left" w:leader="none"/>
              </w:tabs>
              <w:spacing w:line="240" w:lineRule="exact"/>
              <w:ind w:right="994"/>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325" w:type="dxa"/>
            <w:tcBorders>
              <w:top w:val="single" w:sz="6" w:space="0" w:color="000000"/>
              <w:left w:val="single" w:sz="4" w:space="0" w:color="000000"/>
              <w:bottom w:val="single" w:sz="4" w:space="0" w:color="000000"/>
              <w:right w:val="single" w:sz="4"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2899" w:type="dxa"/>
            <w:tcBorders>
              <w:top w:val="single" w:sz="6" w:space="0" w:color="000000"/>
              <w:left w:val="single" w:sz="4" w:space="0" w:color="000000"/>
              <w:bottom w:val="single" w:sz="4" w:space="0" w:color="000000"/>
              <w:right w:val="single" w:sz="6" w:space="0" w:color="000000"/>
            </w:tcBorders>
            <w:shd w:val="clear" w:color="auto" w:fill="C0C0C0"/>
          </w:tcPr>
          <w:p>
            <w:pPr>
              <w:pStyle w:val="TableParagraph"/>
              <w:spacing w:line="240" w:lineRule="exact"/>
              <w:ind w:left="919"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spacing w:val="-1"/>
                <w:sz w:val="21"/>
              </w:rPr>
              <w:t>22,855,707.98</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7"/>
              <w:jc w:val="right"/>
              <w:rPr>
                <w:rFonts w:ascii="Arial Narrow" w:hAnsi="Arial Narrow" w:cs="Arial Narrow" w:eastAsia="Arial Narrow" w:hint="default"/>
                <w:sz w:val="21"/>
                <w:szCs w:val="21"/>
              </w:rPr>
            </w:pPr>
            <w:r>
              <w:rPr>
                <w:rFonts w:ascii="Arial Narrow"/>
                <w:spacing w:val="-1"/>
                <w:sz w:val="21"/>
              </w:rPr>
              <w:t>17,509,030.39</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业务接待费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spacing w:val="-1"/>
                <w:sz w:val="21"/>
              </w:rPr>
              <w:t>14,783,394.72</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7"/>
              <w:jc w:val="right"/>
              <w:rPr>
                <w:rFonts w:ascii="Arial Narrow" w:hAnsi="Arial Narrow" w:cs="Arial Narrow" w:eastAsia="Arial Narrow" w:hint="default"/>
                <w:sz w:val="21"/>
                <w:szCs w:val="21"/>
              </w:rPr>
            </w:pPr>
            <w:r>
              <w:rPr>
                <w:rFonts w:ascii="Arial Narrow"/>
                <w:spacing w:val="-2"/>
                <w:sz w:val="21"/>
              </w:rPr>
              <w:t>11,164,897.99</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工资</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8,247,787.09</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6,991,458.87</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3,902,896.83</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2,247,244.45</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会议会务费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3,573,960.32</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1,013,283.61</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行政办公费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3,415,669.63</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2,040,529.04</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房租费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1,588,825.78</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710,444.40</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福利费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1,387,578.04</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764,458.42</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装修费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1,253,928.42</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370,250.16</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顾问费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99"/>
              <w:jc w:val="right"/>
              <w:rPr>
                <w:rFonts w:ascii="Arial Narrow" w:hAnsi="Arial Narrow" w:cs="Arial Narrow" w:eastAsia="Arial Narrow" w:hint="default"/>
                <w:sz w:val="21"/>
                <w:szCs w:val="21"/>
              </w:rPr>
            </w:pPr>
            <w:r>
              <w:rPr>
                <w:rFonts w:ascii="Arial Narrow"/>
                <w:spacing w:val="-1"/>
                <w:sz w:val="21"/>
              </w:rPr>
              <w:t>1,171,524.75</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74,000.00</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水电费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855,146.95</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635,191.33</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702,101.80</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396,085.17</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517,500.00</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302,589.54</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54" w:lineRule="exact"/>
              <w:ind w:left="100" w:right="0"/>
              <w:jc w:val="left"/>
              <w:rPr>
                <w:rFonts w:ascii="宋体" w:hAnsi="宋体" w:cs="宋体" w:eastAsia="宋体" w:hint="default"/>
                <w:sz w:val="21"/>
                <w:szCs w:val="21"/>
              </w:rPr>
            </w:pPr>
            <w:r>
              <w:rPr>
                <w:rFonts w:ascii="宋体" w:hAnsi="宋体" w:cs="宋体" w:eastAsia="宋体" w:hint="default"/>
                <w:sz w:val="21"/>
                <w:szCs w:val="21"/>
              </w:rPr>
              <w:t>维修</w:t>
            </w:r>
            <w:r>
              <w:rPr>
                <w:rFonts w:ascii="Arial Narrow" w:hAnsi="Arial Narrow" w:cs="Arial Narrow" w:eastAsia="Arial Narrow" w:hint="default"/>
                <w:sz w:val="21"/>
                <w:szCs w:val="21"/>
              </w:rPr>
              <w:t>(</w:t>
            </w:r>
            <w:r>
              <w:rPr>
                <w:rFonts w:ascii="宋体" w:hAnsi="宋体" w:cs="宋体" w:eastAsia="宋体" w:hint="default"/>
                <w:sz w:val="21"/>
                <w:szCs w:val="21"/>
              </w:rPr>
              <w:t>护</w:t>
            </w:r>
            <w:r>
              <w:rPr>
                <w:rFonts w:ascii="Arial Narrow" w:hAnsi="Arial Narrow" w:cs="Arial Narrow" w:eastAsia="Arial Narrow" w:hint="default"/>
                <w:sz w:val="21"/>
                <w:szCs w:val="21"/>
              </w:rPr>
              <w:t>)</w:t>
            </w:r>
            <w:r>
              <w:rPr>
                <w:rFonts w:ascii="宋体" w:hAnsi="宋体" w:cs="宋体" w:eastAsia="宋体" w:hint="default"/>
                <w:sz w:val="21"/>
                <w:szCs w:val="21"/>
              </w:rPr>
              <w:t>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492,410.84</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225,251.24</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各种税费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484,515.60</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393,372.17</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455,971.74</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253,417.56</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物业费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406,621.29</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257,683.49</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教育经费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386,808.35</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243,301.21</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审计费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319,600.00</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spacing w:val="-1"/>
                <w:sz w:val="21"/>
              </w:rPr>
              <w:t>532,000.00</w:t>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会员年费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2"/>
                <w:sz w:val="21"/>
              </w:rPr>
              <w:t>135,110.00</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69,000.00</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残疾人补助金</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71,106.08</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23,033.41</w:t>
            </w: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企业年金</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43,405.67</w:t>
            </w:r>
          </w:p>
        </w:tc>
        <w:tc>
          <w:tcPr>
            <w:tcW w:w="2899" w:type="dxa"/>
            <w:tcBorders>
              <w:top w:val="single" w:sz="4" w:space="0" w:color="000000"/>
              <w:left w:val="single" w:sz="4" w:space="0" w:color="000000"/>
              <w:bottom w:val="single" w:sz="4" w:space="0" w:color="000000"/>
              <w:right w:val="single" w:sz="6" w:space="0" w:color="000000"/>
            </w:tcBorders>
          </w:tcPr>
          <w:p>
            <w:pPr/>
          </w:p>
        </w:tc>
      </w:tr>
      <w:tr>
        <w:trPr>
          <w:trHeight w:val="282"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工会经费</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21,810.32</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8"/>
              <w:jc w:val="right"/>
              <w:rPr>
                <w:rFonts w:ascii="Arial Narrow" w:hAnsi="Arial Narrow" w:cs="Arial Narrow" w:eastAsia="Arial Narrow" w:hint="default"/>
                <w:sz w:val="21"/>
                <w:szCs w:val="21"/>
              </w:rPr>
            </w:pPr>
            <w:r>
              <w:rPr>
                <w:rFonts w:ascii="Arial Narrow"/>
                <w:w w:val="95"/>
                <w:sz w:val="21"/>
              </w:rPr>
              <w:t>3,525.30</w:t>
            </w:r>
            <w:r>
              <w:rPr>
                <w:rFonts w:ascii="Arial Narrow"/>
                <w:sz w:val="21"/>
              </w:rPr>
            </w:r>
          </w:p>
        </w:tc>
      </w:tr>
      <w:tr>
        <w:trPr>
          <w:trHeight w:val="283" w:hRule="exact"/>
        </w:trPr>
        <w:tc>
          <w:tcPr>
            <w:tcW w:w="2632" w:type="dxa"/>
            <w:tcBorders>
              <w:top w:val="single" w:sz="4" w:space="0" w:color="000000"/>
              <w:left w:val="single" w:sz="6"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00"/>
              <w:jc w:val="right"/>
              <w:rPr>
                <w:rFonts w:ascii="Arial Narrow" w:hAnsi="Arial Narrow" w:cs="Arial Narrow" w:eastAsia="Arial Narrow" w:hint="default"/>
                <w:sz w:val="21"/>
                <w:szCs w:val="21"/>
              </w:rPr>
            </w:pPr>
            <w:r>
              <w:rPr>
                <w:rFonts w:ascii="Arial Narrow"/>
                <w:spacing w:val="-1"/>
                <w:sz w:val="21"/>
              </w:rPr>
              <w:t>54,055.82</w:t>
            </w:r>
          </w:p>
        </w:tc>
        <w:tc>
          <w:tcPr>
            <w:tcW w:w="289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29"/>
              <w:ind w:right="99"/>
              <w:jc w:val="right"/>
              <w:rPr>
                <w:rFonts w:ascii="Arial Narrow" w:hAnsi="Arial Narrow" w:cs="Arial Narrow" w:eastAsia="Arial Narrow" w:hint="default"/>
                <w:sz w:val="21"/>
                <w:szCs w:val="21"/>
              </w:rPr>
            </w:pPr>
            <w:r>
              <w:rPr>
                <w:rFonts w:ascii="Arial Narrow"/>
                <w:spacing w:val="-1"/>
                <w:sz w:val="21"/>
              </w:rPr>
              <w:t>15,983.00</w:t>
            </w:r>
          </w:p>
        </w:tc>
      </w:tr>
      <w:tr>
        <w:trPr>
          <w:trHeight w:val="284" w:hRule="exact"/>
        </w:trPr>
        <w:tc>
          <w:tcPr>
            <w:tcW w:w="2632" w:type="dxa"/>
            <w:tcBorders>
              <w:top w:val="single" w:sz="4" w:space="0" w:color="000000"/>
              <w:left w:val="single" w:sz="6" w:space="0" w:color="000000"/>
              <w:bottom w:val="single" w:sz="6" w:space="0" w:color="000000"/>
              <w:right w:val="single" w:sz="4" w:space="0" w:color="000000"/>
            </w:tcBorders>
          </w:tcPr>
          <w:p>
            <w:pPr>
              <w:pStyle w:val="TableParagraph"/>
              <w:tabs>
                <w:tab w:pos="421" w:val="left" w:leader="none"/>
              </w:tabs>
              <w:spacing w:line="240" w:lineRule="exact"/>
              <w:ind w:right="99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325"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28"/>
              <w:ind w:right="98"/>
              <w:jc w:val="right"/>
              <w:rPr>
                <w:rFonts w:ascii="Arial Narrow" w:hAnsi="Arial Narrow" w:cs="Arial Narrow" w:eastAsia="Arial Narrow" w:hint="default"/>
                <w:sz w:val="21"/>
                <w:szCs w:val="21"/>
              </w:rPr>
            </w:pPr>
            <w:r>
              <w:rPr>
                <w:rFonts w:ascii="Arial Narrow"/>
                <w:spacing w:val="-1"/>
                <w:sz w:val="21"/>
              </w:rPr>
              <w:t>67,127,438.02</w:t>
            </w:r>
          </w:p>
        </w:tc>
        <w:tc>
          <w:tcPr>
            <w:tcW w:w="2899"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29"/>
              <w:ind w:right="97"/>
              <w:jc w:val="right"/>
              <w:rPr>
                <w:rFonts w:ascii="Arial Narrow" w:hAnsi="Arial Narrow" w:cs="Arial Narrow" w:eastAsia="Arial Narrow" w:hint="default"/>
                <w:sz w:val="21"/>
                <w:szCs w:val="21"/>
              </w:rPr>
            </w:pPr>
            <w:r>
              <w:rPr>
                <w:rFonts w:ascii="Arial Narrow"/>
                <w:spacing w:val="-1"/>
                <w:sz w:val="21"/>
              </w:rPr>
              <w:t>46,236,030.75</w:t>
            </w:r>
          </w:p>
        </w:tc>
      </w:tr>
    </w:tbl>
    <w:p>
      <w:pPr>
        <w:spacing w:line="338" w:lineRule="auto" w:before="87"/>
        <w:ind w:left="219" w:right="222" w:firstLine="420"/>
        <w:jc w:val="left"/>
        <w:rPr>
          <w:rFonts w:ascii="宋体" w:hAnsi="宋体" w:cs="宋体" w:eastAsia="宋体" w:hint="default"/>
          <w:sz w:val="21"/>
          <w:szCs w:val="21"/>
        </w:rPr>
      </w:pPr>
      <w:r>
        <w:rPr>
          <w:rFonts w:ascii="宋体" w:hAnsi="宋体" w:cs="宋体" w:eastAsia="宋体" w:hint="default"/>
          <w:sz w:val="21"/>
          <w:szCs w:val="21"/>
        </w:rPr>
        <w:t>注：本年度管理费用较上年度增长</w:t>
      </w:r>
      <w:r>
        <w:rPr>
          <w:rFonts w:ascii="宋体" w:hAnsi="宋体" w:cs="宋体" w:eastAsia="宋体" w:hint="default"/>
          <w:spacing w:val="-31"/>
          <w:sz w:val="21"/>
          <w:szCs w:val="21"/>
        </w:rPr>
        <w:t> </w:t>
      </w:r>
      <w:r>
        <w:rPr>
          <w:rFonts w:ascii="Arial Narrow" w:hAnsi="Arial Narrow" w:cs="Arial Narrow" w:eastAsia="Arial Narrow" w:hint="default"/>
          <w:sz w:val="21"/>
          <w:szCs w:val="21"/>
        </w:rPr>
        <w:t>45.18%</w:t>
      </w:r>
      <w:r>
        <w:rPr>
          <w:rFonts w:ascii="宋体" w:hAnsi="宋体" w:cs="宋体" w:eastAsia="宋体" w:hint="default"/>
          <w:sz w:val="21"/>
          <w:szCs w:val="21"/>
        </w:rPr>
        <w:t>，主要系本公司经营规模扩大，人员费用、研发 费用及业务招待费等增长所致。</w:t>
      </w:r>
    </w:p>
    <w:p>
      <w:pPr>
        <w:tabs>
          <w:tab w:pos="1899" w:val="left" w:leader="none"/>
        </w:tabs>
        <w:spacing w:before="167"/>
        <w:ind w:left="639" w:right="0" w:firstLine="0"/>
        <w:jc w:val="left"/>
        <w:rPr>
          <w:rFonts w:ascii="宋体" w:hAnsi="宋体" w:cs="宋体" w:eastAsia="宋体" w:hint="default"/>
          <w:sz w:val="21"/>
          <w:szCs w:val="21"/>
        </w:rPr>
      </w:pPr>
      <w:r>
        <w:rPr>
          <w:rFonts w:ascii="宋体" w:hAnsi="宋体" w:cs="宋体" w:eastAsia="宋体" w:hint="default"/>
          <w:b/>
          <w:bCs/>
          <w:w w:val="95"/>
          <w:sz w:val="21"/>
          <w:szCs w:val="21"/>
        </w:rPr>
        <w:t>（二十九）</w:t>
        <w:tab/>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4"/>
        <w:rPr>
          <w:rFonts w:ascii="宋体" w:hAnsi="宋体" w:cs="宋体" w:eastAsia="宋体" w:hint="default"/>
          <w:b/>
          <w:bCs/>
          <w:sz w:val="19"/>
          <w:szCs w:val="19"/>
        </w:rPr>
      </w:pPr>
    </w:p>
    <w:tbl>
      <w:tblPr>
        <w:tblW w:w="0" w:type="auto"/>
        <w:jc w:val="left"/>
        <w:tblInd w:w="110" w:type="dxa"/>
        <w:tblLayout w:type="fixed"/>
        <w:tblCellMar>
          <w:top w:w="0" w:type="dxa"/>
          <w:left w:w="0" w:type="dxa"/>
          <w:bottom w:w="0" w:type="dxa"/>
          <w:right w:w="0" w:type="dxa"/>
        </w:tblCellMar>
        <w:tblLook w:val="01E0"/>
      </w:tblPr>
      <w:tblGrid>
        <w:gridCol w:w="3064"/>
        <w:gridCol w:w="2891"/>
        <w:gridCol w:w="2890"/>
      </w:tblGrid>
      <w:tr>
        <w:trPr>
          <w:trHeight w:val="330" w:hRule="exact"/>
        </w:trPr>
        <w:tc>
          <w:tcPr>
            <w:tcW w:w="306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50" w:lineRule="exact"/>
              <w:ind w:right="1207"/>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289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912"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89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911"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55" w:hRule="exact"/>
        </w:trPr>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8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410,659.20</w:t>
            </w:r>
          </w:p>
        </w:tc>
        <w:tc>
          <w:tcPr>
            <w:tcW w:w="2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553,008.60</w:t>
            </w:r>
          </w:p>
        </w:tc>
      </w:tr>
      <w:tr>
        <w:trPr>
          <w:trHeight w:val="354" w:hRule="exact"/>
        </w:trPr>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00"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8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10,518,073.79</w:t>
            </w:r>
          </w:p>
        </w:tc>
        <w:tc>
          <w:tcPr>
            <w:tcW w:w="2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194,668.39</w:t>
            </w:r>
          </w:p>
        </w:tc>
      </w:tr>
      <w:tr>
        <w:trPr>
          <w:trHeight w:val="355" w:hRule="exact"/>
        </w:trPr>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28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1"/>
              <w:jc w:val="right"/>
              <w:rPr>
                <w:rFonts w:ascii="Arial Narrow" w:hAnsi="Arial Narrow" w:cs="Arial Narrow" w:eastAsia="Arial Narrow" w:hint="default"/>
                <w:sz w:val="21"/>
                <w:szCs w:val="21"/>
              </w:rPr>
            </w:pPr>
            <w:r>
              <w:rPr>
                <w:rFonts w:ascii="Arial Narrow"/>
                <w:spacing w:val="-1"/>
                <w:sz w:val="21"/>
              </w:rPr>
              <w:t>-73,262.54</w:t>
            </w:r>
          </w:p>
        </w:tc>
        <w:tc>
          <w:tcPr>
            <w:tcW w:w="2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-43,246.87</w:t>
            </w:r>
          </w:p>
        </w:tc>
      </w:tr>
      <w:tr>
        <w:trPr>
          <w:trHeight w:val="355" w:hRule="exact"/>
        </w:trPr>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手续费及其他</w:t>
            </w:r>
          </w:p>
        </w:tc>
        <w:tc>
          <w:tcPr>
            <w:tcW w:w="28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62,549.73</w:t>
            </w:r>
          </w:p>
        </w:tc>
        <w:tc>
          <w:tcPr>
            <w:tcW w:w="2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44,975.79</w:t>
            </w:r>
          </w:p>
        </w:tc>
      </w:tr>
      <w:tr>
        <w:trPr>
          <w:trHeight w:val="354" w:hRule="exact"/>
        </w:trPr>
        <w:tc>
          <w:tcPr>
            <w:tcW w:w="306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20"/>
              <w:ind w:right="1207"/>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8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2"/>
                <w:sz w:val="21"/>
              </w:rPr>
              <w:t>-10,118,127.40</w:t>
            </w:r>
          </w:p>
        </w:tc>
        <w:tc>
          <w:tcPr>
            <w:tcW w:w="2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360,069.13</w:t>
            </w:r>
          </w:p>
        </w:tc>
      </w:tr>
    </w:tbl>
    <w:p>
      <w:pPr>
        <w:spacing w:before="87"/>
        <w:ind w:left="640" w:right="0" w:firstLine="0"/>
        <w:jc w:val="left"/>
        <w:rPr>
          <w:rFonts w:ascii="宋体" w:hAnsi="宋体" w:cs="宋体" w:eastAsia="宋体" w:hint="default"/>
          <w:sz w:val="21"/>
          <w:szCs w:val="21"/>
        </w:rPr>
      </w:pPr>
      <w:r>
        <w:rPr>
          <w:rFonts w:ascii="宋体" w:hAnsi="宋体" w:cs="宋体" w:eastAsia="宋体" w:hint="default"/>
          <w:sz w:val="21"/>
          <w:szCs w:val="21"/>
        </w:rPr>
        <w:t>注：本年度财务费用较上年度大幅减少，主要系本年度募集资金存款利息收入增加所致。</w:t>
      </w:r>
    </w:p>
    <w:p>
      <w:pPr>
        <w:spacing w:after="0"/>
        <w:jc w:val="left"/>
        <w:rPr>
          <w:rFonts w:ascii="宋体" w:hAnsi="宋体" w:cs="宋体" w:eastAsia="宋体" w:hint="default"/>
          <w:sz w:val="21"/>
          <w:szCs w:val="21"/>
        </w:rPr>
        <w:sectPr>
          <w:pgSz w:w="12240" w:h="15840"/>
          <w:pgMar w:header="0" w:footer="688" w:top="1400" w:bottom="900" w:left="1580" w:right="1560"/>
        </w:sectPr>
      </w:pPr>
    </w:p>
    <w:p>
      <w:pPr>
        <w:tabs>
          <w:tab w:pos="1899" w:val="left" w:leader="none"/>
        </w:tabs>
        <w:spacing w:before="6"/>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（三十）</w:t>
        <w:tab/>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12"/>
        <w:rPr>
          <w:rFonts w:ascii="宋体" w:hAnsi="宋体" w:cs="宋体" w:eastAsia="宋体" w:hint="default"/>
          <w:b/>
          <w:bCs/>
          <w:sz w:val="17"/>
          <w:szCs w:val="17"/>
        </w:rPr>
      </w:pPr>
    </w:p>
    <w:tbl>
      <w:tblPr>
        <w:tblW w:w="0" w:type="auto"/>
        <w:jc w:val="left"/>
        <w:tblInd w:w="110" w:type="dxa"/>
        <w:tblLayout w:type="fixed"/>
        <w:tblCellMar>
          <w:top w:w="0" w:type="dxa"/>
          <w:left w:w="0" w:type="dxa"/>
          <w:bottom w:w="0" w:type="dxa"/>
          <w:right w:w="0" w:type="dxa"/>
        </w:tblCellMar>
        <w:tblLook w:val="01E0"/>
      </w:tblPr>
      <w:tblGrid>
        <w:gridCol w:w="4418"/>
        <w:gridCol w:w="2065"/>
        <w:gridCol w:w="2360"/>
      </w:tblGrid>
      <w:tr>
        <w:trPr>
          <w:trHeight w:val="341" w:hRule="exact"/>
        </w:trPr>
        <w:tc>
          <w:tcPr>
            <w:tcW w:w="44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sz w:val="21"/>
                <w:szCs w:val="21"/>
              </w:rPr>
              <w:t>项 目</w:t>
            </w:r>
          </w:p>
        </w:tc>
        <w:tc>
          <w:tcPr>
            <w:tcW w:w="206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50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3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647"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62" w:hRule="exact"/>
        </w:trPr>
        <w:tc>
          <w:tcPr>
            <w:tcW w:w="4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20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left="944" w:right="0"/>
              <w:jc w:val="left"/>
              <w:rPr>
                <w:rFonts w:ascii="Arial Narrow" w:hAnsi="Arial Narrow" w:cs="Arial Narrow" w:eastAsia="Arial Narrow" w:hint="default"/>
                <w:sz w:val="21"/>
                <w:szCs w:val="21"/>
              </w:rPr>
            </w:pPr>
            <w:r>
              <w:rPr>
                <w:rFonts w:ascii="Arial Narrow"/>
                <w:sz w:val="21"/>
              </w:rPr>
              <w:t>3,983,191.58</w:t>
            </w:r>
          </w:p>
        </w:tc>
        <w:tc>
          <w:tcPr>
            <w:tcW w:w="23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left="1239" w:right="0"/>
              <w:jc w:val="left"/>
              <w:rPr>
                <w:rFonts w:ascii="Arial Narrow" w:hAnsi="Arial Narrow" w:cs="Arial Narrow" w:eastAsia="Arial Narrow" w:hint="default"/>
                <w:sz w:val="21"/>
                <w:szCs w:val="21"/>
              </w:rPr>
            </w:pPr>
            <w:r>
              <w:rPr>
                <w:rFonts w:ascii="Arial Narrow"/>
                <w:sz w:val="21"/>
              </w:rPr>
              <w:t>1,359,916.92</w:t>
            </w:r>
          </w:p>
        </w:tc>
      </w:tr>
    </w:tbl>
    <w:p>
      <w:pPr>
        <w:tabs>
          <w:tab w:pos="1899" w:val="left" w:leader="none"/>
        </w:tabs>
        <w:spacing w:before="27"/>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（三十一）</w:t>
        <w:tab/>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、营业外收入明细项目列示如下：</w:t>
      </w:r>
    </w:p>
    <w:p>
      <w:pPr>
        <w:spacing w:line="240" w:lineRule="auto" w:before="5"/>
        <w:rPr>
          <w:rFonts w:ascii="宋体" w:hAnsi="宋体" w:cs="宋体" w:eastAsia="宋体" w:hint="default"/>
          <w:sz w:val="21"/>
          <w:szCs w:val="21"/>
        </w:rPr>
      </w:pPr>
    </w:p>
    <w:tbl>
      <w:tblPr>
        <w:tblW w:w="0" w:type="auto"/>
        <w:jc w:val="left"/>
        <w:tblInd w:w="110" w:type="dxa"/>
        <w:tblLayout w:type="fixed"/>
        <w:tblCellMar>
          <w:top w:w="0" w:type="dxa"/>
          <w:left w:w="0" w:type="dxa"/>
          <w:bottom w:w="0" w:type="dxa"/>
          <w:right w:w="0" w:type="dxa"/>
        </w:tblCellMar>
        <w:tblLook w:val="01E0"/>
      </w:tblPr>
      <w:tblGrid>
        <w:gridCol w:w="1528"/>
        <w:gridCol w:w="1748"/>
        <w:gridCol w:w="2324"/>
        <w:gridCol w:w="3244"/>
      </w:tblGrid>
      <w:tr>
        <w:trPr>
          <w:trHeight w:val="341" w:hRule="exact"/>
        </w:trPr>
        <w:tc>
          <w:tcPr>
            <w:tcW w:w="152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2"/>
              <w:ind w:right="439"/>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4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342"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3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630" w:right="0"/>
              <w:jc w:val="left"/>
              <w:rPr>
                <w:rFonts w:ascii="宋体" w:hAnsi="宋体" w:cs="宋体" w:eastAsia="宋体" w:hint="default"/>
                <w:sz w:val="21"/>
                <w:szCs w:val="21"/>
              </w:rPr>
            </w:pPr>
            <w:r>
              <w:rPr>
                <w:rFonts w:ascii="宋体" w:hAnsi="宋体" w:cs="宋体" w:eastAsia="宋体" w:hint="default"/>
                <w:sz w:val="21"/>
                <w:szCs w:val="21"/>
              </w:rPr>
              <w:t>上年发生额</w:t>
            </w:r>
          </w:p>
        </w:tc>
        <w:tc>
          <w:tcPr>
            <w:tcW w:w="32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49" w:right="0"/>
              <w:jc w:val="left"/>
              <w:rPr>
                <w:rFonts w:ascii="宋体" w:hAnsi="宋体" w:cs="宋体" w:eastAsia="宋体" w:hint="default"/>
                <w:sz w:val="21"/>
                <w:szCs w:val="21"/>
              </w:rPr>
            </w:pPr>
            <w:r>
              <w:rPr>
                <w:rFonts w:ascii="宋体" w:hAnsi="宋体" w:cs="宋体" w:eastAsia="宋体" w:hint="default"/>
                <w:sz w:val="21"/>
                <w:szCs w:val="21"/>
              </w:rPr>
              <w:t>计入当期非经常性损益的金额</w:t>
            </w:r>
          </w:p>
        </w:tc>
      </w:tr>
      <w:tr>
        <w:trPr>
          <w:trHeight w:val="362" w:hRule="exact"/>
        </w:trPr>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7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17,985,699.43</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17,891,226.27</w:t>
            </w:r>
          </w:p>
        </w:tc>
        <w:tc>
          <w:tcPr>
            <w:tcW w:w="3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7,825,186.73</w:t>
            </w:r>
          </w:p>
        </w:tc>
      </w:tr>
      <w:tr>
        <w:trPr>
          <w:trHeight w:val="355" w:hRule="exact"/>
        </w:trPr>
        <w:tc>
          <w:tcPr>
            <w:tcW w:w="15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270,638.37</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156,470.81</w:t>
            </w:r>
          </w:p>
        </w:tc>
        <w:tc>
          <w:tcPr>
            <w:tcW w:w="3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270,638.37</w:t>
            </w:r>
          </w:p>
        </w:tc>
      </w:tr>
      <w:tr>
        <w:trPr>
          <w:trHeight w:val="354" w:hRule="exact"/>
        </w:trPr>
        <w:tc>
          <w:tcPr>
            <w:tcW w:w="1528"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20"/>
              <w:ind w:right="43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7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18,256,337.80</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18,047,697.08</w:t>
            </w:r>
          </w:p>
        </w:tc>
        <w:tc>
          <w:tcPr>
            <w:tcW w:w="3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8,095,825.10</w:t>
            </w:r>
          </w:p>
        </w:tc>
      </w:tr>
    </w:tbl>
    <w:p>
      <w:pPr>
        <w:spacing w:before="87"/>
        <w:ind w:left="745"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、政府补助明细项目列示如下：</w:t>
      </w:r>
    </w:p>
    <w:p>
      <w:pPr>
        <w:spacing w:line="240" w:lineRule="auto" w:before="10"/>
        <w:rPr>
          <w:rFonts w:ascii="宋体" w:hAnsi="宋体" w:cs="宋体" w:eastAsia="宋体" w:hint="default"/>
          <w:sz w:val="11"/>
          <w:szCs w:val="11"/>
        </w:rPr>
      </w:pPr>
    </w:p>
    <w:tbl>
      <w:tblPr>
        <w:tblW w:w="0" w:type="auto"/>
        <w:jc w:val="left"/>
        <w:tblInd w:w="212" w:type="dxa"/>
        <w:tblLayout w:type="fixed"/>
        <w:tblCellMar>
          <w:top w:w="0" w:type="dxa"/>
          <w:left w:w="0" w:type="dxa"/>
          <w:bottom w:w="0" w:type="dxa"/>
          <w:right w:w="0" w:type="dxa"/>
        </w:tblCellMar>
        <w:tblLook w:val="01E0"/>
      </w:tblPr>
      <w:tblGrid>
        <w:gridCol w:w="6096"/>
        <w:gridCol w:w="1318"/>
        <w:gridCol w:w="1319"/>
      </w:tblGrid>
      <w:tr>
        <w:trPr>
          <w:trHeight w:val="352" w:hRule="exact"/>
        </w:trPr>
        <w:tc>
          <w:tcPr>
            <w:tcW w:w="6096" w:type="dxa"/>
            <w:tcBorders>
              <w:top w:val="single" w:sz="6" w:space="0" w:color="000000"/>
              <w:left w:val="single" w:sz="6" w:space="0" w:color="000000"/>
              <w:bottom w:val="single" w:sz="4" w:space="0" w:color="000000"/>
              <w:right w:val="single" w:sz="4" w:space="0" w:color="000000"/>
            </w:tcBorders>
            <w:shd w:val="clear" w:color="auto" w:fill="C0C0C0"/>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18" w:type="dxa"/>
            <w:tcBorders>
              <w:top w:val="single" w:sz="6" w:space="0" w:color="000000"/>
              <w:left w:val="single" w:sz="4" w:space="0" w:color="000000"/>
              <w:bottom w:val="single" w:sz="4" w:space="0" w:color="000000"/>
              <w:right w:val="single" w:sz="4" w:space="0" w:color="000000"/>
            </w:tcBorders>
            <w:shd w:val="clear" w:color="auto" w:fill="C0C0C0"/>
          </w:tcPr>
          <w:p>
            <w:pPr>
              <w:pStyle w:val="TableParagraph"/>
              <w:spacing w:line="274" w:lineRule="exact"/>
              <w:ind w:right="127"/>
              <w:jc w:val="right"/>
              <w:rPr>
                <w:rFonts w:ascii="宋体" w:hAnsi="宋体" w:cs="宋体" w:eastAsia="宋体" w:hint="default"/>
                <w:sz w:val="21"/>
                <w:szCs w:val="21"/>
              </w:rPr>
            </w:pPr>
            <w:r>
              <w:rPr>
                <w:rFonts w:ascii="宋体" w:hAnsi="宋体" w:cs="宋体" w:eastAsia="宋体" w:hint="default"/>
                <w:sz w:val="21"/>
                <w:szCs w:val="21"/>
              </w:rPr>
              <w:t>本年发生额</w:t>
            </w:r>
          </w:p>
        </w:tc>
        <w:tc>
          <w:tcPr>
            <w:tcW w:w="1319" w:type="dxa"/>
            <w:tcBorders>
              <w:top w:val="single" w:sz="6" w:space="0" w:color="000000"/>
              <w:left w:val="single" w:sz="4" w:space="0" w:color="000000"/>
              <w:bottom w:val="single" w:sz="4" w:space="0" w:color="000000"/>
              <w:right w:val="single" w:sz="6" w:space="0" w:color="000000"/>
            </w:tcBorders>
            <w:shd w:val="clear" w:color="auto" w:fill="C0C0C0"/>
          </w:tcPr>
          <w:p>
            <w:pPr>
              <w:pStyle w:val="TableParagraph"/>
              <w:spacing w:line="274" w:lineRule="exact"/>
              <w:ind w:right="126"/>
              <w:jc w:val="righ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软件产品增值税返还</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10,160,512.70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6,498,297.03</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电子数据取证综合平台产业化项目</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2,713,266.59</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pacing w:val="-1"/>
                <w:sz w:val="21"/>
              </w:rPr>
              <w:t>2,829,729.24</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厦门火炬高技术产业开发区管委会财政扶持资金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1,436,500.00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pacing w:val="-1"/>
                <w:sz w:val="21"/>
              </w:rPr>
              <w:t>1,127,400.00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88"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2009</w:t>
            </w:r>
            <w:r>
              <w:rPr>
                <w:rFonts w:ascii="Arial Narrow" w:hAnsi="Arial Narrow" w:cs="Arial Narrow" w:eastAsia="Arial Narrow" w:hint="default"/>
                <w:spacing w:val="2"/>
                <w:sz w:val="21"/>
                <w:szCs w:val="21"/>
              </w:rPr>
              <w:t> </w:t>
            </w:r>
            <w:r>
              <w:rPr>
                <w:rFonts w:ascii="宋体" w:hAnsi="宋体" w:cs="宋体" w:eastAsia="宋体" w:hint="default"/>
                <w:sz w:val="21"/>
                <w:szCs w:val="21"/>
              </w:rPr>
              <w:t>年度软件骨干企业奖励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957,600.00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新一代电子数据取证技术研究及应用</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600,000.00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厦门火炬高技术产业开发区管理委员会鼓励改制上市奖励金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500,000.00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1,300,000.00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88"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厦门市政府入选</w:t>
            </w:r>
            <w:r>
              <w:rPr>
                <w:rFonts w:ascii="宋体" w:hAnsi="宋体" w:cs="宋体" w:eastAsia="宋体" w:hint="default"/>
                <w:spacing w:val="-54"/>
                <w:sz w:val="21"/>
                <w:szCs w:val="21"/>
              </w:rPr>
              <w:t> </w:t>
            </w:r>
            <w:r>
              <w:rPr>
                <w:rFonts w:ascii="Arial Narrow" w:hAnsi="Arial Narrow" w:cs="Arial Narrow" w:eastAsia="Arial Narrow" w:hint="default"/>
                <w:sz w:val="21"/>
                <w:szCs w:val="21"/>
              </w:rPr>
              <w:t>2010</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年度国家规划布局内重点软件企业奖励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500,000.00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互联网舆情分析综合平台研发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300,000.00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厦门市信息化局首次获得国家规划布局内重点软件企业认定奖励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300,000.00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福建省知识产权优势企业培育资金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100,000.00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网络信息取证系统优秀新产品奖励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100,000.00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厦门市财政局科技进步奖</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100,000.00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100,000.00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厦门火炬高技术产业开发区管理委员会纳税大户奖励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80,000.00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厦门火炬高技术产业开发区企业专利申请资助</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68,000.00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厦门外国专家局聘请外国专家经费资助</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pacing w:val="-1"/>
                <w:sz w:val="21"/>
              </w:rPr>
              <w:t>55,000.00</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厦门市知识产权局专利申请费用资助</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w w:val="95"/>
                <w:sz w:val="21"/>
              </w:rPr>
              <w:t>7,000.00</w:t>
            </w:r>
            <w:r>
              <w:rPr>
                <w:rFonts w:ascii="Arial Narrow"/>
                <w:sz w:val="21"/>
              </w:rPr>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75,800.00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社保补差款</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w w:val="95"/>
                <w:sz w:val="21"/>
              </w:rPr>
              <w:t>4,620.14</w:t>
            </w:r>
            <w:r>
              <w:rPr>
                <w:rFonts w:ascii="Arial Narrow"/>
                <w:sz w:val="21"/>
              </w:rPr>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软件产品登记奖励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w w:val="95"/>
                <w:sz w:val="21"/>
              </w:rPr>
              <w:t>3,200.00</w:t>
            </w:r>
            <w:r>
              <w:rPr>
                <w:rFonts w:ascii="Arial Narrow"/>
                <w:sz w:val="21"/>
              </w:rPr>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z w:val="21"/>
              </w:rPr>
              <w:t>-</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88"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6.18</w:t>
            </w:r>
            <w:r>
              <w:rPr>
                <w:rFonts w:ascii="Arial Narrow" w:hAnsi="Arial Narrow" w:cs="Arial Narrow" w:eastAsia="Arial Narrow" w:hint="default"/>
                <w:spacing w:val="2"/>
                <w:sz w:val="21"/>
                <w:szCs w:val="21"/>
              </w:rPr>
              <w:t> </w:t>
            </w:r>
            <w:r>
              <w:rPr>
                <w:rFonts w:ascii="宋体" w:hAnsi="宋体" w:cs="宋体" w:eastAsia="宋体" w:hint="default"/>
                <w:sz w:val="21"/>
                <w:szCs w:val="21"/>
              </w:rPr>
              <w:t>项目科技成果转化扶持资金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200,000.00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福建省优秀软件产品奖励金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1,000,000.00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互联网舆情分析专用设备推广应用</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1,050,000.00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科学技术奖奖励</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50,000.00</w:t>
            </w:r>
          </w:p>
        </w:tc>
      </w:tr>
      <w:tr>
        <w:trPr>
          <w:trHeight w:val="352" w:hRule="exact"/>
        </w:trPr>
        <w:tc>
          <w:tcPr>
            <w:tcW w:w="6096" w:type="dxa"/>
            <w:tcBorders>
              <w:top w:val="single" w:sz="4" w:space="0" w:color="000000"/>
              <w:left w:val="single" w:sz="6" w:space="0" w:color="000000"/>
              <w:bottom w:val="single" w:sz="6"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厦门财政局补助引进高层次软件人才</w:t>
            </w:r>
          </w:p>
        </w:tc>
        <w:tc>
          <w:tcPr>
            <w:tcW w:w="13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300,000.00</w:t>
            </w:r>
          </w:p>
        </w:tc>
      </w:tr>
    </w:tbl>
    <w:p>
      <w:pPr>
        <w:spacing w:after="0" w:line="240" w:lineRule="auto"/>
        <w:jc w:val="right"/>
        <w:rPr>
          <w:rFonts w:ascii="Arial Narrow" w:hAnsi="Arial Narrow" w:cs="Arial Narrow" w:eastAsia="Arial Narrow" w:hint="default"/>
          <w:sz w:val="21"/>
          <w:szCs w:val="21"/>
        </w:rPr>
        <w:sectPr>
          <w:pgSz w:w="12240" w:h="15840"/>
          <w:pgMar w:header="0" w:footer="688" w:top="1400" w:bottom="900" w:left="1580" w:right="1580"/>
        </w:sectPr>
      </w:pPr>
    </w:p>
    <w:p>
      <w:pPr>
        <w:spacing w:line="240" w:lineRule="auto" w:before="1"/>
        <w:rPr>
          <w:rFonts w:ascii="宋体" w:hAnsi="宋体" w:cs="宋体" w:eastAsia="宋体" w:hint="default"/>
          <w:sz w:val="6"/>
          <w:szCs w:val="6"/>
        </w:rPr>
      </w:pPr>
    </w:p>
    <w:tbl>
      <w:tblPr>
        <w:tblW w:w="0" w:type="auto"/>
        <w:jc w:val="left"/>
        <w:tblInd w:w="212" w:type="dxa"/>
        <w:tblLayout w:type="fixed"/>
        <w:tblCellMar>
          <w:top w:w="0" w:type="dxa"/>
          <w:left w:w="0" w:type="dxa"/>
          <w:bottom w:w="0" w:type="dxa"/>
          <w:right w:w="0" w:type="dxa"/>
        </w:tblCellMar>
        <w:tblLook w:val="01E0"/>
      </w:tblPr>
      <w:tblGrid>
        <w:gridCol w:w="6096"/>
        <w:gridCol w:w="1318"/>
        <w:gridCol w:w="1319"/>
      </w:tblGrid>
      <w:tr>
        <w:trPr>
          <w:trHeight w:val="353" w:hRule="exact"/>
        </w:trPr>
        <w:tc>
          <w:tcPr>
            <w:tcW w:w="6096" w:type="dxa"/>
            <w:tcBorders>
              <w:top w:val="single" w:sz="6" w:space="0" w:color="000000"/>
              <w:left w:val="single" w:sz="6" w:space="0" w:color="000000"/>
              <w:bottom w:val="single" w:sz="4" w:space="0" w:color="000000"/>
              <w:right w:val="single" w:sz="4"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厦门财政局企业专利申请补助金</w:t>
            </w:r>
          </w:p>
        </w:tc>
        <w:tc>
          <w:tcPr>
            <w:tcW w:w="13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48"/>
              <w:ind w:right="100"/>
              <w:jc w:val="right"/>
              <w:rPr>
                <w:rFonts w:ascii="Arial Narrow" w:hAnsi="Arial Narrow" w:cs="Arial Narrow" w:eastAsia="Arial Narrow" w:hint="default"/>
                <w:sz w:val="21"/>
                <w:szCs w:val="21"/>
              </w:rPr>
            </w:pPr>
            <w:r>
              <w:rPr>
                <w:rFonts w:ascii="Arial Narrow"/>
                <w:spacing w:val="-1"/>
                <w:sz w:val="21"/>
              </w:rPr>
              <w:t>900,000.00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厦门火炬高技术产业开发区管理委员会项目扶持无偿资助</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360,000.00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厦门市财政局上市工作经费补助</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5"/>
              <w:ind w:right="100"/>
              <w:jc w:val="right"/>
              <w:rPr>
                <w:rFonts w:ascii="Arial Narrow" w:hAnsi="Arial Narrow" w:cs="Arial Narrow" w:eastAsia="Arial Narrow" w:hint="default"/>
                <w:sz w:val="21"/>
                <w:szCs w:val="21"/>
              </w:rPr>
            </w:pPr>
            <w:r>
              <w:rPr>
                <w:rFonts w:ascii="Arial Narrow"/>
                <w:spacing w:val="-1"/>
                <w:sz w:val="21"/>
              </w:rPr>
              <w:t>500,000.00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厦门市财政局中小企业发展专项资金</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350,000.00</w:t>
            </w:r>
          </w:p>
        </w:tc>
      </w:tr>
      <w:tr>
        <w:trPr>
          <w:trHeight w:val="350"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88"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厦门市科技计划项目</w:t>
            </w:r>
            <w:r>
              <w:rPr>
                <w:rFonts w:ascii="Arial Narrow" w:hAnsi="Arial Narrow" w:cs="Arial Narrow" w:eastAsia="Arial Narrow" w:hint="default"/>
                <w:sz w:val="21"/>
                <w:szCs w:val="21"/>
              </w:rPr>
              <w:t>:</w:t>
            </w:r>
            <w:r>
              <w:rPr>
                <w:rFonts w:ascii="宋体" w:hAnsi="宋体" w:cs="宋体" w:eastAsia="宋体" w:hint="default"/>
                <w:sz w:val="21"/>
                <w:szCs w:val="21"/>
              </w:rPr>
              <w:t>公共信息网络安全信息系统</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99"/>
              <w:jc w:val="right"/>
              <w:rPr>
                <w:rFonts w:ascii="Arial Narrow" w:hAnsi="Arial Narrow" w:cs="Arial Narrow" w:eastAsia="Arial Narrow" w:hint="default"/>
                <w:sz w:val="21"/>
                <w:szCs w:val="21"/>
              </w:rPr>
            </w:pPr>
            <w:r>
              <w:rPr>
                <w:rFonts w:ascii="Arial Narrow"/>
                <w:spacing w:val="-1"/>
                <w:sz w:val="21"/>
              </w:rPr>
              <w:t>800,000.00</w:t>
            </w:r>
          </w:p>
        </w:tc>
      </w:tr>
      <w:tr>
        <w:trPr>
          <w:trHeight w:val="349" w:hRule="exact"/>
        </w:trPr>
        <w:tc>
          <w:tcPr>
            <w:tcW w:w="6096" w:type="dxa"/>
            <w:tcBorders>
              <w:top w:val="single" w:sz="4" w:space="0" w:color="000000"/>
              <w:left w:val="single" w:sz="6" w:space="0" w:color="000000"/>
              <w:bottom w:val="single" w:sz="4" w:space="0" w:color="000000"/>
              <w:right w:val="single" w:sz="4" w:space="0" w:color="000000"/>
            </w:tcBorders>
          </w:tcPr>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厦门市科技局计划项目计算机仿真重现取证技术研究项目</w:t>
            </w:r>
          </w:p>
        </w:tc>
        <w:tc>
          <w:tcPr>
            <w:tcW w:w="13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01"/>
              <w:jc w:val="right"/>
              <w:rPr>
                <w:rFonts w:ascii="Arial Narrow" w:hAnsi="Arial Narrow" w:cs="Arial Narrow" w:eastAsia="Arial Narrow" w:hint="default"/>
                <w:sz w:val="21"/>
                <w:szCs w:val="21"/>
              </w:rPr>
            </w:pPr>
            <w:r>
              <w:rPr>
                <w:rFonts w:ascii="Arial Narrow"/>
                <w:sz w:val="21"/>
              </w:rPr>
              <w:t>-</w:t>
            </w:r>
          </w:p>
        </w:tc>
        <w:tc>
          <w:tcPr>
            <w:tcW w:w="13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5"/>
              <w:ind w:right="100"/>
              <w:jc w:val="right"/>
              <w:rPr>
                <w:rFonts w:ascii="Arial Narrow" w:hAnsi="Arial Narrow" w:cs="Arial Narrow" w:eastAsia="Arial Narrow" w:hint="default"/>
                <w:sz w:val="21"/>
                <w:szCs w:val="21"/>
              </w:rPr>
            </w:pPr>
            <w:r>
              <w:rPr>
                <w:rFonts w:ascii="Arial Narrow"/>
                <w:spacing w:val="-1"/>
                <w:sz w:val="21"/>
              </w:rPr>
              <w:t>440,000.00</w:t>
            </w:r>
          </w:p>
        </w:tc>
      </w:tr>
      <w:tr>
        <w:trPr>
          <w:trHeight w:val="352" w:hRule="exact"/>
        </w:trPr>
        <w:tc>
          <w:tcPr>
            <w:tcW w:w="6096" w:type="dxa"/>
            <w:tcBorders>
              <w:top w:val="single" w:sz="4" w:space="0" w:color="000000"/>
              <w:left w:val="single" w:sz="6" w:space="0" w:color="000000"/>
              <w:bottom w:val="single" w:sz="6" w:space="0" w:color="000000"/>
              <w:right w:val="single" w:sz="4" w:space="0" w:color="000000"/>
            </w:tcBorders>
          </w:tcPr>
          <w:p>
            <w:pPr>
              <w:pStyle w:val="TableParagraph"/>
              <w:tabs>
                <w:tab w:pos="421" w:val="left" w:leader="none"/>
              </w:tabs>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47"/>
              <w:ind w:right="100"/>
              <w:jc w:val="right"/>
              <w:rPr>
                <w:rFonts w:ascii="Arial Narrow" w:hAnsi="Arial Narrow" w:cs="Arial Narrow" w:eastAsia="Arial Narrow" w:hint="default"/>
                <w:sz w:val="21"/>
                <w:szCs w:val="21"/>
              </w:rPr>
            </w:pPr>
            <w:r>
              <w:rPr>
                <w:rFonts w:ascii="Arial Narrow"/>
                <w:spacing w:val="-1"/>
                <w:sz w:val="21"/>
              </w:rPr>
              <w:t>17,985,699.43</w:t>
            </w:r>
          </w:p>
        </w:tc>
        <w:tc>
          <w:tcPr>
            <w:tcW w:w="1319"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17,891,226.27</w:t>
            </w:r>
          </w:p>
        </w:tc>
      </w:tr>
    </w:tbl>
    <w:p>
      <w:pPr>
        <w:tabs>
          <w:tab w:pos="1899" w:val="left" w:leader="none"/>
        </w:tabs>
        <w:spacing w:before="27"/>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（三十二）</w:t>
        <w:tab/>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6"/>
        <w:rPr>
          <w:rFonts w:ascii="宋体" w:hAnsi="宋体" w:cs="宋体" w:eastAsia="宋体" w:hint="default"/>
          <w:b/>
          <w:bCs/>
          <w:sz w:val="17"/>
          <w:szCs w:val="17"/>
        </w:rPr>
      </w:pPr>
    </w:p>
    <w:tbl>
      <w:tblPr>
        <w:tblW w:w="0" w:type="auto"/>
        <w:jc w:val="left"/>
        <w:tblInd w:w="110" w:type="dxa"/>
        <w:tblLayout w:type="fixed"/>
        <w:tblCellMar>
          <w:top w:w="0" w:type="dxa"/>
          <w:left w:w="0" w:type="dxa"/>
          <w:bottom w:w="0" w:type="dxa"/>
          <w:right w:w="0" w:type="dxa"/>
        </w:tblCellMar>
        <w:tblLook w:val="01E0"/>
      </w:tblPr>
      <w:tblGrid>
        <w:gridCol w:w="3029"/>
        <w:gridCol w:w="1771"/>
        <w:gridCol w:w="2022"/>
        <w:gridCol w:w="2022"/>
      </w:tblGrid>
      <w:tr>
        <w:trPr>
          <w:trHeight w:val="638" w:hRule="exact"/>
        </w:trPr>
        <w:tc>
          <w:tcPr>
            <w:tcW w:w="302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62"/>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7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62"/>
              <w:ind w:left="352"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0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62"/>
              <w:ind w:left="478" w:right="0"/>
              <w:jc w:val="left"/>
              <w:rPr>
                <w:rFonts w:ascii="宋体" w:hAnsi="宋体" w:cs="宋体" w:eastAsia="宋体" w:hint="default"/>
                <w:sz w:val="21"/>
                <w:szCs w:val="21"/>
              </w:rPr>
            </w:pPr>
            <w:r>
              <w:rPr>
                <w:rFonts w:ascii="宋体" w:hAnsi="宋体" w:cs="宋体" w:eastAsia="宋体" w:hint="default"/>
                <w:sz w:val="21"/>
                <w:szCs w:val="21"/>
              </w:rPr>
              <w:t>上年发生额</w:t>
            </w:r>
          </w:p>
        </w:tc>
        <w:tc>
          <w:tcPr>
            <w:tcW w:w="202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3" w:lineRule="auto" w:before="6"/>
              <w:ind w:left="478" w:right="162" w:hanging="316"/>
              <w:jc w:val="left"/>
              <w:rPr>
                <w:rFonts w:ascii="宋体" w:hAnsi="宋体" w:cs="宋体" w:eastAsia="宋体" w:hint="default"/>
                <w:sz w:val="21"/>
                <w:szCs w:val="21"/>
              </w:rPr>
            </w:pPr>
            <w:r>
              <w:rPr>
                <w:rFonts w:ascii="宋体" w:hAnsi="宋体" w:cs="宋体" w:eastAsia="宋体" w:hint="default"/>
                <w:sz w:val="21"/>
                <w:szCs w:val="21"/>
              </w:rPr>
              <w:t>计入当期非经常性 损益的金额</w:t>
            </w:r>
          </w:p>
        </w:tc>
      </w:tr>
      <w:tr>
        <w:trPr>
          <w:trHeight w:val="355"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37,974.62</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37,974.62</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罚款及滞纳金支出</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22,095.50</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10,756.80</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22,095.50</w:t>
            </w:r>
          </w:p>
        </w:tc>
      </w:tr>
      <w:tr>
        <w:trPr>
          <w:trHeight w:val="355"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215,188.00</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191,478.70</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215,188.00</w:t>
            </w:r>
          </w:p>
        </w:tc>
      </w:tr>
      <w:tr>
        <w:trPr>
          <w:trHeight w:val="354"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7,385.26</w:t>
            </w:r>
            <w:r>
              <w:rPr>
                <w:rFonts w:ascii="Arial Narrow"/>
                <w:sz w:val="21"/>
              </w:rPr>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302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20"/>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237,283.50</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247,595.38</w:t>
            </w:r>
          </w:p>
        </w:tc>
        <w:tc>
          <w:tcPr>
            <w:tcW w:w="2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237,283.50</w:t>
            </w:r>
          </w:p>
        </w:tc>
      </w:tr>
    </w:tbl>
    <w:p>
      <w:pPr>
        <w:tabs>
          <w:tab w:pos="1899" w:val="left" w:leader="none"/>
        </w:tabs>
        <w:spacing w:line="408" w:lineRule="auto" w:before="27"/>
        <w:ind w:left="640" w:right="5919" w:firstLine="0"/>
        <w:jc w:val="left"/>
        <w:rPr>
          <w:rFonts w:ascii="宋体" w:hAnsi="宋体" w:cs="宋体" w:eastAsia="宋体" w:hint="default"/>
          <w:sz w:val="21"/>
          <w:szCs w:val="21"/>
        </w:rPr>
      </w:pPr>
      <w:r>
        <w:rPr>
          <w:rFonts w:ascii="宋体" w:hAnsi="宋体" w:cs="宋体" w:eastAsia="宋体" w:hint="default"/>
          <w:b/>
          <w:bCs/>
          <w:w w:val="95"/>
          <w:sz w:val="21"/>
          <w:szCs w:val="21"/>
        </w:rPr>
        <w:t>（三十三）</w:t>
        <w:tab/>
      </w:r>
      <w:r>
        <w:rPr>
          <w:rFonts w:ascii="宋体" w:hAnsi="宋体" w:cs="宋体" w:eastAsia="宋体" w:hint="default"/>
          <w:b/>
          <w:bCs/>
          <w:sz w:val="21"/>
          <w:szCs w:val="21"/>
        </w:rPr>
        <w:t>所得税费用</w:t>
      </w:r>
      <w:r>
        <w:rPr>
          <w:rFonts w:ascii="宋体" w:hAnsi="宋体" w:cs="宋体" w:eastAsia="宋体" w:hint="default"/>
          <w:b/>
          <w:bCs/>
          <w:w w:val="99"/>
          <w:sz w:val="21"/>
          <w:szCs w:val="21"/>
        </w:rPr>
        <w:t> </w:t>
      </w:r>
      <w:r>
        <w:rPr>
          <w:rFonts w:ascii="宋体" w:hAnsi="宋体" w:cs="宋体" w:eastAsia="宋体" w:hint="default"/>
          <w:sz w:val="21"/>
          <w:szCs w:val="21"/>
        </w:rPr>
        <w:t>所得税费用（收益）的组成</w:t>
      </w:r>
    </w:p>
    <w:p>
      <w:pPr>
        <w:spacing w:line="240" w:lineRule="auto" w:before="2"/>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3928"/>
        <w:gridCol w:w="2297"/>
        <w:gridCol w:w="2620"/>
      </w:tblGrid>
      <w:tr>
        <w:trPr>
          <w:trHeight w:val="340" w:hRule="exact"/>
        </w:trPr>
        <w:tc>
          <w:tcPr>
            <w:tcW w:w="392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29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615"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26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777"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62" w:hRule="exact"/>
        </w:trPr>
        <w:tc>
          <w:tcPr>
            <w:tcW w:w="39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100"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2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Arial Narrow" w:hAnsi="Arial Narrow" w:cs="Arial Narrow" w:eastAsia="Arial Narrow" w:hint="default"/>
                <w:sz w:val="21"/>
                <w:szCs w:val="21"/>
              </w:rPr>
            </w:pPr>
            <w:r>
              <w:rPr>
                <w:rFonts w:ascii="Arial Narrow"/>
                <w:spacing w:val="-1"/>
                <w:sz w:val="21"/>
              </w:rPr>
              <w:t>9,877,569.27</w:t>
            </w:r>
          </w:p>
        </w:tc>
        <w:tc>
          <w:tcPr>
            <w:tcW w:w="2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Narrow" w:hAnsi="Arial Narrow" w:cs="Arial Narrow" w:eastAsia="Arial Narrow" w:hint="default"/>
                <w:sz w:val="21"/>
                <w:szCs w:val="21"/>
              </w:rPr>
            </w:pPr>
            <w:r>
              <w:rPr>
                <w:rFonts w:ascii="Arial Narrow"/>
                <w:spacing w:val="-1"/>
                <w:sz w:val="21"/>
              </w:rPr>
              <w:t>9,478,287.41</w:t>
            </w:r>
          </w:p>
        </w:tc>
      </w:tr>
      <w:tr>
        <w:trPr>
          <w:trHeight w:val="355" w:hRule="exact"/>
        </w:trPr>
        <w:tc>
          <w:tcPr>
            <w:tcW w:w="39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2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-1,173,361.15</w:t>
            </w:r>
          </w:p>
        </w:tc>
        <w:tc>
          <w:tcPr>
            <w:tcW w:w="2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-2,030,931.03</w:t>
            </w:r>
          </w:p>
        </w:tc>
      </w:tr>
      <w:tr>
        <w:trPr>
          <w:trHeight w:val="354" w:hRule="exact"/>
        </w:trPr>
        <w:tc>
          <w:tcPr>
            <w:tcW w:w="39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22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8,704,208.12</w:t>
            </w:r>
          </w:p>
        </w:tc>
        <w:tc>
          <w:tcPr>
            <w:tcW w:w="2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7,447,356.38</w:t>
            </w:r>
          </w:p>
        </w:tc>
      </w:tr>
    </w:tbl>
    <w:p>
      <w:pPr>
        <w:tabs>
          <w:tab w:pos="1899" w:val="left" w:leader="none"/>
        </w:tabs>
        <w:spacing w:line="410" w:lineRule="auto" w:before="27"/>
        <w:ind w:left="640" w:right="217" w:firstLine="0"/>
        <w:jc w:val="left"/>
        <w:rPr>
          <w:rFonts w:ascii="宋体" w:hAnsi="宋体" w:cs="宋体" w:eastAsia="宋体" w:hint="default"/>
          <w:sz w:val="21"/>
          <w:szCs w:val="21"/>
        </w:rPr>
      </w:pPr>
      <w:r>
        <w:rPr>
          <w:rFonts w:ascii="宋体" w:hAnsi="宋体" w:cs="宋体" w:eastAsia="宋体" w:hint="default"/>
          <w:b/>
          <w:bCs/>
          <w:w w:val="95"/>
          <w:sz w:val="21"/>
          <w:szCs w:val="21"/>
        </w:rPr>
        <w:t>（三十四）</w:t>
        <w:tab/>
      </w:r>
      <w:r>
        <w:rPr>
          <w:rFonts w:ascii="宋体" w:hAnsi="宋体" w:cs="宋体" w:eastAsia="宋体" w:hint="default"/>
          <w:b/>
          <w:bCs/>
          <w:sz w:val="21"/>
          <w:szCs w:val="21"/>
        </w:rPr>
        <w:t>基本每股收益和稀释每股收益的计算过程</w:t>
      </w:r>
      <w:r>
        <w:rPr>
          <w:rFonts w:ascii="宋体" w:hAnsi="宋体" w:cs="宋体" w:eastAsia="宋体" w:hint="default"/>
          <w:b/>
          <w:bCs/>
          <w:spacing w:val="1"/>
          <w:w w:val="99"/>
          <w:sz w:val="21"/>
          <w:szCs w:val="21"/>
        </w:rPr>
        <w:t> </w:t>
      </w:r>
      <w:r>
        <w:rPr>
          <w:rFonts w:ascii="宋体" w:hAnsi="宋体" w:cs="宋体" w:eastAsia="宋体" w:hint="default"/>
          <w:sz w:val="21"/>
          <w:szCs w:val="21"/>
        </w:rPr>
        <w:t>本公司按照中国证监会《公开发行证券的公司信息披露编报规则第 </w:t>
      </w:r>
      <w:r>
        <w:rPr>
          <w:rFonts w:ascii="Arial Narrow" w:hAnsi="Arial Narrow" w:cs="Arial Narrow" w:eastAsia="Arial Narrow" w:hint="default"/>
          <w:sz w:val="21"/>
          <w:szCs w:val="21"/>
        </w:rPr>
        <w:t>9</w:t>
      </w:r>
      <w:r>
        <w:rPr>
          <w:rFonts w:ascii="Arial Narrow" w:hAnsi="Arial Narrow" w:cs="Arial Narrow" w:eastAsia="Arial Narrow" w:hint="default"/>
          <w:spacing w:val="-10"/>
          <w:sz w:val="21"/>
          <w:szCs w:val="21"/>
        </w:rPr>
        <w:t> </w:t>
      </w:r>
      <w:r>
        <w:rPr>
          <w:rFonts w:ascii="宋体" w:hAnsi="宋体" w:cs="宋体" w:eastAsia="宋体" w:hint="default"/>
          <w:sz w:val="21"/>
          <w:szCs w:val="21"/>
        </w:rPr>
        <w:t>号——净资产收益率</w:t>
      </w:r>
    </w:p>
    <w:p>
      <w:pPr>
        <w:spacing w:line="239" w:lineRule="exact" w:before="0"/>
        <w:ind w:left="219" w:right="180" w:firstLine="0"/>
        <w:jc w:val="left"/>
        <w:rPr>
          <w:rFonts w:ascii="宋体" w:hAnsi="宋体" w:cs="宋体" w:eastAsia="宋体" w:hint="default"/>
          <w:sz w:val="21"/>
          <w:szCs w:val="21"/>
        </w:rPr>
      </w:pPr>
      <w:r>
        <w:rPr>
          <w:rFonts w:ascii="宋体" w:hAnsi="宋体" w:cs="宋体" w:eastAsia="宋体" w:hint="default"/>
          <w:sz w:val="21"/>
          <w:szCs w:val="21"/>
        </w:rPr>
        <w:t>和每股收益的计算及披</w:t>
      </w:r>
      <w:r>
        <w:rPr>
          <w:rFonts w:ascii="宋体" w:hAnsi="宋体" w:cs="宋体" w:eastAsia="宋体" w:hint="default"/>
          <w:spacing w:val="-29"/>
          <w:sz w:val="21"/>
          <w:szCs w:val="21"/>
        </w:rPr>
        <w:t>露</w:t>
      </w:r>
      <w:r>
        <w:rPr>
          <w:rFonts w:ascii="宋体" w:hAnsi="宋体" w:cs="宋体" w:eastAsia="宋体" w:hint="default"/>
          <w:sz w:val="21"/>
          <w:szCs w:val="21"/>
        </w:rPr>
        <w:t>（</w:t>
      </w:r>
      <w:r>
        <w:rPr>
          <w:rFonts w:ascii="Arial Narrow" w:hAnsi="Arial Narrow" w:cs="Arial Narrow" w:eastAsia="Arial Narrow" w:hint="default"/>
          <w:w w:val="99"/>
          <w:sz w:val="21"/>
          <w:szCs w:val="21"/>
        </w:rPr>
        <w:t>2010</w:t>
      </w:r>
      <w:r>
        <w:rPr>
          <w:rFonts w:ascii="Arial Narrow" w:hAnsi="Arial Narrow" w:cs="Arial Narrow" w:eastAsia="Arial Narrow" w:hint="default"/>
          <w:spacing w:val="5"/>
          <w:sz w:val="21"/>
          <w:szCs w:val="21"/>
        </w:rPr>
        <w:t> </w:t>
      </w:r>
      <w:r>
        <w:rPr>
          <w:rFonts w:ascii="宋体" w:hAnsi="宋体" w:cs="宋体" w:eastAsia="宋体" w:hint="default"/>
          <w:spacing w:val="-2"/>
          <w:sz w:val="21"/>
          <w:szCs w:val="21"/>
        </w:rPr>
        <w:t>年</w:t>
      </w:r>
      <w:r>
        <w:rPr>
          <w:rFonts w:ascii="宋体" w:hAnsi="宋体" w:cs="宋体" w:eastAsia="宋体" w:hint="default"/>
          <w:sz w:val="21"/>
          <w:szCs w:val="21"/>
        </w:rPr>
        <w:t>修订</w:t>
      </w:r>
      <w:r>
        <w:rPr>
          <w:rFonts w:ascii="宋体" w:hAnsi="宋体" w:cs="宋体" w:eastAsia="宋体" w:hint="default"/>
          <w:spacing w:val="-105"/>
          <w:sz w:val="21"/>
          <w:szCs w:val="21"/>
        </w:rPr>
        <w:t>）</w:t>
      </w:r>
      <w:r>
        <w:rPr>
          <w:rFonts w:ascii="宋体" w:hAnsi="宋体" w:cs="宋体" w:eastAsia="宋体" w:hint="default"/>
          <w:spacing w:val="-134"/>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中</w:t>
      </w:r>
      <w:r>
        <w:rPr>
          <w:rFonts w:ascii="宋体" w:hAnsi="宋体" w:cs="宋体" w:eastAsia="宋体" w:hint="default"/>
          <w:sz w:val="21"/>
          <w:szCs w:val="21"/>
        </w:rPr>
        <w:t>国证券监督管理委员会公告</w:t>
      </w:r>
      <w:r>
        <w:rPr>
          <w:rFonts w:ascii="Arial Narrow" w:hAnsi="Arial Narrow" w:cs="Arial Narrow" w:eastAsia="Arial Narrow" w:hint="default"/>
          <w:w w:val="99"/>
          <w:sz w:val="21"/>
          <w:szCs w:val="21"/>
        </w:rPr>
        <w:t>[2010]2</w:t>
      </w:r>
      <w:r>
        <w:rPr>
          <w:rFonts w:ascii="Arial Narrow" w:hAnsi="Arial Narrow" w:cs="Arial Narrow" w:eastAsia="Arial Narrow" w:hint="default"/>
          <w:spacing w:val="4"/>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pacing w:val="-134"/>
          <w:sz w:val="21"/>
          <w:szCs w:val="21"/>
        </w:rPr>
        <w:t>、</w:t>
      </w:r>
      <w:r>
        <w:rPr>
          <w:rFonts w:ascii="宋体" w:hAnsi="宋体" w:cs="宋体" w:eastAsia="宋体" w:hint="default"/>
          <w:sz w:val="21"/>
          <w:szCs w:val="21"/>
        </w:rPr>
        <w:t>《公</w:t>
      </w:r>
      <w:r>
        <w:rPr>
          <w:rFonts w:ascii="宋体" w:hAnsi="宋体" w:cs="宋体" w:eastAsia="宋体" w:hint="default"/>
          <w:spacing w:val="-2"/>
          <w:sz w:val="21"/>
          <w:szCs w:val="21"/>
        </w:rPr>
        <w:t>开</w:t>
      </w:r>
      <w:r>
        <w:rPr>
          <w:rFonts w:ascii="宋体" w:hAnsi="宋体" w:cs="宋体" w:eastAsia="宋体" w:hint="default"/>
          <w:sz w:val="21"/>
          <w:szCs w:val="21"/>
        </w:rPr>
        <w:t>发</w:t>
      </w:r>
    </w:p>
    <w:p>
      <w:pPr>
        <w:spacing w:line="338" w:lineRule="auto" w:before="120"/>
        <w:ind w:left="219" w:right="207" w:firstLine="0"/>
        <w:jc w:val="left"/>
        <w:rPr>
          <w:rFonts w:ascii="宋体" w:hAnsi="宋体" w:cs="宋体" w:eastAsia="宋体" w:hint="default"/>
          <w:sz w:val="21"/>
          <w:szCs w:val="21"/>
        </w:rPr>
      </w:pPr>
      <w:r>
        <w:rPr>
          <w:rFonts w:ascii="宋体" w:hAnsi="宋体" w:cs="宋体" w:eastAsia="宋体" w:hint="default"/>
          <w:sz w:val="21"/>
          <w:szCs w:val="21"/>
        </w:rPr>
        <w:t>行证券的公司信息披露解释性公告第</w:t>
      </w:r>
      <w:r>
        <w:rPr>
          <w:rFonts w:ascii="宋体" w:hAnsi="宋体" w:cs="宋体" w:eastAsia="宋体" w:hint="default"/>
          <w:spacing w:val="-53"/>
          <w:sz w:val="21"/>
          <w:szCs w:val="21"/>
        </w:rPr>
        <w:t> </w:t>
      </w:r>
      <w:r>
        <w:rPr>
          <w:rFonts w:ascii="Arial Narrow" w:hAnsi="Arial Narrow" w:cs="Arial Narrow" w:eastAsia="Arial Narrow" w:hint="default"/>
          <w:w w:val="99"/>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号—</w:t>
      </w:r>
      <w:r>
        <w:rPr>
          <w:rFonts w:ascii="宋体" w:hAnsi="宋体" w:cs="宋体" w:eastAsia="宋体" w:hint="default"/>
          <w:spacing w:val="-2"/>
          <w:sz w:val="21"/>
          <w:szCs w:val="21"/>
        </w:rPr>
        <w:t>—</w:t>
      </w:r>
      <w:r>
        <w:rPr>
          <w:rFonts w:ascii="宋体" w:hAnsi="宋体" w:cs="宋体" w:eastAsia="宋体" w:hint="default"/>
          <w:sz w:val="21"/>
          <w:szCs w:val="21"/>
        </w:rPr>
        <w:t>非经常性损</w:t>
      </w:r>
      <w:r>
        <w:rPr>
          <w:rFonts w:ascii="宋体" w:hAnsi="宋体" w:cs="宋体" w:eastAsia="宋体" w:hint="default"/>
          <w:spacing w:val="-15"/>
          <w:sz w:val="21"/>
          <w:szCs w:val="21"/>
        </w:rPr>
        <w:t>益</w:t>
      </w:r>
      <w:r>
        <w:rPr>
          <w:rFonts w:ascii="宋体" w:hAnsi="宋体" w:cs="宋体" w:eastAsia="宋体" w:hint="default"/>
          <w:sz w:val="21"/>
          <w:szCs w:val="21"/>
        </w:rPr>
        <w:t>（</w:t>
      </w:r>
      <w:r>
        <w:rPr>
          <w:rFonts w:ascii="Arial Narrow" w:hAnsi="Arial Narrow" w:cs="Arial Narrow" w:eastAsia="Arial Narrow" w:hint="default"/>
          <w:w w:val="99"/>
          <w:sz w:val="21"/>
          <w:szCs w:val="21"/>
        </w:rPr>
        <w:t>2008</w:t>
      </w:r>
      <w:r>
        <w:rPr>
          <w:rFonts w:ascii="宋体" w:hAnsi="宋体" w:cs="宋体" w:eastAsia="宋体" w:hint="default"/>
          <w:spacing w:val="-106"/>
          <w:sz w:val="21"/>
          <w:szCs w:val="21"/>
        </w:rPr>
        <w:t>）</w:t>
      </w:r>
      <w:r>
        <w:rPr>
          <w:rFonts w:ascii="宋体" w:hAnsi="宋体" w:cs="宋体" w:eastAsia="宋体" w:hint="default"/>
          <w:spacing w:val="-119"/>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“中国证券</w:t>
      </w:r>
      <w:r>
        <w:rPr>
          <w:rFonts w:ascii="宋体" w:hAnsi="宋体" w:cs="宋体" w:eastAsia="宋体" w:hint="default"/>
          <w:spacing w:val="-2"/>
          <w:sz w:val="21"/>
          <w:szCs w:val="21"/>
        </w:rPr>
        <w:t>监</w:t>
      </w:r>
      <w:r>
        <w:rPr>
          <w:rFonts w:ascii="宋体" w:hAnsi="宋体" w:cs="宋体" w:eastAsia="宋体" w:hint="default"/>
          <w:sz w:val="21"/>
          <w:szCs w:val="21"/>
        </w:rPr>
        <w:t>督管理委员</w:t>
      </w:r>
      <w:r>
        <w:rPr>
          <w:rFonts w:ascii="宋体" w:hAnsi="宋体" w:cs="宋体" w:eastAsia="宋体" w:hint="default"/>
          <w:sz w:val="21"/>
          <w:szCs w:val="21"/>
        </w:rPr>
        <w:t> 会公告</w:t>
      </w:r>
      <w:r>
        <w:rPr>
          <w:rFonts w:ascii="Arial Narrow" w:hAnsi="Arial Narrow" w:cs="Arial Narrow" w:eastAsia="Arial Narrow" w:hint="default"/>
          <w:w w:val="99"/>
          <w:sz w:val="21"/>
          <w:szCs w:val="21"/>
        </w:rPr>
        <w:t>[2008]</w:t>
      </w:r>
      <w:r>
        <w:rPr>
          <w:rFonts w:ascii="Arial Narrow" w:hAnsi="Arial Narrow" w:cs="Arial Narrow" w:eastAsia="Arial Narrow" w:hint="default"/>
          <w:spacing w:val="-2"/>
          <w:w w:val="99"/>
          <w:sz w:val="21"/>
          <w:szCs w:val="21"/>
        </w:rPr>
        <w:t>4</w:t>
      </w:r>
      <w:r>
        <w:rPr>
          <w:rFonts w:ascii="Arial Narrow" w:hAnsi="Arial Narrow" w:cs="Arial Narrow" w:eastAsia="Arial Narrow" w:hint="default"/>
          <w:w w:val="99"/>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z w:val="21"/>
          <w:szCs w:val="21"/>
        </w:rPr>
        <w:t>）要</w:t>
      </w:r>
      <w:r>
        <w:rPr>
          <w:rFonts w:ascii="宋体" w:hAnsi="宋体" w:cs="宋体" w:eastAsia="宋体" w:hint="default"/>
          <w:spacing w:val="-2"/>
          <w:sz w:val="21"/>
          <w:szCs w:val="21"/>
        </w:rPr>
        <w:t>求</w:t>
      </w:r>
      <w:r>
        <w:rPr>
          <w:rFonts w:ascii="宋体" w:hAnsi="宋体" w:cs="宋体" w:eastAsia="宋体" w:hint="default"/>
          <w:sz w:val="21"/>
          <w:szCs w:val="21"/>
        </w:rPr>
        <w:t>计算的每股收益列示如下：</w:t>
      </w:r>
    </w:p>
    <w:p>
      <w:pPr>
        <w:spacing w:before="82"/>
        <w:ind w:left="1059"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宋体" w:hAnsi="宋体" w:cs="宋体" w:eastAsia="宋体" w:hint="default"/>
          <w:b/>
          <w:bCs/>
          <w:sz w:val="21"/>
          <w:szCs w:val="21"/>
        </w:rPr>
        <w:t>、计算结果</w:t>
      </w:r>
      <w:r>
        <w:rPr>
          <w:rFonts w:ascii="宋体" w:hAnsi="宋体" w:cs="宋体" w:eastAsia="宋体" w:hint="default"/>
          <w:sz w:val="21"/>
          <w:szCs w:val="21"/>
        </w:rPr>
      </w:r>
    </w:p>
    <w:p>
      <w:pPr>
        <w:spacing w:line="240" w:lineRule="auto" w:before="4"/>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3869"/>
        <w:gridCol w:w="1439"/>
        <w:gridCol w:w="938"/>
        <w:gridCol w:w="1300"/>
        <w:gridCol w:w="1298"/>
      </w:tblGrid>
      <w:tr>
        <w:trPr>
          <w:trHeight w:val="406" w:hRule="exact"/>
        </w:trPr>
        <w:tc>
          <w:tcPr>
            <w:tcW w:w="38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3"/>
              <w:ind w:right="0"/>
              <w:jc w:val="left"/>
              <w:rPr>
                <w:rFonts w:ascii="宋体" w:hAnsi="宋体" w:cs="宋体" w:eastAsia="宋体" w:hint="default"/>
                <w:b/>
                <w:bCs/>
                <w:sz w:val="27"/>
                <w:szCs w:val="2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2377"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29" w:right="0"/>
              <w:jc w:val="center"/>
              <w:rPr>
                <w:rFonts w:ascii="宋体" w:hAnsi="宋体" w:cs="宋体" w:eastAsia="宋体" w:hint="default"/>
                <w:sz w:val="21"/>
                <w:szCs w:val="21"/>
              </w:rPr>
            </w:pPr>
            <w:r>
              <w:rPr>
                <w:rFonts w:ascii="宋体" w:hAnsi="宋体" w:cs="宋体" w:eastAsia="宋体" w:hint="default"/>
                <w:spacing w:val="-22"/>
                <w:sz w:val="21"/>
                <w:szCs w:val="21"/>
              </w:rPr>
              <w:t>本年数</w:t>
            </w:r>
          </w:p>
        </w:tc>
        <w:tc>
          <w:tcPr>
            <w:tcW w:w="259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29" w:right="0"/>
              <w:jc w:val="center"/>
              <w:rPr>
                <w:rFonts w:ascii="宋体" w:hAnsi="宋体" w:cs="宋体" w:eastAsia="宋体" w:hint="default"/>
                <w:sz w:val="21"/>
                <w:szCs w:val="21"/>
              </w:rPr>
            </w:pPr>
            <w:r>
              <w:rPr>
                <w:rFonts w:ascii="宋体" w:hAnsi="宋体" w:cs="宋体" w:eastAsia="宋体" w:hint="default"/>
                <w:spacing w:val="-22"/>
                <w:sz w:val="21"/>
                <w:szCs w:val="21"/>
              </w:rPr>
              <w:t>上年数</w:t>
            </w:r>
          </w:p>
        </w:tc>
      </w:tr>
      <w:tr>
        <w:trPr>
          <w:trHeight w:val="680" w:hRule="exact"/>
        </w:trPr>
        <w:tc>
          <w:tcPr>
            <w:tcW w:w="3869" w:type="dxa"/>
            <w:vMerge/>
            <w:tcBorders>
              <w:left w:val="single" w:sz="6" w:space="0" w:color="000000"/>
              <w:bottom w:val="single" w:sz="6" w:space="0" w:color="000000"/>
              <w:right w:val="single" w:sz="6" w:space="0" w:color="000000"/>
            </w:tcBorders>
            <w:shd w:val="clear" w:color="auto" w:fill="C0C0C0"/>
          </w:tcPr>
          <w:p>
            <w:pPr/>
          </w:p>
        </w:tc>
        <w:tc>
          <w:tcPr>
            <w:tcW w:w="143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基本每股收</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益</w:t>
            </w:r>
          </w:p>
        </w:tc>
        <w:tc>
          <w:tcPr>
            <w:tcW w:w="93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46" w:right="0"/>
              <w:jc w:val="left"/>
              <w:rPr>
                <w:rFonts w:ascii="宋体" w:hAnsi="宋体" w:cs="宋体" w:eastAsia="宋体" w:hint="default"/>
                <w:sz w:val="21"/>
                <w:szCs w:val="21"/>
              </w:rPr>
            </w:pPr>
            <w:r>
              <w:rPr>
                <w:rFonts w:ascii="宋体" w:hAnsi="宋体" w:cs="宋体" w:eastAsia="宋体" w:hint="default"/>
                <w:sz w:val="21"/>
                <w:szCs w:val="21"/>
              </w:rPr>
              <w:t>稀释每</w:t>
            </w:r>
          </w:p>
          <w:p>
            <w:pPr>
              <w:pStyle w:val="TableParagraph"/>
              <w:spacing w:line="274" w:lineRule="exact"/>
              <w:ind w:left="146" w:right="0"/>
              <w:jc w:val="left"/>
              <w:rPr>
                <w:rFonts w:ascii="宋体" w:hAnsi="宋体" w:cs="宋体" w:eastAsia="宋体" w:hint="default"/>
                <w:sz w:val="21"/>
                <w:szCs w:val="21"/>
              </w:rPr>
            </w:pPr>
            <w:r>
              <w:rPr>
                <w:rFonts w:ascii="宋体" w:hAnsi="宋体" w:cs="宋体" w:eastAsia="宋体" w:hint="default"/>
                <w:sz w:val="21"/>
                <w:szCs w:val="21"/>
              </w:rPr>
              <w:t>股收益</w:t>
            </w:r>
          </w:p>
        </w:tc>
        <w:tc>
          <w:tcPr>
            <w:tcW w:w="130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基本每股收</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益</w:t>
            </w:r>
          </w:p>
        </w:tc>
        <w:tc>
          <w:tcPr>
            <w:tcW w:w="129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稀释每股收</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益</w:t>
            </w:r>
          </w:p>
        </w:tc>
      </w:tr>
      <w:tr>
        <w:trPr>
          <w:trHeight w:val="327" w:hRule="exact"/>
        </w:trPr>
        <w:tc>
          <w:tcPr>
            <w:tcW w:w="386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归属于公司普通股股东的净利润（Ⅰ）</w:t>
            </w:r>
          </w:p>
        </w:tc>
        <w:tc>
          <w:tcPr>
            <w:tcW w:w="1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101"/>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c>
          <w:tcPr>
            <w:tcW w:w="9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4"/>
              <w:ind w:right="98"/>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r>
      <w:tr>
        <w:trPr>
          <w:trHeight w:val="559" w:hRule="exact"/>
        </w:trPr>
        <w:tc>
          <w:tcPr>
            <w:tcW w:w="386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扣除非经常性损益后归属于公司普通股</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股东的净利润（Ⅱ）</w:t>
            </w:r>
          </w:p>
        </w:tc>
        <w:tc>
          <w:tcPr>
            <w:tcW w:w="14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pacing w:val="-4"/>
                <w:sz w:val="21"/>
              </w:rPr>
              <w:t>1.11</w:t>
            </w:r>
          </w:p>
        </w:tc>
        <w:tc>
          <w:tcPr>
            <w:tcW w:w="9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4"/>
                <w:sz w:val="21"/>
              </w:rPr>
              <w:t>1.11</w:t>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80"/>
        </w:sectPr>
      </w:pPr>
    </w:p>
    <w:p>
      <w:pPr>
        <w:spacing w:before="6"/>
        <w:ind w:left="1060"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宋体" w:hAnsi="宋体" w:cs="宋体" w:eastAsia="宋体" w:hint="default"/>
          <w:b/>
          <w:bCs/>
          <w:sz w:val="21"/>
          <w:szCs w:val="21"/>
        </w:rPr>
        <w:t>、每股收益的计算过程</w:t>
      </w:r>
      <w:r>
        <w:rPr>
          <w:rFonts w:ascii="宋体" w:hAnsi="宋体" w:cs="宋体" w:eastAsia="宋体" w:hint="default"/>
          <w:sz w:val="21"/>
          <w:szCs w:val="21"/>
        </w:rPr>
      </w:r>
    </w:p>
    <w:p>
      <w:pPr>
        <w:spacing w:line="240" w:lineRule="auto" w:before="4"/>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4177"/>
        <w:gridCol w:w="1682"/>
        <w:gridCol w:w="1472"/>
        <w:gridCol w:w="1512"/>
      </w:tblGrid>
      <w:tr>
        <w:trPr>
          <w:trHeight w:val="407" w:hRule="exact"/>
        </w:trPr>
        <w:tc>
          <w:tcPr>
            <w:tcW w:w="417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4"/>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8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47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460" w:right="0"/>
              <w:jc w:val="left"/>
              <w:rPr>
                <w:rFonts w:ascii="宋体" w:hAnsi="宋体" w:cs="宋体" w:eastAsia="宋体" w:hint="default"/>
                <w:sz w:val="21"/>
                <w:szCs w:val="21"/>
              </w:rPr>
            </w:pPr>
            <w:r>
              <w:rPr>
                <w:rFonts w:ascii="宋体" w:hAnsi="宋体" w:cs="宋体" w:eastAsia="宋体" w:hint="default"/>
                <w:spacing w:val="-22"/>
                <w:sz w:val="21"/>
                <w:szCs w:val="21"/>
              </w:rPr>
              <w:t>本年数</w:t>
            </w:r>
          </w:p>
        </w:tc>
        <w:tc>
          <w:tcPr>
            <w:tcW w:w="151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480" w:right="0"/>
              <w:jc w:val="left"/>
              <w:rPr>
                <w:rFonts w:ascii="宋体" w:hAnsi="宋体" w:cs="宋体" w:eastAsia="宋体" w:hint="default"/>
                <w:sz w:val="21"/>
                <w:szCs w:val="21"/>
              </w:rPr>
            </w:pPr>
            <w:r>
              <w:rPr>
                <w:rFonts w:ascii="宋体" w:hAnsi="宋体" w:cs="宋体" w:eastAsia="宋体" w:hint="default"/>
                <w:spacing w:val="-22"/>
                <w:sz w:val="21"/>
                <w:szCs w:val="21"/>
              </w:rPr>
              <w:t>上年数</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归属于本公司普通股股东的净利润</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w w:val="99"/>
                <w:sz w:val="21"/>
              </w:rPr>
              <w:t>1</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7"/>
              <w:jc w:val="right"/>
              <w:rPr>
                <w:rFonts w:ascii="Arial Narrow" w:hAnsi="Arial Narrow" w:cs="Arial Narrow" w:eastAsia="Arial Narrow" w:hint="default"/>
                <w:sz w:val="21"/>
                <w:szCs w:val="21"/>
              </w:rPr>
            </w:pPr>
            <w:r>
              <w:rPr>
                <w:rFonts w:ascii="Arial Narrow"/>
                <w:spacing w:val="-1"/>
                <w:sz w:val="21"/>
              </w:rPr>
              <w:t>61,504,981.78</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pacing w:val="-1"/>
                <w:sz w:val="21"/>
              </w:rPr>
              <w:t>41,045,570.47</w:t>
            </w:r>
          </w:p>
        </w:tc>
      </w:tr>
      <w:tr>
        <w:trPr>
          <w:trHeight w:val="559"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7"/>
                <w:sz w:val="21"/>
                <w:szCs w:val="21"/>
              </w:rPr>
              <w:t>扣除所得税影响后归属于母公司普通股股东</w:t>
            </w:r>
            <w:r>
              <w:rPr>
                <w:rFonts w:ascii="宋体" w:hAnsi="宋体" w:cs="宋体" w:eastAsia="宋体" w:hint="default"/>
                <w:sz w:val="21"/>
                <w:szCs w:val="21"/>
              </w:rPr>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净利润的非经常性损益</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w w:val="99"/>
                <w:sz w:val="21"/>
              </w:rPr>
              <w:t>2</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7"/>
              <w:jc w:val="right"/>
              <w:rPr>
                <w:rFonts w:ascii="Arial Narrow" w:hAnsi="Arial Narrow" w:cs="Arial Narrow" w:eastAsia="Arial Narrow" w:hint="default"/>
                <w:sz w:val="21"/>
                <w:szCs w:val="21"/>
              </w:rPr>
            </w:pPr>
            <w:r>
              <w:rPr>
                <w:rFonts w:ascii="Arial Narrow"/>
                <w:spacing w:val="-1"/>
                <w:sz w:val="21"/>
              </w:rPr>
              <w:t>6,108,550.00</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9"/>
              <w:jc w:val="right"/>
              <w:rPr>
                <w:rFonts w:ascii="Arial Narrow" w:hAnsi="Arial Narrow" w:cs="Arial Narrow" w:eastAsia="Arial Narrow" w:hint="default"/>
                <w:sz w:val="21"/>
                <w:szCs w:val="21"/>
              </w:rPr>
            </w:pPr>
            <w:r>
              <w:rPr>
                <w:rFonts w:ascii="Arial Narrow"/>
                <w:spacing w:val="-1"/>
                <w:sz w:val="21"/>
              </w:rPr>
              <w:t>9,852,187.20</w:t>
            </w:r>
          </w:p>
        </w:tc>
      </w:tr>
      <w:tr>
        <w:trPr>
          <w:trHeight w:val="559"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7"/>
                <w:sz w:val="21"/>
                <w:szCs w:val="21"/>
              </w:rPr>
              <w:t>扣除非经常性损益后的归属于本公司普通股</w:t>
            </w:r>
            <w:r>
              <w:rPr>
                <w:rFonts w:ascii="宋体" w:hAnsi="宋体" w:cs="宋体" w:eastAsia="宋体" w:hint="default"/>
                <w:sz w:val="21"/>
                <w:szCs w:val="21"/>
              </w:rPr>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股东的净利润</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sz w:val="21"/>
              </w:rPr>
              <w:t>3=1-2</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7"/>
              <w:jc w:val="right"/>
              <w:rPr>
                <w:rFonts w:ascii="Arial Narrow" w:hAnsi="Arial Narrow" w:cs="Arial Narrow" w:eastAsia="Arial Narrow" w:hint="default"/>
                <w:sz w:val="21"/>
                <w:szCs w:val="21"/>
              </w:rPr>
            </w:pPr>
            <w:r>
              <w:rPr>
                <w:rFonts w:ascii="Arial Narrow"/>
                <w:spacing w:val="-1"/>
                <w:sz w:val="21"/>
              </w:rPr>
              <w:t>55,396,431.78</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pacing w:val="-1"/>
                <w:sz w:val="21"/>
              </w:rPr>
              <w:t>31,193,383.27</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年初股份总数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w w:val="99"/>
                <w:sz w:val="21"/>
              </w:rPr>
              <w:t>4</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7"/>
              <w:jc w:val="right"/>
              <w:rPr>
                <w:rFonts w:ascii="Arial Narrow" w:hAnsi="Arial Narrow" w:cs="Arial Narrow" w:eastAsia="Arial Narrow" w:hint="default"/>
                <w:sz w:val="21"/>
                <w:szCs w:val="21"/>
              </w:rPr>
            </w:pPr>
            <w:r>
              <w:rPr>
                <w:rFonts w:ascii="Arial Narrow"/>
                <w:spacing w:val="-1"/>
                <w:sz w:val="21"/>
              </w:rPr>
              <w:t>40,000,000.00</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pacing w:val="-1"/>
                <w:sz w:val="21"/>
              </w:rPr>
              <w:t>40,000,000.00</w:t>
            </w:r>
          </w:p>
        </w:tc>
      </w:tr>
      <w:tr>
        <w:trPr>
          <w:trHeight w:val="559"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7"/>
                <w:sz w:val="21"/>
                <w:szCs w:val="21"/>
              </w:rPr>
              <w:t>报告期因公积金转增股本或股票股利分配等</w:t>
            </w:r>
            <w:r>
              <w:rPr>
                <w:rFonts w:ascii="宋体" w:hAnsi="宋体" w:cs="宋体" w:eastAsia="宋体" w:hint="default"/>
                <w:sz w:val="21"/>
                <w:szCs w:val="21"/>
              </w:rPr>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增加的股份数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w w:val="99"/>
                <w:sz w:val="21"/>
              </w:rPr>
              <w:t>5</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9"/>
              <w:jc w:val="right"/>
              <w:rPr>
                <w:rFonts w:ascii="Arial Narrow" w:hAnsi="Arial Narrow" w:cs="Arial Narrow" w:eastAsia="Arial Narrow" w:hint="default"/>
                <w:sz w:val="21"/>
                <w:szCs w:val="21"/>
              </w:rPr>
            </w:pPr>
            <w:r>
              <w:rPr>
                <w:rFonts w:ascii="Arial Narrow"/>
                <w:sz w:val="21"/>
              </w:rPr>
              <w:t>-</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报告期因发行新股或债转股等增加的股份数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w w:val="99"/>
                <w:sz w:val="21"/>
              </w:rPr>
              <w:t>6</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7"/>
              <w:jc w:val="right"/>
              <w:rPr>
                <w:rFonts w:ascii="Arial Narrow" w:hAnsi="Arial Narrow" w:cs="Arial Narrow" w:eastAsia="Arial Narrow" w:hint="default"/>
                <w:sz w:val="21"/>
                <w:szCs w:val="21"/>
              </w:rPr>
            </w:pPr>
            <w:r>
              <w:rPr>
                <w:rFonts w:ascii="Arial Narrow"/>
                <w:spacing w:val="-1"/>
                <w:sz w:val="21"/>
              </w:rPr>
              <w:t>13,500,000.00</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560"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7"/>
                <w:sz w:val="21"/>
                <w:szCs w:val="21"/>
              </w:rPr>
              <w:t>发行新股或债转股等增加股份下一月份起至</w:t>
            </w:r>
            <w:r>
              <w:rPr>
                <w:rFonts w:ascii="宋体" w:hAnsi="宋体" w:cs="宋体" w:eastAsia="宋体" w:hint="default"/>
                <w:sz w:val="21"/>
                <w:szCs w:val="21"/>
              </w:rPr>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报告期年末的月份数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w w:val="99"/>
                <w:sz w:val="21"/>
              </w:rPr>
              <w:t>7</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w w:val="99"/>
                <w:sz w:val="21"/>
              </w:rPr>
              <w:t>9</w:t>
            </w:r>
            <w:r>
              <w:rPr>
                <w:rFonts w:ascii="Arial Narrow"/>
                <w:sz w:val="21"/>
              </w:rPr>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报告期因回购等减少的股份数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w w:val="99"/>
                <w:sz w:val="21"/>
              </w:rPr>
              <w:t>8</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减少股份下一月份起至报告期年末的月份数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w w:val="99"/>
                <w:sz w:val="21"/>
              </w:rPr>
              <w:t>9</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报告期缩股数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sz w:val="21"/>
              </w:rPr>
              <w:t>10</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spacing w:val="-13"/>
                <w:sz w:val="21"/>
              </w:rPr>
              <w:t>11</w:t>
            </w:r>
            <w:r>
              <w:rPr>
                <w:rFonts w:ascii="Arial Narrow"/>
                <w:sz w:val="21"/>
              </w:rPr>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w w:val="95"/>
                <w:sz w:val="21"/>
              </w:rPr>
              <w:t>12</w:t>
            </w:r>
            <w:r>
              <w:rPr>
                <w:rFonts w:ascii="Arial Narrow"/>
                <w:sz w:val="21"/>
              </w:rPr>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w w:val="95"/>
                <w:sz w:val="21"/>
              </w:rPr>
              <w:t>12</w:t>
            </w:r>
            <w:r>
              <w:rPr>
                <w:rFonts w:ascii="Arial Narrow"/>
                <w:sz w:val="21"/>
              </w:rPr>
            </w:r>
          </w:p>
        </w:tc>
      </w:tr>
      <w:tr>
        <w:trPr>
          <w:trHeight w:val="497"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20" w:right="0"/>
              <w:jc w:val="left"/>
              <w:rPr>
                <w:rFonts w:ascii="宋体" w:hAnsi="宋体" w:cs="宋体" w:eastAsia="宋体" w:hint="default"/>
                <w:sz w:val="21"/>
                <w:szCs w:val="21"/>
              </w:rPr>
            </w:pPr>
            <w:r>
              <w:rPr>
                <w:rFonts w:ascii="宋体" w:hAnsi="宋体" w:cs="宋体" w:eastAsia="宋体" w:hint="default"/>
                <w:sz w:val="21"/>
                <w:szCs w:val="21"/>
              </w:rPr>
              <w:t>发行在外的普通股加权平均数（</w:t>
            </w:r>
            <w:r>
              <w:rPr>
                <w:rFonts w:ascii="新宋体" w:hAnsi="新宋体" w:cs="新宋体" w:eastAsia="新宋体" w:hint="default"/>
                <w:sz w:val="21"/>
                <w:szCs w:val="21"/>
              </w:rPr>
              <w:t>Ⅰ</w:t>
            </w:r>
            <w:r>
              <w:rPr>
                <w:rFonts w:ascii="宋体" w:hAnsi="宋体" w:cs="宋体" w:eastAsia="宋体" w:hint="default"/>
                <w:sz w:val="21"/>
                <w:szCs w:val="21"/>
              </w:rPr>
              <w:t>）</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12=4+5+6×7</w:t>
            </w:r>
          </w:p>
          <w:p>
            <w:pPr>
              <w:pStyle w:val="TableParagraph"/>
              <w:spacing w:line="240" w:lineRule="auto"/>
              <w:ind w:left="20" w:right="0"/>
              <w:jc w:val="left"/>
              <w:rPr>
                <w:rFonts w:ascii="Arial Narrow" w:hAnsi="Arial Narrow" w:cs="Arial Narrow" w:eastAsia="Arial Narrow" w:hint="default"/>
                <w:sz w:val="21"/>
                <w:szCs w:val="21"/>
              </w:rPr>
            </w:pPr>
            <w:r>
              <w:rPr>
                <w:rFonts w:ascii="Arial Narrow" w:hAnsi="Arial Narrow" w:cs="Arial Narrow" w:eastAsia="Arial Narrow" w:hint="default"/>
                <w:spacing w:val="-3"/>
                <w:sz w:val="21"/>
                <w:szCs w:val="21"/>
              </w:rPr>
              <w:t>÷11-8×9÷11-10</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17"/>
              <w:jc w:val="right"/>
              <w:rPr>
                <w:rFonts w:ascii="Arial Narrow" w:hAnsi="Arial Narrow" w:cs="Arial Narrow" w:eastAsia="Arial Narrow" w:hint="default"/>
                <w:sz w:val="21"/>
                <w:szCs w:val="21"/>
              </w:rPr>
            </w:pPr>
            <w:r>
              <w:rPr>
                <w:rFonts w:ascii="Arial Narrow"/>
                <w:spacing w:val="-1"/>
                <w:sz w:val="21"/>
              </w:rPr>
              <w:t>50,125,000.00</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18"/>
              <w:jc w:val="right"/>
              <w:rPr>
                <w:rFonts w:ascii="Arial Narrow" w:hAnsi="Arial Narrow" w:cs="Arial Narrow" w:eastAsia="Arial Narrow" w:hint="default"/>
                <w:sz w:val="21"/>
                <w:szCs w:val="21"/>
              </w:rPr>
            </w:pPr>
            <w:r>
              <w:rPr>
                <w:rFonts w:ascii="Arial Narrow"/>
                <w:spacing w:val="-1"/>
                <w:sz w:val="21"/>
              </w:rPr>
              <w:t>40,000,000.00</w:t>
            </w:r>
          </w:p>
        </w:tc>
      </w:tr>
      <w:tr>
        <w:trPr>
          <w:trHeight w:val="560"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7"/>
                <w:sz w:val="21"/>
                <w:szCs w:val="21"/>
              </w:rPr>
              <w:t>因同一控制下企业合并而调整的发行在外的</w:t>
            </w:r>
            <w:r>
              <w:rPr>
                <w:rFonts w:ascii="宋体" w:hAnsi="宋体" w:cs="宋体" w:eastAsia="宋体" w:hint="default"/>
                <w:sz w:val="21"/>
                <w:szCs w:val="21"/>
              </w:rPr>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普通股加权平均数（Ⅱ）</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sz w:val="21"/>
              </w:rPr>
              <w:t>13</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7"/>
              <w:jc w:val="right"/>
              <w:rPr>
                <w:rFonts w:ascii="Arial Narrow" w:hAnsi="Arial Narrow" w:cs="Arial Narrow" w:eastAsia="Arial Narrow" w:hint="default"/>
                <w:sz w:val="21"/>
                <w:szCs w:val="21"/>
              </w:rPr>
            </w:pPr>
            <w:r>
              <w:rPr>
                <w:rFonts w:ascii="Arial Narrow"/>
                <w:spacing w:val="-1"/>
                <w:sz w:val="21"/>
              </w:rPr>
              <w:t>50,125,000.00</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pacing w:val="-1"/>
                <w:sz w:val="21"/>
              </w:rPr>
              <w:t>40,000,000.00</w:t>
            </w:r>
          </w:p>
        </w:tc>
      </w:tr>
      <w:tr>
        <w:trPr>
          <w:trHeight w:val="355"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基本每股收益（</w:t>
            </w:r>
            <w:r>
              <w:rPr>
                <w:rFonts w:ascii="新宋体" w:hAnsi="新宋体" w:cs="新宋体" w:eastAsia="新宋体" w:hint="default"/>
                <w:sz w:val="21"/>
                <w:szCs w:val="21"/>
              </w:rPr>
              <w:t>Ⅰ</w:t>
            </w:r>
            <w:r>
              <w:rPr>
                <w:rFonts w:ascii="宋体" w:hAnsi="宋体" w:cs="宋体" w:eastAsia="宋体" w:hint="default"/>
                <w:sz w:val="21"/>
                <w:szCs w:val="21"/>
              </w:rPr>
              <w:t>）</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14=1÷13</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基本每股收益（</w:t>
            </w:r>
            <w:r>
              <w:rPr>
                <w:rFonts w:ascii="新宋体" w:hAnsi="新宋体" w:cs="新宋体" w:eastAsia="新宋体" w:hint="default"/>
                <w:sz w:val="21"/>
                <w:szCs w:val="21"/>
              </w:rPr>
              <w:t>Ⅱ</w:t>
            </w:r>
            <w:r>
              <w:rPr>
                <w:rFonts w:ascii="宋体" w:hAnsi="宋体" w:cs="宋体" w:eastAsia="宋体" w:hint="default"/>
                <w:sz w:val="21"/>
                <w:szCs w:val="21"/>
              </w:rPr>
              <w:t>）</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15=3÷13</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pacing w:val="-4"/>
                <w:sz w:val="21"/>
              </w:rPr>
              <w:t>1.11</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已确认为费用的稀释性潜在普通股利息</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sz w:val="21"/>
              </w:rPr>
              <w:t>16</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所得税率</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sz w:val="21"/>
              </w:rPr>
              <w:t>17</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356"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转换费用</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20" w:right="0"/>
              <w:jc w:val="left"/>
              <w:rPr>
                <w:rFonts w:ascii="Arial Narrow" w:hAnsi="Arial Narrow" w:cs="Arial Narrow" w:eastAsia="Arial Narrow" w:hint="default"/>
                <w:sz w:val="21"/>
                <w:szCs w:val="21"/>
              </w:rPr>
            </w:pPr>
            <w:r>
              <w:rPr>
                <w:rFonts w:ascii="Arial Narrow"/>
                <w:sz w:val="21"/>
              </w:rPr>
              <w:t>18</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9"/>
              <w:jc w:val="right"/>
              <w:rPr>
                <w:rFonts w:ascii="Arial Narrow" w:hAnsi="Arial Narrow" w:cs="Arial Narrow" w:eastAsia="Arial Narrow" w:hint="default"/>
                <w:sz w:val="21"/>
                <w:szCs w:val="21"/>
              </w:rPr>
            </w:pPr>
            <w:r>
              <w:rPr>
                <w:rFonts w:ascii="Arial Narrow"/>
                <w:sz w:val="21"/>
              </w:rPr>
              <w:t>-</w:t>
            </w:r>
          </w:p>
        </w:tc>
      </w:tr>
      <w:tr>
        <w:trPr>
          <w:trHeight w:val="559"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pacing w:val="-4"/>
                <w:sz w:val="21"/>
                <w:szCs w:val="21"/>
              </w:rPr>
              <w:t>可转换公司债券、认股权证、股份期权等转换</w:t>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或行权而增加的股份数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0" w:right="0"/>
              <w:jc w:val="left"/>
              <w:rPr>
                <w:rFonts w:ascii="Arial Narrow" w:hAnsi="Arial Narrow" w:cs="Arial Narrow" w:eastAsia="Arial Narrow" w:hint="default"/>
                <w:sz w:val="21"/>
                <w:szCs w:val="21"/>
              </w:rPr>
            </w:pPr>
            <w:r>
              <w:rPr>
                <w:rFonts w:ascii="Arial Narrow"/>
                <w:sz w:val="21"/>
              </w:rPr>
              <w:t>19</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9"/>
              <w:jc w:val="right"/>
              <w:rPr>
                <w:rFonts w:ascii="Arial Narrow" w:hAnsi="Arial Narrow" w:cs="Arial Narrow" w:eastAsia="Arial Narrow" w:hint="default"/>
                <w:sz w:val="21"/>
                <w:szCs w:val="21"/>
              </w:rPr>
            </w:pPr>
            <w:r>
              <w:rPr>
                <w:rFonts w:ascii="Arial Narrow"/>
                <w:sz w:val="21"/>
              </w:rPr>
              <w:t>-</w:t>
            </w:r>
          </w:p>
        </w:tc>
      </w:tr>
      <w:tr>
        <w:trPr>
          <w:trHeight w:val="498"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20" w:right="0"/>
              <w:jc w:val="left"/>
              <w:rPr>
                <w:rFonts w:ascii="宋体" w:hAnsi="宋体" w:cs="宋体" w:eastAsia="宋体" w:hint="default"/>
                <w:sz w:val="21"/>
                <w:szCs w:val="21"/>
              </w:rPr>
            </w:pPr>
            <w:r>
              <w:rPr>
                <w:rFonts w:ascii="宋体" w:hAnsi="宋体" w:cs="宋体" w:eastAsia="宋体" w:hint="default"/>
                <w:sz w:val="21"/>
                <w:szCs w:val="21"/>
              </w:rPr>
              <w:t>稀释每股收益（Ⅰ）</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20=[1+(16-18)×</w:t>
            </w:r>
          </w:p>
          <w:p>
            <w:pPr>
              <w:pStyle w:val="TableParagraph"/>
              <w:spacing w:line="240" w:lineRule="auto"/>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(1-17)]÷(13+19)</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18"/>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19"/>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r>
      <w:tr>
        <w:trPr>
          <w:trHeight w:val="527" w:hRule="exact"/>
        </w:trPr>
        <w:tc>
          <w:tcPr>
            <w:tcW w:w="41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left="20" w:right="0"/>
              <w:jc w:val="left"/>
              <w:rPr>
                <w:rFonts w:ascii="宋体" w:hAnsi="宋体" w:cs="宋体" w:eastAsia="宋体" w:hint="default"/>
                <w:sz w:val="21"/>
                <w:szCs w:val="21"/>
              </w:rPr>
            </w:pPr>
            <w:r>
              <w:rPr>
                <w:rFonts w:ascii="宋体" w:hAnsi="宋体" w:cs="宋体" w:eastAsia="宋体" w:hint="default"/>
                <w:sz w:val="21"/>
                <w:szCs w:val="21"/>
              </w:rPr>
              <w:t>稀释每股收益（Ⅱ）</w:t>
            </w:r>
          </w:p>
        </w:tc>
        <w:tc>
          <w:tcPr>
            <w:tcW w:w="1682" w:type="dxa"/>
            <w:tcBorders>
              <w:top w:val="single" w:sz="6" w:space="0" w:color="000000"/>
              <w:left w:val="single" w:sz="6" w:space="0" w:color="000000"/>
              <w:bottom w:val="single" w:sz="6" w:space="0" w:color="000000"/>
              <w:right w:val="single" w:sz="6" w:space="0" w:color="000000"/>
            </w:tcBorders>
          </w:tcPr>
          <w:p>
            <w:pPr>
              <w:pStyle w:val="TableParagraph"/>
              <w:spacing w:line="255" w:lineRule="exact"/>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21=[3+(16</w:t>
            </w:r>
            <w:r>
              <w:rPr>
                <w:rFonts w:ascii="宋体" w:hAnsi="宋体" w:cs="宋体" w:eastAsia="宋体" w:hint="default"/>
                <w:sz w:val="21"/>
                <w:szCs w:val="21"/>
              </w:rPr>
              <w:t>－</w:t>
            </w:r>
            <w:r>
              <w:rPr>
                <w:rFonts w:ascii="Arial Narrow" w:hAnsi="Arial Narrow" w:cs="Arial Narrow" w:eastAsia="Arial Narrow" w:hint="default"/>
                <w:sz w:val="21"/>
                <w:szCs w:val="21"/>
              </w:rPr>
              <w:t>18)</w:t>
            </w:r>
          </w:p>
          <w:p>
            <w:pPr>
              <w:pStyle w:val="TableParagraph"/>
              <w:spacing w:line="240" w:lineRule="auto" w:before="16"/>
              <w:ind w:left="20" w:right="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×(1-17)]÷(12+19)</w:t>
            </w:r>
          </w:p>
        </w:tc>
        <w:tc>
          <w:tcPr>
            <w:tcW w:w="14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18"/>
              <w:jc w:val="right"/>
              <w:rPr>
                <w:rFonts w:ascii="Arial Narrow" w:hAnsi="Arial Narrow" w:cs="Arial Narrow" w:eastAsia="Arial Narrow" w:hint="default"/>
                <w:sz w:val="21"/>
                <w:szCs w:val="21"/>
              </w:rPr>
            </w:pPr>
            <w:r>
              <w:rPr>
                <w:rFonts w:ascii="Arial Narrow"/>
                <w:spacing w:val="-4"/>
                <w:sz w:val="21"/>
              </w:rPr>
              <w:t>1.11</w:t>
            </w:r>
          </w:p>
        </w:tc>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4"/>
              <w:ind w:right="19"/>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r>
    </w:tbl>
    <w:p>
      <w:pPr>
        <w:spacing w:line="338" w:lineRule="auto" w:before="87"/>
        <w:ind w:left="640" w:right="6523" w:firstLine="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I</w:t>
      </w:r>
      <w:r>
        <w:rPr>
          <w:rFonts w:ascii="宋体" w:hAnsi="宋体" w:cs="宋体" w:eastAsia="宋体" w:hint="default"/>
          <w:sz w:val="21"/>
          <w:szCs w:val="21"/>
        </w:rPr>
        <w:t>．基本每股收益 基本每股收益</w:t>
      </w:r>
      <w:r>
        <w:rPr>
          <w:rFonts w:ascii="Arial Narrow" w:hAnsi="Arial Narrow" w:cs="Arial Narrow" w:eastAsia="Arial Narrow" w:hint="default"/>
          <w:sz w:val="21"/>
          <w:szCs w:val="21"/>
        </w:rPr>
        <w:t>=P0</w:t>
      </w:r>
      <w:r>
        <w:rPr>
          <w:rFonts w:ascii="宋体" w:hAnsi="宋体" w:cs="宋体" w:eastAsia="宋体" w:hint="default"/>
          <w:sz w:val="21"/>
          <w:szCs w:val="21"/>
        </w:rPr>
        <w:t>÷</w:t>
      </w:r>
      <w:r>
        <w:rPr>
          <w:rFonts w:ascii="Arial Narrow" w:hAnsi="Arial Narrow" w:cs="Arial Narrow" w:eastAsia="Arial Narrow" w:hint="default"/>
          <w:sz w:val="21"/>
          <w:szCs w:val="21"/>
        </w:rPr>
        <w:t>S</w:t>
      </w:r>
    </w:p>
    <w:p>
      <w:pPr>
        <w:spacing w:before="21"/>
        <w:ind w:left="640" w:right="180" w:firstLine="0"/>
        <w:jc w:val="left"/>
        <w:rPr>
          <w:rFonts w:ascii="Arial Narrow" w:hAnsi="Arial Narrow" w:cs="Arial Narrow" w:eastAsia="Arial Narrow" w:hint="default"/>
          <w:sz w:val="21"/>
          <w:szCs w:val="21"/>
        </w:rPr>
      </w:pPr>
      <w:r>
        <w:rPr>
          <w:rFonts w:ascii="Arial Narrow" w:hAnsi="Arial Narrow" w:cs="Arial Narrow" w:eastAsia="Arial Narrow" w:hint="default"/>
          <w:sz w:val="21"/>
          <w:szCs w:val="21"/>
        </w:rPr>
        <w:t>S= S0</w:t>
      </w:r>
      <w:r>
        <w:rPr>
          <w:rFonts w:ascii="宋体" w:hAnsi="宋体" w:cs="宋体" w:eastAsia="宋体" w:hint="default"/>
          <w:sz w:val="21"/>
          <w:szCs w:val="21"/>
        </w:rPr>
        <w:t>＋</w:t>
      </w:r>
      <w:r>
        <w:rPr>
          <w:rFonts w:ascii="Arial Narrow" w:hAnsi="Arial Narrow" w:cs="Arial Narrow" w:eastAsia="Arial Narrow" w:hint="default"/>
          <w:sz w:val="21"/>
          <w:szCs w:val="21"/>
        </w:rPr>
        <w:t>S1</w:t>
      </w:r>
      <w:r>
        <w:rPr>
          <w:rFonts w:ascii="宋体" w:hAnsi="宋体" w:cs="宋体" w:eastAsia="宋体" w:hint="default"/>
          <w:sz w:val="21"/>
          <w:szCs w:val="21"/>
        </w:rPr>
        <w:t>＋</w:t>
      </w:r>
      <w:r>
        <w:rPr>
          <w:rFonts w:ascii="Arial Narrow" w:hAnsi="Arial Narrow" w:cs="Arial Narrow" w:eastAsia="Arial Narrow" w:hint="default"/>
          <w:sz w:val="21"/>
          <w:szCs w:val="21"/>
        </w:rPr>
        <w:t>Si</w:t>
      </w:r>
      <w:r>
        <w:rPr>
          <w:rFonts w:ascii="宋体" w:hAnsi="宋体" w:cs="宋体" w:eastAsia="宋体" w:hint="default"/>
          <w:sz w:val="21"/>
          <w:szCs w:val="21"/>
        </w:rPr>
        <w:t>×</w:t>
      </w:r>
      <w:r>
        <w:rPr>
          <w:rFonts w:ascii="Arial Narrow" w:hAnsi="Arial Narrow" w:cs="Arial Narrow" w:eastAsia="Arial Narrow" w:hint="default"/>
          <w:sz w:val="21"/>
          <w:szCs w:val="21"/>
        </w:rPr>
        <w:t>Mi</w:t>
      </w:r>
      <w:r>
        <w:rPr>
          <w:rFonts w:ascii="宋体" w:hAnsi="宋体" w:cs="宋体" w:eastAsia="宋体" w:hint="default"/>
          <w:sz w:val="21"/>
          <w:szCs w:val="21"/>
        </w:rPr>
        <w:t>÷</w:t>
      </w:r>
      <w:r>
        <w:rPr>
          <w:rFonts w:ascii="Arial Narrow" w:hAnsi="Arial Narrow" w:cs="Arial Narrow" w:eastAsia="Arial Narrow" w:hint="default"/>
          <w:sz w:val="21"/>
          <w:szCs w:val="21"/>
        </w:rPr>
        <w:t>M0</w:t>
      </w:r>
      <w:r>
        <w:rPr>
          <w:rFonts w:ascii="宋体" w:hAnsi="宋体" w:cs="宋体" w:eastAsia="宋体" w:hint="default"/>
          <w:sz w:val="21"/>
          <w:szCs w:val="21"/>
        </w:rPr>
        <w:t>–</w:t>
      </w:r>
      <w:r>
        <w:rPr>
          <w:rFonts w:ascii="宋体" w:hAnsi="宋体" w:cs="宋体" w:eastAsia="宋体" w:hint="default"/>
          <w:spacing w:val="-6"/>
          <w:sz w:val="21"/>
          <w:szCs w:val="21"/>
        </w:rPr>
        <w:t> </w:t>
      </w:r>
      <w:r>
        <w:rPr>
          <w:rFonts w:ascii="Arial Narrow" w:hAnsi="Arial Narrow" w:cs="Arial Narrow" w:eastAsia="Arial Narrow" w:hint="default"/>
          <w:sz w:val="21"/>
          <w:szCs w:val="21"/>
        </w:rPr>
        <w:t>Sj</w:t>
      </w:r>
      <w:r>
        <w:rPr>
          <w:rFonts w:ascii="宋体" w:hAnsi="宋体" w:cs="宋体" w:eastAsia="宋体" w:hint="default"/>
          <w:sz w:val="21"/>
          <w:szCs w:val="21"/>
        </w:rPr>
        <w:t>×</w:t>
      </w:r>
      <w:r>
        <w:rPr>
          <w:rFonts w:ascii="Arial Narrow" w:hAnsi="Arial Narrow" w:cs="Arial Narrow" w:eastAsia="Arial Narrow" w:hint="default"/>
          <w:sz w:val="21"/>
          <w:szCs w:val="21"/>
        </w:rPr>
        <w:t>Mj</w:t>
      </w:r>
      <w:r>
        <w:rPr>
          <w:rFonts w:ascii="宋体" w:hAnsi="宋体" w:cs="宋体" w:eastAsia="宋体" w:hint="default"/>
          <w:sz w:val="21"/>
          <w:szCs w:val="21"/>
        </w:rPr>
        <w:t>÷</w:t>
      </w:r>
      <w:r>
        <w:rPr>
          <w:rFonts w:ascii="Arial Narrow" w:hAnsi="Arial Narrow" w:cs="Arial Narrow" w:eastAsia="Arial Narrow" w:hint="default"/>
          <w:sz w:val="21"/>
          <w:szCs w:val="21"/>
        </w:rPr>
        <w:t>M0-Sk</w:t>
      </w:r>
    </w:p>
    <w:p>
      <w:pPr>
        <w:spacing w:line="338" w:lineRule="auto" w:before="120"/>
        <w:ind w:left="220" w:right="217" w:firstLine="420"/>
        <w:jc w:val="both"/>
        <w:rPr>
          <w:rFonts w:ascii="宋体" w:hAnsi="宋体" w:cs="宋体" w:eastAsia="宋体" w:hint="default"/>
          <w:sz w:val="21"/>
          <w:szCs w:val="21"/>
        </w:rPr>
      </w:pPr>
      <w:r>
        <w:rPr>
          <w:rFonts w:ascii="宋体" w:hAnsi="宋体" w:cs="宋体" w:eastAsia="宋体" w:hint="default"/>
          <w:spacing w:val="-5"/>
          <w:sz w:val="21"/>
          <w:szCs w:val="21"/>
        </w:rPr>
        <w:t>其中：</w:t>
      </w:r>
      <w:r>
        <w:rPr>
          <w:rFonts w:ascii="Arial Narrow" w:hAnsi="Arial Narrow" w:cs="Arial Narrow" w:eastAsia="Arial Narrow" w:hint="default"/>
          <w:spacing w:val="-5"/>
          <w:sz w:val="21"/>
          <w:szCs w:val="21"/>
        </w:rPr>
        <w:t>P0</w:t>
      </w:r>
      <w:r>
        <w:rPr>
          <w:rFonts w:ascii="Arial Narrow" w:hAnsi="Arial Narrow" w:cs="Arial Narrow" w:eastAsia="Arial Narrow" w:hint="default"/>
          <w:spacing w:val="5"/>
          <w:sz w:val="21"/>
          <w:szCs w:val="21"/>
        </w:rPr>
        <w:t> </w:t>
      </w:r>
      <w:r>
        <w:rPr>
          <w:rFonts w:ascii="宋体" w:hAnsi="宋体" w:cs="宋体" w:eastAsia="宋体" w:hint="default"/>
          <w:sz w:val="21"/>
          <w:szCs w:val="21"/>
        </w:rPr>
        <w:t>为归属于公司普通股股东的净利润或扣除非经常性损益后归属于普通股股东的净 </w:t>
      </w:r>
      <w:r>
        <w:rPr>
          <w:rFonts w:ascii="宋体" w:hAnsi="宋体" w:cs="宋体" w:eastAsia="宋体" w:hint="default"/>
          <w:spacing w:val="-3"/>
          <w:sz w:val="21"/>
          <w:szCs w:val="21"/>
        </w:rPr>
        <w:t>利润；</w:t>
      </w:r>
      <w:r>
        <w:rPr>
          <w:rFonts w:ascii="Arial Narrow" w:hAnsi="Arial Narrow" w:cs="Arial Narrow" w:eastAsia="Arial Narrow" w:hint="default"/>
          <w:spacing w:val="-3"/>
          <w:sz w:val="21"/>
          <w:szCs w:val="21"/>
        </w:rPr>
        <w:t>S </w:t>
      </w:r>
      <w:r>
        <w:rPr>
          <w:rFonts w:ascii="宋体" w:hAnsi="宋体" w:cs="宋体" w:eastAsia="宋体" w:hint="default"/>
          <w:sz w:val="21"/>
          <w:szCs w:val="21"/>
        </w:rPr>
        <w:t>为发行在外的普通股加权平均数；</w:t>
      </w:r>
      <w:r>
        <w:rPr>
          <w:rFonts w:ascii="Arial Narrow" w:hAnsi="Arial Narrow" w:cs="Arial Narrow" w:eastAsia="Arial Narrow" w:hint="default"/>
          <w:sz w:val="21"/>
          <w:szCs w:val="21"/>
        </w:rPr>
        <w:t>S0 </w:t>
      </w:r>
      <w:r>
        <w:rPr>
          <w:rFonts w:ascii="宋体" w:hAnsi="宋体" w:cs="宋体" w:eastAsia="宋体" w:hint="default"/>
          <w:sz w:val="21"/>
          <w:szCs w:val="21"/>
        </w:rPr>
        <w:t>为期初股份总数；</w:t>
      </w:r>
      <w:r>
        <w:rPr>
          <w:rFonts w:ascii="Arial Narrow" w:hAnsi="Arial Narrow" w:cs="Arial Narrow" w:eastAsia="Arial Narrow" w:hint="default"/>
          <w:sz w:val="21"/>
          <w:szCs w:val="21"/>
        </w:rPr>
        <w:t>S1</w:t>
      </w:r>
      <w:r>
        <w:rPr>
          <w:rFonts w:ascii="Arial Narrow" w:hAnsi="Arial Narrow" w:cs="Arial Narrow" w:eastAsia="Arial Narrow" w:hint="default"/>
          <w:spacing w:val="-8"/>
          <w:sz w:val="21"/>
          <w:szCs w:val="21"/>
        </w:rPr>
        <w:t> </w:t>
      </w:r>
      <w:r>
        <w:rPr>
          <w:rFonts w:ascii="宋体" w:hAnsi="宋体" w:cs="宋体" w:eastAsia="宋体" w:hint="default"/>
          <w:sz w:val="21"/>
          <w:szCs w:val="21"/>
        </w:rPr>
        <w:t>为报告期因公积金转增股本 或股票股利分配等增加股份数；</w:t>
      </w:r>
      <w:r>
        <w:rPr>
          <w:rFonts w:ascii="Arial Narrow" w:hAnsi="Arial Narrow" w:cs="Arial Narrow" w:eastAsia="Arial Narrow" w:hint="default"/>
          <w:sz w:val="21"/>
          <w:szCs w:val="21"/>
        </w:rPr>
        <w:t>Si </w:t>
      </w:r>
      <w:r>
        <w:rPr>
          <w:rFonts w:ascii="宋体" w:hAnsi="宋体" w:cs="宋体" w:eastAsia="宋体" w:hint="default"/>
          <w:sz w:val="21"/>
          <w:szCs w:val="21"/>
        </w:rPr>
        <w:t>为报告期因发行新股或债转股等增加股份数；</w:t>
      </w:r>
      <w:r>
        <w:rPr>
          <w:rFonts w:ascii="Arial Narrow" w:hAnsi="Arial Narrow" w:cs="Arial Narrow" w:eastAsia="Arial Narrow" w:hint="default"/>
          <w:sz w:val="21"/>
          <w:szCs w:val="21"/>
        </w:rPr>
        <w:t>Sj</w:t>
      </w:r>
      <w:r>
        <w:rPr>
          <w:rFonts w:ascii="Arial Narrow" w:hAnsi="Arial Narrow" w:cs="Arial Narrow" w:eastAsia="Arial Narrow" w:hint="default"/>
          <w:spacing w:val="46"/>
          <w:sz w:val="21"/>
          <w:szCs w:val="21"/>
        </w:rPr>
        <w:t> </w:t>
      </w:r>
      <w:r>
        <w:rPr>
          <w:rFonts w:ascii="宋体" w:hAnsi="宋体" w:cs="宋体" w:eastAsia="宋体" w:hint="default"/>
          <w:sz w:val="21"/>
          <w:szCs w:val="21"/>
        </w:rPr>
        <w:t>为报告期因 回购等减少股份数；</w:t>
      </w:r>
      <w:r>
        <w:rPr>
          <w:rFonts w:ascii="Arial Narrow" w:hAnsi="Arial Narrow" w:cs="Arial Narrow" w:eastAsia="Arial Narrow" w:hint="default"/>
          <w:sz w:val="21"/>
          <w:szCs w:val="21"/>
        </w:rPr>
        <w:t>Sk  </w:t>
      </w:r>
      <w:r>
        <w:rPr>
          <w:rFonts w:ascii="宋体" w:hAnsi="宋体" w:cs="宋体" w:eastAsia="宋体" w:hint="default"/>
          <w:sz w:val="21"/>
          <w:szCs w:val="21"/>
        </w:rPr>
        <w:t>为报告期缩股数；</w:t>
      </w:r>
      <w:r>
        <w:rPr>
          <w:rFonts w:ascii="Arial Narrow" w:hAnsi="Arial Narrow" w:cs="Arial Narrow" w:eastAsia="Arial Narrow" w:hint="default"/>
          <w:sz w:val="21"/>
          <w:szCs w:val="21"/>
        </w:rPr>
        <w:t>M0  </w:t>
      </w:r>
      <w:r>
        <w:rPr>
          <w:rFonts w:ascii="宋体" w:hAnsi="宋体" w:cs="宋体" w:eastAsia="宋体" w:hint="default"/>
          <w:sz w:val="21"/>
          <w:szCs w:val="21"/>
        </w:rPr>
        <w:t>报告期月份数；</w:t>
      </w:r>
      <w:r>
        <w:rPr>
          <w:rFonts w:ascii="Arial Narrow" w:hAnsi="Arial Narrow" w:cs="Arial Narrow" w:eastAsia="Arial Narrow" w:hint="default"/>
          <w:sz w:val="21"/>
          <w:szCs w:val="21"/>
        </w:rPr>
        <w:t>Mi</w:t>
      </w:r>
      <w:r>
        <w:rPr>
          <w:rFonts w:ascii="Arial Narrow" w:hAnsi="Arial Narrow" w:cs="Arial Narrow" w:eastAsia="Arial Narrow" w:hint="default"/>
          <w:spacing w:val="3"/>
          <w:sz w:val="21"/>
          <w:szCs w:val="21"/>
        </w:rPr>
        <w:t> </w:t>
      </w:r>
      <w:r>
        <w:rPr>
          <w:rFonts w:ascii="宋体" w:hAnsi="宋体" w:cs="宋体" w:eastAsia="宋体" w:hint="default"/>
          <w:sz w:val="21"/>
          <w:szCs w:val="21"/>
        </w:rPr>
        <w:t>为增加股份次月起至报告期期</w:t>
      </w:r>
    </w:p>
    <w:p>
      <w:pPr>
        <w:spacing w:after="0" w:line="338" w:lineRule="auto"/>
        <w:jc w:val="both"/>
        <w:rPr>
          <w:rFonts w:ascii="宋体" w:hAnsi="宋体" w:cs="宋体" w:eastAsia="宋体" w:hint="default"/>
          <w:sz w:val="21"/>
          <w:szCs w:val="21"/>
        </w:rPr>
        <w:sectPr>
          <w:pgSz w:w="12240" w:h="15840"/>
          <w:pgMar w:header="0" w:footer="688" w:top="1400" w:bottom="900" w:left="1580" w:right="1580"/>
        </w:sectPr>
      </w:pPr>
    </w:p>
    <w:p>
      <w:pPr>
        <w:spacing w:before="6"/>
        <w:ind w:left="220" w:right="180" w:firstLine="0"/>
        <w:jc w:val="left"/>
        <w:rPr>
          <w:rFonts w:ascii="宋体" w:hAnsi="宋体" w:cs="宋体" w:eastAsia="宋体" w:hint="default"/>
          <w:sz w:val="21"/>
          <w:szCs w:val="21"/>
        </w:rPr>
      </w:pPr>
      <w:r>
        <w:rPr>
          <w:rFonts w:ascii="宋体" w:hAnsi="宋体" w:cs="宋体" w:eastAsia="宋体" w:hint="default"/>
          <w:sz w:val="21"/>
          <w:szCs w:val="21"/>
        </w:rPr>
        <w:t>末的累计月数；</w:t>
      </w:r>
      <w:r>
        <w:rPr>
          <w:rFonts w:ascii="Arial Narrow" w:hAnsi="Arial Narrow" w:cs="Arial Narrow" w:eastAsia="Arial Narrow" w:hint="default"/>
          <w:sz w:val="21"/>
          <w:szCs w:val="21"/>
        </w:rPr>
        <w:t>Mj</w:t>
      </w:r>
      <w:r>
        <w:rPr>
          <w:rFonts w:ascii="Arial Narrow" w:hAnsi="Arial Narrow" w:cs="Arial Narrow" w:eastAsia="Arial Narrow" w:hint="default"/>
          <w:spacing w:val="2"/>
          <w:sz w:val="21"/>
          <w:szCs w:val="21"/>
        </w:rPr>
        <w:t> </w:t>
      </w:r>
      <w:r>
        <w:rPr>
          <w:rFonts w:ascii="宋体" w:hAnsi="宋体" w:cs="宋体" w:eastAsia="宋体" w:hint="default"/>
          <w:sz w:val="21"/>
          <w:szCs w:val="21"/>
        </w:rPr>
        <w:t>为减少股份次月起至报告期期末的累计月数。</w:t>
      </w:r>
    </w:p>
    <w:p>
      <w:pPr>
        <w:spacing w:line="338" w:lineRule="auto" w:before="118"/>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II</w:t>
      </w:r>
      <w:r>
        <w:rPr>
          <w:rFonts w:ascii="宋体" w:hAnsi="宋体" w:cs="宋体" w:eastAsia="宋体" w:hint="default"/>
          <w:sz w:val="21"/>
          <w:szCs w:val="21"/>
        </w:rPr>
        <w:t>．稀释每股收益 稀释每股收益</w:t>
      </w:r>
      <w:r>
        <w:rPr>
          <w:rFonts w:ascii="Arial Narrow" w:hAnsi="Arial Narrow" w:cs="Arial Narrow" w:eastAsia="Arial Narrow" w:hint="default"/>
          <w:sz w:val="21"/>
          <w:szCs w:val="21"/>
        </w:rPr>
        <w:t>=P1/(S0</w:t>
      </w:r>
      <w:r>
        <w:rPr>
          <w:rFonts w:ascii="宋体" w:hAnsi="宋体" w:cs="宋体" w:eastAsia="宋体" w:hint="default"/>
          <w:sz w:val="21"/>
          <w:szCs w:val="21"/>
        </w:rPr>
        <w:t>＋</w:t>
      </w:r>
      <w:r>
        <w:rPr>
          <w:rFonts w:ascii="Arial Narrow" w:hAnsi="Arial Narrow" w:cs="Arial Narrow" w:eastAsia="Arial Narrow" w:hint="default"/>
          <w:sz w:val="21"/>
          <w:szCs w:val="21"/>
        </w:rPr>
        <w:t>S1</w:t>
      </w:r>
      <w:r>
        <w:rPr>
          <w:rFonts w:ascii="宋体" w:hAnsi="宋体" w:cs="宋体" w:eastAsia="宋体" w:hint="default"/>
          <w:sz w:val="21"/>
          <w:szCs w:val="21"/>
        </w:rPr>
        <w:t>＋</w:t>
      </w:r>
      <w:r>
        <w:rPr>
          <w:rFonts w:ascii="Arial Narrow" w:hAnsi="Arial Narrow" w:cs="Arial Narrow" w:eastAsia="Arial Narrow" w:hint="default"/>
          <w:sz w:val="21"/>
          <w:szCs w:val="21"/>
        </w:rPr>
        <w:t>Si</w:t>
      </w:r>
      <w:r>
        <w:rPr>
          <w:rFonts w:ascii="宋体" w:hAnsi="宋体" w:cs="宋体" w:eastAsia="宋体" w:hint="default"/>
          <w:sz w:val="21"/>
          <w:szCs w:val="21"/>
        </w:rPr>
        <w:t>×</w:t>
      </w:r>
      <w:r>
        <w:rPr>
          <w:rFonts w:ascii="Arial Narrow" w:hAnsi="Arial Narrow" w:cs="Arial Narrow" w:eastAsia="Arial Narrow" w:hint="default"/>
          <w:sz w:val="21"/>
          <w:szCs w:val="21"/>
        </w:rPr>
        <w:t>Mi</w:t>
      </w:r>
      <w:r>
        <w:rPr>
          <w:rFonts w:ascii="宋体" w:hAnsi="宋体" w:cs="宋体" w:eastAsia="宋体" w:hint="default"/>
          <w:sz w:val="21"/>
          <w:szCs w:val="21"/>
        </w:rPr>
        <w:t>÷</w:t>
      </w:r>
      <w:r>
        <w:rPr>
          <w:rFonts w:ascii="Arial Narrow" w:hAnsi="Arial Narrow" w:cs="Arial Narrow" w:eastAsia="Arial Narrow" w:hint="default"/>
          <w:sz w:val="21"/>
          <w:szCs w:val="21"/>
        </w:rPr>
        <w:t>M0</w:t>
      </w:r>
      <w:r>
        <w:rPr>
          <w:rFonts w:ascii="宋体" w:hAnsi="宋体" w:cs="宋体" w:eastAsia="宋体" w:hint="default"/>
          <w:sz w:val="21"/>
          <w:szCs w:val="21"/>
        </w:rPr>
        <w:t>–</w:t>
      </w:r>
      <w:r>
        <w:rPr>
          <w:rFonts w:ascii="Arial Narrow" w:hAnsi="Arial Narrow" w:cs="Arial Narrow" w:eastAsia="Arial Narrow" w:hint="default"/>
          <w:sz w:val="21"/>
          <w:szCs w:val="21"/>
        </w:rPr>
        <w:t>Sj</w:t>
      </w:r>
      <w:r>
        <w:rPr>
          <w:rFonts w:ascii="宋体" w:hAnsi="宋体" w:cs="宋体" w:eastAsia="宋体" w:hint="default"/>
          <w:sz w:val="21"/>
          <w:szCs w:val="21"/>
        </w:rPr>
        <w:t>×</w:t>
      </w:r>
      <w:r>
        <w:rPr>
          <w:rFonts w:ascii="Arial Narrow" w:hAnsi="Arial Narrow" w:cs="Arial Narrow" w:eastAsia="Arial Narrow" w:hint="default"/>
          <w:sz w:val="21"/>
          <w:szCs w:val="21"/>
        </w:rPr>
        <w:t>Mj</w:t>
      </w:r>
      <w:r>
        <w:rPr>
          <w:rFonts w:ascii="宋体" w:hAnsi="宋体" w:cs="宋体" w:eastAsia="宋体" w:hint="default"/>
          <w:sz w:val="21"/>
          <w:szCs w:val="21"/>
        </w:rPr>
        <w:t>÷</w:t>
      </w:r>
      <w:r>
        <w:rPr>
          <w:rFonts w:ascii="Arial Narrow" w:hAnsi="Arial Narrow" w:cs="Arial Narrow" w:eastAsia="Arial Narrow" w:hint="default"/>
          <w:sz w:val="21"/>
          <w:szCs w:val="21"/>
        </w:rPr>
        <w:t>M0</w:t>
      </w:r>
      <w:r>
        <w:rPr>
          <w:rFonts w:ascii="宋体" w:hAnsi="宋体" w:cs="宋体" w:eastAsia="宋体" w:hint="default"/>
          <w:sz w:val="21"/>
          <w:szCs w:val="21"/>
        </w:rPr>
        <w:t>–</w:t>
      </w:r>
      <w:r>
        <w:rPr>
          <w:rFonts w:ascii="Arial Narrow" w:hAnsi="Arial Narrow" w:cs="Arial Narrow" w:eastAsia="Arial Narrow" w:hint="default"/>
          <w:sz w:val="21"/>
          <w:szCs w:val="21"/>
        </w:rPr>
        <w:t>Sk+</w:t>
      </w:r>
      <w:r>
        <w:rPr>
          <w:rFonts w:ascii="宋体" w:hAnsi="宋体" w:cs="宋体" w:eastAsia="宋体" w:hint="default"/>
          <w:sz w:val="21"/>
          <w:szCs w:val="21"/>
        </w:rPr>
        <w:t>认股权证、股份期权、可转换债</w:t>
      </w:r>
    </w:p>
    <w:p>
      <w:pPr>
        <w:spacing w:before="21"/>
        <w:ind w:left="220" w:right="180" w:firstLine="0"/>
        <w:jc w:val="left"/>
        <w:rPr>
          <w:rFonts w:ascii="Arial Narrow" w:hAnsi="Arial Narrow" w:cs="Arial Narrow" w:eastAsia="Arial Narrow" w:hint="default"/>
          <w:sz w:val="21"/>
          <w:szCs w:val="21"/>
        </w:rPr>
      </w:pPr>
      <w:r>
        <w:rPr>
          <w:rFonts w:ascii="宋体" w:hAnsi="宋体" w:cs="宋体" w:eastAsia="宋体" w:hint="default"/>
          <w:sz w:val="21"/>
          <w:szCs w:val="21"/>
        </w:rPr>
        <w:t>券等增加的普通股加权平均数</w:t>
      </w:r>
      <w:r>
        <w:rPr>
          <w:rFonts w:ascii="Arial Narrow" w:hAnsi="Arial Narrow" w:cs="Arial Narrow" w:eastAsia="Arial Narrow" w:hint="default"/>
          <w:sz w:val="21"/>
          <w:szCs w:val="21"/>
        </w:rPr>
        <w:t>)</w:t>
      </w:r>
    </w:p>
    <w:p>
      <w:pPr>
        <w:spacing w:line="352" w:lineRule="auto" w:before="120"/>
        <w:ind w:left="220" w:right="217" w:firstLine="420"/>
        <w:jc w:val="both"/>
        <w:rPr>
          <w:rFonts w:ascii="宋体" w:hAnsi="宋体" w:cs="宋体" w:eastAsia="宋体" w:hint="default"/>
          <w:sz w:val="21"/>
          <w:szCs w:val="21"/>
        </w:rPr>
      </w:pPr>
      <w:r>
        <w:rPr>
          <w:rFonts w:ascii="宋体" w:hAnsi="宋体" w:cs="宋体" w:eastAsia="宋体" w:hint="default"/>
          <w:spacing w:val="-5"/>
          <w:sz w:val="21"/>
          <w:szCs w:val="21"/>
        </w:rPr>
        <w:t>其中，</w:t>
      </w:r>
      <w:r>
        <w:rPr>
          <w:rFonts w:ascii="Arial Narrow" w:hAnsi="Arial Narrow" w:cs="Arial Narrow" w:eastAsia="Arial Narrow" w:hint="default"/>
          <w:spacing w:val="-5"/>
          <w:sz w:val="21"/>
          <w:szCs w:val="21"/>
        </w:rPr>
        <w:t>P1</w:t>
      </w:r>
      <w:r>
        <w:rPr>
          <w:rFonts w:ascii="Arial Narrow" w:hAnsi="Arial Narrow" w:cs="Arial Narrow" w:eastAsia="Arial Narrow" w:hint="default"/>
          <w:spacing w:val="5"/>
          <w:sz w:val="21"/>
          <w:szCs w:val="21"/>
        </w:rPr>
        <w:t> </w:t>
      </w:r>
      <w:r>
        <w:rPr>
          <w:rFonts w:ascii="宋体" w:hAnsi="宋体" w:cs="宋体" w:eastAsia="宋体" w:hint="default"/>
          <w:sz w:val="21"/>
          <w:szCs w:val="21"/>
        </w:rPr>
        <w:t>为归属于公司普通股股东的净利润或扣除非经常性损益后归属于公司普通股股东 的净利润，并考虑稀释性潜在普通股对其影响，按《企业会计准则》及有关规定进行调整。公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司在计算稀释每股收益时，考虑所有稀释性潜在普通股对归属于公司普通股股东的净利润或扣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除非经常性损益后归属于公司普通股股东的净利润和加权平均股数的影响，按照其稀释程度从</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大到小的顺序计入稀释每股收益，直至稀释每股收益达到最小值。</w:t>
      </w:r>
    </w:p>
    <w:p>
      <w:pPr>
        <w:tabs>
          <w:tab w:pos="1900" w:val="left" w:leader="none"/>
        </w:tabs>
        <w:spacing w:before="95"/>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（三十五）</w:t>
        <w:tab/>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line="338" w:lineRule="auto" w:before="0"/>
        <w:ind w:left="220" w:right="217" w:firstLine="420"/>
        <w:jc w:val="both"/>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、收到其他与经营活动有关的现金本年发生</w:t>
      </w:r>
      <w:r>
        <w:rPr>
          <w:rFonts w:ascii="宋体" w:hAnsi="宋体" w:cs="宋体" w:eastAsia="宋体" w:hint="default"/>
          <w:spacing w:val="-62"/>
          <w:sz w:val="21"/>
          <w:szCs w:val="21"/>
        </w:rPr>
        <w:t> </w:t>
      </w:r>
      <w:r>
        <w:rPr>
          <w:rFonts w:ascii="Arial Narrow" w:hAnsi="Arial Narrow" w:cs="Arial Narrow" w:eastAsia="Arial Narrow" w:hint="default"/>
          <w:sz w:val="21"/>
          <w:szCs w:val="21"/>
        </w:rPr>
        <w:t>16,083,803.71</w:t>
      </w:r>
      <w:r>
        <w:rPr>
          <w:rFonts w:ascii="Arial Narrow" w:hAnsi="Arial Narrow" w:cs="Arial Narrow" w:eastAsia="Arial Narrow" w:hint="default"/>
          <w:spacing w:val="-5"/>
          <w:sz w:val="21"/>
          <w:szCs w:val="21"/>
        </w:rPr>
        <w:t> </w:t>
      </w:r>
      <w:r>
        <w:rPr>
          <w:rFonts w:ascii="宋体" w:hAnsi="宋体" w:cs="宋体" w:eastAsia="宋体" w:hint="default"/>
          <w:sz w:val="21"/>
          <w:szCs w:val="21"/>
        </w:rPr>
        <w:t>元，主要系收到的银行活期存款 </w:t>
      </w:r>
      <w:r>
        <w:rPr>
          <w:rFonts w:ascii="宋体" w:hAnsi="宋体" w:cs="宋体" w:eastAsia="宋体" w:hint="default"/>
          <w:spacing w:val="-3"/>
          <w:sz w:val="21"/>
          <w:szCs w:val="21"/>
        </w:rPr>
        <w:t>利息收入、除税收返还以外的营业外收入以及其他经营性往来净收入，明细列示如下：：</w:t>
      </w:r>
    </w:p>
    <w:p>
      <w:pPr>
        <w:spacing w:line="240" w:lineRule="auto" w:before="9"/>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5724"/>
        <w:gridCol w:w="1560"/>
        <w:gridCol w:w="1560"/>
      </w:tblGrid>
      <w:tr>
        <w:trPr>
          <w:trHeight w:val="341" w:hRule="exact"/>
        </w:trPr>
        <w:tc>
          <w:tcPr>
            <w:tcW w:w="57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2"/>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352"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35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62"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收政府补助专项资金</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2"/>
                <w:sz w:val="21"/>
              </w:rPr>
              <w:t>11,614,220.14</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23,793,200.00</w:t>
            </w:r>
          </w:p>
        </w:tc>
      </w:tr>
      <w:tr>
        <w:trPr>
          <w:trHeight w:val="355"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3,852,608.16</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194,668.39</w:t>
            </w:r>
          </w:p>
        </w:tc>
      </w:tr>
      <w:tr>
        <w:trPr>
          <w:trHeight w:val="354"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收到的保证金、押金及其他往来款等</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8"/>
              <w:jc w:val="right"/>
              <w:rPr>
                <w:rFonts w:ascii="Arial Narrow" w:hAnsi="Arial Narrow" w:cs="Arial Narrow" w:eastAsia="Arial Narrow" w:hint="default"/>
                <w:sz w:val="21"/>
                <w:szCs w:val="21"/>
              </w:rPr>
            </w:pPr>
            <w:r>
              <w:rPr>
                <w:rFonts w:ascii="Arial Narrow"/>
                <w:spacing w:val="-1"/>
                <w:sz w:val="21"/>
              </w:rPr>
              <w:t>616,975.41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right="97"/>
              <w:jc w:val="right"/>
              <w:rPr>
                <w:rFonts w:ascii="Arial Narrow" w:hAnsi="Arial Narrow" w:cs="Arial Narrow" w:eastAsia="Arial Narrow" w:hint="default"/>
                <w:sz w:val="21"/>
                <w:szCs w:val="21"/>
              </w:rPr>
            </w:pPr>
            <w:r>
              <w:rPr>
                <w:rFonts w:ascii="Arial Narrow"/>
                <w:spacing w:val="-1"/>
                <w:sz w:val="21"/>
              </w:rPr>
              <w:t>2,064,477.76</w:t>
            </w:r>
          </w:p>
        </w:tc>
      </w:tr>
      <w:tr>
        <w:trPr>
          <w:trHeight w:val="355"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16,083,803.71</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26,052,346.15</w:t>
            </w:r>
          </w:p>
        </w:tc>
      </w:tr>
    </w:tbl>
    <w:p>
      <w:pPr>
        <w:spacing w:line="338" w:lineRule="auto" w:before="87"/>
        <w:ind w:left="220" w:right="204" w:firstLine="42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、支付其他与经营活动有关的现金本年发生额</w:t>
      </w:r>
      <w:r>
        <w:rPr>
          <w:rFonts w:ascii="宋体" w:hAnsi="宋体" w:cs="宋体" w:eastAsia="宋体" w:hint="default"/>
          <w:spacing w:val="-61"/>
          <w:sz w:val="21"/>
          <w:szCs w:val="21"/>
        </w:rPr>
        <w:t> </w:t>
      </w:r>
      <w:r>
        <w:rPr>
          <w:rFonts w:ascii="Arial Narrow" w:hAnsi="Arial Narrow" w:cs="Arial Narrow" w:eastAsia="Arial Narrow" w:hint="default"/>
          <w:sz w:val="21"/>
          <w:szCs w:val="21"/>
        </w:rPr>
        <w:t>67,443,548.05</w:t>
      </w:r>
      <w:r>
        <w:rPr>
          <w:rFonts w:ascii="Arial Narrow" w:hAnsi="Arial Narrow" w:cs="Arial Narrow" w:eastAsia="Arial Narrow" w:hint="default"/>
          <w:spacing w:val="-4"/>
          <w:sz w:val="21"/>
          <w:szCs w:val="21"/>
        </w:rPr>
        <w:t> </w:t>
      </w:r>
      <w:r>
        <w:rPr>
          <w:rFonts w:ascii="宋体" w:hAnsi="宋体" w:cs="宋体" w:eastAsia="宋体" w:hint="default"/>
          <w:sz w:val="21"/>
          <w:szCs w:val="21"/>
        </w:rPr>
        <w:t>元，主要系直接付现的期间费 用（不含职工薪酬支出及税金支出）及其他经营性往来净支出，主要明细列示如下：</w:t>
      </w:r>
    </w:p>
    <w:p>
      <w:pPr>
        <w:spacing w:line="240" w:lineRule="auto" w:before="5"/>
        <w:rPr>
          <w:rFonts w:ascii="宋体" w:hAnsi="宋体" w:cs="宋体" w:eastAsia="宋体"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5724"/>
        <w:gridCol w:w="1560"/>
        <w:gridCol w:w="1560"/>
      </w:tblGrid>
      <w:tr>
        <w:trPr>
          <w:trHeight w:val="370" w:hRule="exact"/>
        </w:trPr>
        <w:tc>
          <w:tcPr>
            <w:tcW w:w="57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20"/>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0"/>
              <w:ind w:left="352"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20"/>
              <w:ind w:left="35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84"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支付保证金、押金及其他往来款等</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8"/>
              <w:jc w:val="right"/>
              <w:rPr>
                <w:rFonts w:ascii="Arial Narrow" w:hAnsi="Arial Narrow" w:cs="Arial Narrow" w:eastAsia="Arial Narrow" w:hint="default"/>
                <w:sz w:val="21"/>
                <w:szCs w:val="21"/>
              </w:rPr>
            </w:pPr>
            <w:r>
              <w:rPr>
                <w:rFonts w:ascii="Arial Narrow"/>
                <w:spacing w:val="-1"/>
                <w:sz w:val="21"/>
              </w:rPr>
              <w:t>3,006,090.82</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8"/>
              <w:jc w:val="right"/>
              <w:rPr>
                <w:rFonts w:ascii="Arial Narrow" w:hAnsi="Arial Narrow" w:cs="Arial Narrow" w:eastAsia="Arial Narrow" w:hint="default"/>
                <w:sz w:val="21"/>
                <w:szCs w:val="21"/>
              </w:rPr>
            </w:pPr>
            <w:r>
              <w:rPr>
                <w:rFonts w:ascii="Arial Narrow"/>
                <w:spacing w:val="-1"/>
                <w:sz w:val="21"/>
              </w:rPr>
              <w:t>4,005,671.50</w:t>
            </w:r>
          </w:p>
        </w:tc>
      </w:tr>
      <w:tr>
        <w:trPr>
          <w:trHeight w:val="384"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付现期间费用</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7"/>
              <w:jc w:val="right"/>
              <w:rPr>
                <w:rFonts w:ascii="Arial Narrow" w:hAnsi="Arial Narrow" w:cs="Arial Narrow" w:eastAsia="Arial Narrow" w:hint="default"/>
                <w:sz w:val="21"/>
                <w:szCs w:val="21"/>
              </w:rPr>
            </w:pPr>
            <w:r>
              <w:rPr>
                <w:rFonts w:ascii="Arial Narrow"/>
                <w:spacing w:val="-1"/>
                <w:sz w:val="21"/>
              </w:rPr>
              <w:t>64,437,457.23</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7"/>
              <w:jc w:val="right"/>
              <w:rPr>
                <w:rFonts w:ascii="Arial Narrow" w:hAnsi="Arial Narrow" w:cs="Arial Narrow" w:eastAsia="Arial Narrow" w:hint="default"/>
                <w:sz w:val="21"/>
                <w:szCs w:val="21"/>
              </w:rPr>
            </w:pPr>
            <w:r>
              <w:rPr>
                <w:rFonts w:ascii="Arial Narrow"/>
                <w:spacing w:val="-1"/>
                <w:sz w:val="21"/>
              </w:rPr>
              <w:t>33,296,557.95</w:t>
            </w:r>
          </w:p>
        </w:tc>
      </w:tr>
      <w:tr>
        <w:trPr>
          <w:trHeight w:val="383" w:hRule="exact"/>
        </w:trPr>
        <w:tc>
          <w:tcPr>
            <w:tcW w:w="572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7"/>
              <w:jc w:val="right"/>
              <w:rPr>
                <w:rFonts w:ascii="Arial Narrow" w:hAnsi="Arial Narrow" w:cs="Arial Narrow" w:eastAsia="Arial Narrow" w:hint="default"/>
                <w:sz w:val="21"/>
                <w:szCs w:val="21"/>
              </w:rPr>
            </w:pPr>
            <w:r>
              <w:rPr>
                <w:rFonts w:ascii="Arial Narrow"/>
                <w:spacing w:val="-1"/>
                <w:sz w:val="21"/>
              </w:rPr>
              <w:t>67,443,548.05</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97"/>
              <w:jc w:val="right"/>
              <w:rPr>
                <w:rFonts w:ascii="Arial Narrow" w:hAnsi="Arial Narrow" w:cs="Arial Narrow" w:eastAsia="Arial Narrow" w:hint="default"/>
                <w:sz w:val="21"/>
                <w:szCs w:val="21"/>
              </w:rPr>
            </w:pPr>
            <w:r>
              <w:rPr>
                <w:rFonts w:ascii="Arial Narrow"/>
                <w:spacing w:val="-1"/>
                <w:sz w:val="21"/>
              </w:rPr>
              <w:t>37,302,229.45</w:t>
            </w:r>
          </w:p>
        </w:tc>
      </w:tr>
    </w:tbl>
    <w:p>
      <w:pPr>
        <w:spacing w:line="338" w:lineRule="auto" w:before="87"/>
        <w:ind w:left="220" w:right="204" w:firstLine="42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、支付其他与投资活动有关的现金本年发生额</w:t>
      </w:r>
      <w:r>
        <w:rPr>
          <w:rFonts w:ascii="宋体" w:hAnsi="宋体" w:cs="宋体" w:eastAsia="宋体" w:hint="default"/>
          <w:spacing w:val="-61"/>
          <w:sz w:val="21"/>
          <w:szCs w:val="21"/>
        </w:rPr>
        <w:t> </w:t>
      </w:r>
      <w:r>
        <w:rPr>
          <w:rFonts w:ascii="Arial Narrow" w:hAnsi="Arial Narrow" w:cs="Arial Narrow" w:eastAsia="Arial Narrow" w:hint="default"/>
          <w:sz w:val="21"/>
          <w:szCs w:val="21"/>
        </w:rPr>
        <w:t>10,000,000.00</w:t>
      </w:r>
      <w:r>
        <w:rPr>
          <w:rFonts w:ascii="Arial Narrow" w:hAnsi="Arial Narrow" w:cs="Arial Narrow" w:eastAsia="Arial Narrow" w:hint="default"/>
          <w:spacing w:val="-4"/>
          <w:sz w:val="21"/>
          <w:szCs w:val="21"/>
        </w:rPr>
        <w:t> </w:t>
      </w:r>
      <w:r>
        <w:rPr>
          <w:rFonts w:ascii="宋体" w:hAnsi="宋体" w:cs="宋体" w:eastAsia="宋体" w:hint="default"/>
          <w:sz w:val="21"/>
          <w:szCs w:val="21"/>
        </w:rPr>
        <w:t>元，系支付厦门火炬集团购房 意向保证金。</w:t>
      </w:r>
    </w:p>
    <w:p>
      <w:pPr>
        <w:spacing w:line="338" w:lineRule="auto" w:before="167"/>
        <w:ind w:left="219" w:right="204" w:firstLine="420"/>
        <w:jc w:val="left"/>
        <w:rPr>
          <w:rFonts w:ascii="宋体" w:hAnsi="宋体" w:cs="宋体" w:eastAsia="宋体" w:hint="default"/>
          <w:sz w:val="21"/>
          <w:szCs w:val="21"/>
        </w:rPr>
      </w:pPr>
      <w:r>
        <w:rPr>
          <w:rFonts w:ascii="Arial Narrow" w:hAnsi="Arial Narrow" w:cs="Arial Narrow" w:eastAsia="Arial Narrow" w:hint="default"/>
          <w:sz w:val="21"/>
          <w:szCs w:val="21"/>
        </w:rPr>
        <w:t>4</w:t>
      </w:r>
      <w:r>
        <w:rPr>
          <w:rFonts w:ascii="宋体" w:hAnsi="宋体" w:cs="宋体" w:eastAsia="宋体" w:hint="default"/>
          <w:sz w:val="21"/>
          <w:szCs w:val="21"/>
        </w:rPr>
        <w:t>、支付其他与筹资活动有关的现金本年发生额 </w:t>
      </w:r>
      <w:r>
        <w:rPr>
          <w:rFonts w:ascii="Arial Narrow" w:hAnsi="Arial Narrow" w:cs="Arial Narrow" w:eastAsia="Arial Narrow" w:hint="default"/>
          <w:sz w:val="21"/>
          <w:szCs w:val="21"/>
        </w:rPr>
        <w:t>5,993,965.00</w:t>
      </w:r>
      <w:r>
        <w:rPr>
          <w:rFonts w:ascii="Arial Narrow" w:hAnsi="Arial Narrow" w:cs="Arial Narrow" w:eastAsia="Arial Narrow" w:hint="default"/>
          <w:spacing w:val="32"/>
          <w:sz w:val="21"/>
          <w:szCs w:val="21"/>
        </w:rPr>
        <w:t> </w:t>
      </w:r>
      <w:r>
        <w:rPr>
          <w:rFonts w:ascii="宋体" w:hAnsi="宋体" w:cs="宋体" w:eastAsia="宋体" w:hint="default"/>
          <w:sz w:val="21"/>
          <w:szCs w:val="21"/>
        </w:rPr>
        <w:t>元，系首次公开发行股票支付 的相关发行费用，详见本附注五之（二十二）。</w:t>
      </w:r>
    </w:p>
    <w:p>
      <w:pPr>
        <w:tabs>
          <w:tab w:pos="1899" w:val="left" w:leader="none"/>
        </w:tabs>
        <w:spacing w:before="108"/>
        <w:ind w:left="639"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（三十六）</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、采用间接法将净利润调节为经营活动现金流量</w:t>
      </w:r>
    </w:p>
    <w:p>
      <w:pPr>
        <w:spacing w:line="240" w:lineRule="auto" w:before="4"/>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6055"/>
        <w:gridCol w:w="1414"/>
        <w:gridCol w:w="1375"/>
      </w:tblGrid>
      <w:tr>
        <w:trPr>
          <w:trHeight w:val="341" w:hRule="exact"/>
        </w:trPr>
        <w:tc>
          <w:tcPr>
            <w:tcW w:w="605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4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79"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37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60"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61"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
        </w:tc>
      </w:tr>
    </w:tbl>
    <w:p>
      <w:pPr>
        <w:spacing w:after="0"/>
        <w:sectPr>
          <w:pgSz w:w="12240" w:h="15840"/>
          <w:pgMar w:header="0" w:footer="688" w:top="1400" w:bottom="900" w:left="1580" w:right="1580"/>
        </w:sectPr>
      </w:pPr>
    </w:p>
    <w:p>
      <w:pPr>
        <w:spacing w:line="240" w:lineRule="auto" w:before="9"/>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6055"/>
        <w:gridCol w:w="1414"/>
        <w:gridCol w:w="1375"/>
      </w:tblGrid>
      <w:tr>
        <w:trPr>
          <w:trHeight w:val="341" w:hRule="exact"/>
        </w:trPr>
        <w:tc>
          <w:tcPr>
            <w:tcW w:w="605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4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79"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37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260"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62"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61,504,981.78</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41,045,570.47</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3,983,191.58</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1,359,916.92</w:t>
            </w:r>
          </w:p>
        </w:tc>
      </w:tr>
      <w:tr>
        <w:trPr>
          <w:trHeight w:val="354"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100"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7"/>
              <w:jc w:val="right"/>
              <w:rPr>
                <w:rFonts w:ascii="Arial Narrow" w:hAnsi="Arial Narrow" w:cs="Arial Narrow" w:eastAsia="Arial Narrow" w:hint="default"/>
                <w:sz w:val="21"/>
                <w:szCs w:val="21"/>
              </w:rPr>
            </w:pPr>
            <w:r>
              <w:rPr>
                <w:rFonts w:ascii="Arial Narrow"/>
                <w:spacing w:val="-1"/>
                <w:sz w:val="21"/>
              </w:rPr>
              <w:t>4,602,419.93</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8"/>
              <w:jc w:val="right"/>
              <w:rPr>
                <w:rFonts w:ascii="Arial Narrow" w:hAnsi="Arial Narrow" w:cs="Arial Narrow" w:eastAsia="Arial Narrow" w:hint="default"/>
                <w:sz w:val="21"/>
                <w:szCs w:val="21"/>
              </w:rPr>
            </w:pPr>
            <w:r>
              <w:rPr>
                <w:rFonts w:ascii="Arial Narrow"/>
                <w:spacing w:val="-1"/>
                <w:sz w:val="21"/>
              </w:rPr>
              <w:t>2,760,394.07</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92,435.20</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24,372.35</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661,201.95</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370,250.16</w:t>
            </w:r>
          </w:p>
        </w:tc>
      </w:tr>
      <w:tr>
        <w:trPr>
          <w:trHeight w:val="640"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
              <w:ind w:left="100" w:right="59"/>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 号填列）</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9"/>
              <w:jc w:val="right"/>
              <w:rPr>
                <w:rFonts w:ascii="Arial Narrow" w:hAnsi="Arial Narrow" w:cs="Arial Narrow" w:eastAsia="Arial Narrow" w:hint="default"/>
                <w:sz w:val="21"/>
                <w:szCs w:val="21"/>
              </w:rPr>
            </w:pPr>
            <w:r>
              <w:rPr>
                <w:rFonts w:ascii="Arial Narrow"/>
                <w:spacing w:val="-1"/>
                <w:sz w:val="21"/>
              </w:rPr>
              <w:t>37,974.62</w:t>
            </w:r>
          </w:p>
        </w:tc>
      </w:tr>
      <w:tr>
        <w:trPr>
          <w:trHeight w:val="354"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-6,328,068.97</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509,761.73</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-6,665,465.63</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-1,173,361.15</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-2,030,931.03</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-56,431,203.89</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-12,687,878.26</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-57,230,509.21</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-18,133,134.36</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经营性应付项目的增加（减少以“－”号填列）</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54,267,216.78</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45,582,348.78</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3,948,304.00</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58,838,645.45</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不涉及现金收支的重大投资和筹资活动：</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现金及现金等价物净变动情况：</w:t>
            </w:r>
          </w:p>
        </w:tc>
        <w:tc>
          <w:tcPr>
            <w:tcW w:w="1414" w:type="dxa"/>
            <w:tcBorders>
              <w:top w:val="single" w:sz="6" w:space="0" w:color="000000"/>
              <w:left w:val="single" w:sz="6" w:space="0" w:color="000000"/>
              <w:bottom w:val="single" w:sz="6" w:space="0" w:color="000000"/>
              <w:right w:val="single" w:sz="6" w:space="0" w:color="000000"/>
            </w:tcBorders>
          </w:tcPr>
          <w:p>
            <w:pP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277,476,214.43</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99,615,900.63</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99,615,900.63</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57,276,050.91</w:t>
            </w:r>
          </w:p>
        </w:tc>
      </w:tr>
      <w:tr>
        <w:trPr>
          <w:trHeight w:val="354"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60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177,860,313.80</w:t>
            </w:r>
          </w:p>
        </w:tc>
        <w:tc>
          <w:tcPr>
            <w:tcW w:w="13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42,339,849.72</w:t>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、现金和现金等价物</w:t>
      </w:r>
    </w:p>
    <w:p>
      <w:pPr>
        <w:spacing w:line="240" w:lineRule="auto" w:before="13"/>
        <w:rPr>
          <w:rFonts w:ascii="宋体" w:hAnsi="宋体" w:cs="宋体" w:eastAsia="宋体" w:hint="default"/>
          <w:sz w:val="12"/>
          <w:szCs w:val="12"/>
        </w:rPr>
      </w:pPr>
    </w:p>
    <w:tbl>
      <w:tblPr>
        <w:tblW w:w="0" w:type="auto"/>
        <w:jc w:val="left"/>
        <w:tblInd w:w="110" w:type="dxa"/>
        <w:tblLayout w:type="fixed"/>
        <w:tblCellMar>
          <w:top w:w="0" w:type="dxa"/>
          <w:left w:w="0" w:type="dxa"/>
          <w:bottom w:w="0" w:type="dxa"/>
          <w:right w:w="0" w:type="dxa"/>
        </w:tblCellMar>
        <w:tblLook w:val="01E0"/>
      </w:tblPr>
      <w:tblGrid>
        <w:gridCol w:w="5620"/>
        <w:gridCol w:w="1511"/>
        <w:gridCol w:w="1714"/>
      </w:tblGrid>
      <w:tr>
        <w:trPr>
          <w:trHeight w:val="321" w:hRule="exact"/>
        </w:trPr>
        <w:tc>
          <w:tcPr>
            <w:tcW w:w="56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51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327"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1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429"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72" w:hRule="exact"/>
        </w:trPr>
        <w:tc>
          <w:tcPr>
            <w:tcW w:w="5620"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511"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277,476,214.43</w:t>
            </w:r>
          </w:p>
        </w:tc>
        <w:tc>
          <w:tcPr>
            <w:tcW w:w="1714" w:type="dxa"/>
            <w:tcBorders>
              <w:top w:val="single" w:sz="19" w:space="0" w:color="C0C0C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99,615,900.63</w:t>
            </w:r>
          </w:p>
        </w:tc>
      </w:tr>
      <w:tr>
        <w:trPr>
          <w:trHeight w:val="354"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22,387.55</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20,613.00</w:t>
            </w:r>
          </w:p>
        </w:tc>
      </w:tr>
      <w:tr>
        <w:trPr>
          <w:trHeight w:val="355"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277,453,826.88</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99,595,287.63</w:t>
            </w:r>
          </w:p>
        </w:tc>
      </w:tr>
      <w:tr>
        <w:trPr>
          <w:trHeight w:val="355"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8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5620"/>
        <w:gridCol w:w="1511"/>
        <w:gridCol w:w="1714"/>
      </w:tblGrid>
      <w:tr>
        <w:trPr>
          <w:trHeight w:val="355"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三、年末现金及现金等价物余额</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277,476,214.43</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99,615,900.63</w:t>
            </w:r>
          </w:p>
        </w:tc>
      </w:tr>
      <w:tr>
        <w:trPr>
          <w:trHeight w:val="354" w:hRule="exact"/>
        </w:trPr>
        <w:tc>
          <w:tcPr>
            <w:tcW w:w="56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pacing w:val="-3"/>
                <w:sz w:val="21"/>
                <w:szCs w:val="21"/>
              </w:rPr>
              <w:t>四、母公司或集团内子公司使用受限制的现金和现金等价物</w:t>
            </w:r>
          </w:p>
        </w:tc>
        <w:tc>
          <w:tcPr>
            <w:tcW w:w="1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273,804,400.00</w:t>
            </w:r>
          </w:p>
        </w:tc>
        <w:tc>
          <w:tcPr>
            <w:tcW w:w="1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91,090.01</w:t>
            </w:r>
          </w:p>
        </w:tc>
      </w:tr>
    </w:tbl>
    <w:p>
      <w:pPr>
        <w:spacing w:line="240" w:lineRule="auto" w:before="6"/>
        <w:rPr>
          <w:rFonts w:ascii="宋体" w:hAnsi="宋体" w:cs="宋体" w:eastAsia="宋体" w:hint="default"/>
          <w:sz w:val="13"/>
          <w:szCs w:val="13"/>
        </w:rPr>
      </w:pPr>
    </w:p>
    <w:p>
      <w:pPr>
        <w:pStyle w:val="BodyText"/>
        <w:spacing w:line="240" w:lineRule="auto" w:before="26"/>
        <w:ind w:left="640" w:right="180"/>
        <w:jc w:val="left"/>
        <w:rPr>
          <w:rFonts w:ascii="黑体" w:hAnsi="黑体" w:cs="黑体" w:eastAsia="黑体" w:hint="default"/>
        </w:rPr>
      </w:pPr>
      <w:r>
        <w:rPr>
          <w:rFonts w:ascii="黑体" w:hAnsi="黑体" w:cs="黑体" w:eastAsia="黑体" w:hint="default"/>
        </w:rPr>
        <w:t>六、关联方关系及其交易</w:t>
      </w:r>
    </w:p>
    <w:p>
      <w:pPr>
        <w:spacing w:line="240" w:lineRule="auto" w:before="3"/>
        <w:rPr>
          <w:rFonts w:ascii="黑体" w:hAnsi="黑体" w:cs="黑体" w:eastAsia="黑体" w:hint="default"/>
          <w:sz w:val="21"/>
          <w:szCs w:val="21"/>
        </w:rPr>
      </w:pPr>
    </w:p>
    <w:p>
      <w:pPr>
        <w:spacing w:before="0"/>
        <w:ind w:left="582" w:right="180" w:firstLine="0"/>
        <w:jc w:val="left"/>
        <w:rPr>
          <w:rFonts w:ascii="宋体" w:hAnsi="宋体" w:cs="宋体" w:eastAsia="宋体" w:hint="default"/>
          <w:sz w:val="21"/>
          <w:szCs w:val="21"/>
        </w:rPr>
      </w:pPr>
      <w:r>
        <w:rPr>
          <w:rFonts w:ascii="宋体" w:hAnsi="宋体" w:cs="宋体" w:eastAsia="宋体" w:hint="default"/>
          <w:b/>
          <w:bCs/>
          <w:sz w:val="21"/>
          <w:szCs w:val="21"/>
        </w:rPr>
        <w:t>（一）关联方关系</w:t>
      </w:r>
      <w:r>
        <w:rPr>
          <w:rFonts w:ascii="宋体" w:hAnsi="宋体" w:cs="宋体" w:eastAsia="宋体" w:hint="default"/>
          <w:sz w:val="21"/>
          <w:szCs w:val="21"/>
        </w:rPr>
      </w:r>
    </w:p>
    <w:p>
      <w:pPr>
        <w:spacing w:line="240" w:lineRule="auto" w:before="10"/>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1</w:t>
      </w:r>
      <w:r>
        <w:rPr>
          <w:rFonts w:ascii="宋体" w:hAnsi="宋体" w:cs="宋体" w:eastAsia="宋体" w:hint="default"/>
          <w:b/>
          <w:bCs/>
          <w:sz w:val="21"/>
          <w:szCs w:val="21"/>
        </w:rPr>
        <w:t>、</w:t>
      </w:r>
      <w:r>
        <w:rPr>
          <w:rFonts w:ascii="宋体" w:hAnsi="宋体" w:cs="宋体" w:eastAsia="宋体" w:hint="default"/>
          <w:b/>
          <w:bCs/>
          <w:spacing w:val="-59"/>
          <w:sz w:val="21"/>
          <w:szCs w:val="21"/>
        </w:rPr>
        <w:t> </w:t>
      </w:r>
      <w:r>
        <w:rPr>
          <w:rFonts w:ascii="宋体" w:hAnsi="宋体" w:cs="宋体" w:eastAsia="宋体" w:hint="default"/>
          <w:b/>
          <w:bCs/>
          <w:sz w:val="21"/>
          <w:szCs w:val="21"/>
        </w:rPr>
        <w:t>主要股东及实际控制人</w:t>
      </w:r>
      <w:r>
        <w:rPr>
          <w:rFonts w:ascii="宋体" w:hAnsi="宋体" w:cs="宋体" w:eastAsia="宋体" w:hint="default"/>
          <w:sz w:val="21"/>
          <w:szCs w:val="21"/>
        </w:rPr>
      </w:r>
    </w:p>
    <w:p>
      <w:pPr>
        <w:spacing w:line="240" w:lineRule="auto" w:before="4"/>
        <w:rPr>
          <w:rFonts w:ascii="宋体" w:hAnsi="宋体" w:cs="宋体" w:eastAsia="宋体" w:hint="default"/>
          <w:b/>
          <w:bCs/>
          <w:sz w:val="16"/>
          <w:szCs w:val="16"/>
        </w:rPr>
      </w:pPr>
    </w:p>
    <w:tbl>
      <w:tblPr>
        <w:tblW w:w="0" w:type="auto"/>
        <w:jc w:val="left"/>
        <w:tblInd w:w="110" w:type="dxa"/>
        <w:tblLayout w:type="fixed"/>
        <w:tblCellMar>
          <w:top w:w="0" w:type="dxa"/>
          <w:left w:w="0" w:type="dxa"/>
          <w:bottom w:w="0" w:type="dxa"/>
          <w:right w:w="0" w:type="dxa"/>
        </w:tblCellMar>
        <w:tblLook w:val="01E0"/>
      </w:tblPr>
      <w:tblGrid>
        <w:gridCol w:w="2950"/>
        <w:gridCol w:w="5894"/>
      </w:tblGrid>
      <w:tr>
        <w:trPr>
          <w:trHeight w:val="338" w:hRule="exact"/>
        </w:trPr>
        <w:tc>
          <w:tcPr>
            <w:tcW w:w="295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942" w:right="0"/>
              <w:jc w:val="left"/>
              <w:rPr>
                <w:rFonts w:ascii="宋体" w:hAnsi="宋体" w:cs="宋体" w:eastAsia="宋体" w:hint="default"/>
                <w:sz w:val="21"/>
                <w:szCs w:val="21"/>
              </w:rPr>
            </w:pPr>
            <w:r>
              <w:rPr>
                <w:rFonts w:ascii="宋体" w:hAnsi="宋体" w:cs="宋体" w:eastAsia="宋体" w:hint="default"/>
                <w:sz w:val="21"/>
                <w:szCs w:val="21"/>
              </w:rPr>
              <w:t>关联方名称</w:t>
            </w:r>
          </w:p>
        </w:tc>
        <w:tc>
          <w:tcPr>
            <w:tcW w:w="589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r>
      <w:tr>
        <w:trPr>
          <w:trHeight w:val="372" w:hRule="exact"/>
        </w:trPr>
        <w:tc>
          <w:tcPr>
            <w:tcW w:w="2950"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z w:val="21"/>
                <w:szCs w:val="21"/>
              </w:rPr>
              <w:t>郭永芳</w:t>
            </w:r>
          </w:p>
        </w:tc>
        <w:tc>
          <w:tcPr>
            <w:tcW w:w="5894"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pacing w:val="-5"/>
                <w:sz w:val="21"/>
                <w:szCs w:val="21"/>
              </w:rPr>
              <w:t>本公司副董事长，持有本公司</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29.16%</w:t>
            </w:r>
            <w:r>
              <w:rPr>
                <w:rFonts w:ascii="宋体" w:hAnsi="宋体" w:cs="宋体" w:eastAsia="宋体" w:hint="default"/>
                <w:sz w:val="21"/>
                <w:szCs w:val="21"/>
              </w:rPr>
              <w:t>股份，本公司实际控制人</w:t>
            </w:r>
          </w:p>
        </w:tc>
      </w:tr>
      <w:tr>
        <w:trPr>
          <w:trHeight w:val="354" w:hRule="exact"/>
        </w:trPr>
        <w:tc>
          <w:tcPr>
            <w:tcW w:w="295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滕达</w:t>
            </w:r>
          </w:p>
        </w:tc>
        <w:tc>
          <w:tcPr>
            <w:tcW w:w="5894"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本公司董事兼总经理，郭永芳之子，本公司实际控制人</w:t>
            </w:r>
          </w:p>
        </w:tc>
      </w:tr>
      <w:tr>
        <w:trPr>
          <w:trHeight w:val="355" w:hRule="exact"/>
        </w:trPr>
        <w:tc>
          <w:tcPr>
            <w:tcW w:w="295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刘祥南</w:t>
            </w:r>
          </w:p>
        </w:tc>
        <w:tc>
          <w:tcPr>
            <w:tcW w:w="5894"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本公司董事长，持有本公司</w:t>
            </w:r>
            <w:r>
              <w:rPr>
                <w:rFonts w:ascii="宋体" w:hAnsi="宋体" w:cs="宋体" w:eastAsia="宋体" w:hint="default"/>
                <w:spacing w:val="-36"/>
                <w:sz w:val="21"/>
                <w:szCs w:val="21"/>
              </w:rPr>
              <w:t> </w:t>
            </w:r>
            <w:r>
              <w:rPr>
                <w:rFonts w:ascii="Times New Roman" w:hAnsi="Times New Roman" w:cs="Times New Roman" w:eastAsia="Times New Roman" w:hint="default"/>
                <w:spacing w:val="-4"/>
                <w:sz w:val="21"/>
                <w:szCs w:val="21"/>
              </w:rPr>
              <w:t>11.96%</w:t>
            </w:r>
            <w:r>
              <w:rPr>
                <w:rFonts w:ascii="宋体" w:hAnsi="宋体" w:cs="宋体" w:eastAsia="宋体" w:hint="default"/>
                <w:spacing w:val="-4"/>
                <w:sz w:val="21"/>
                <w:szCs w:val="21"/>
              </w:rPr>
              <w:t>股份，本公司实际控制人</w:t>
            </w:r>
            <w:r>
              <w:rPr>
                <w:rFonts w:ascii="宋体" w:hAnsi="宋体" w:cs="宋体" w:eastAsia="宋体" w:hint="default"/>
                <w:sz w:val="21"/>
                <w:szCs w:val="21"/>
              </w:rPr>
            </w:r>
          </w:p>
        </w:tc>
      </w:tr>
      <w:tr>
        <w:trPr>
          <w:trHeight w:val="355" w:hRule="exact"/>
        </w:trPr>
        <w:tc>
          <w:tcPr>
            <w:tcW w:w="295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李国林</w:t>
            </w:r>
          </w:p>
        </w:tc>
        <w:tc>
          <w:tcPr>
            <w:tcW w:w="5894"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本公司董事会成员，持有本公司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14.95%</w:t>
            </w:r>
            <w:r>
              <w:rPr>
                <w:rFonts w:ascii="宋体" w:hAnsi="宋体" w:cs="宋体" w:eastAsia="宋体" w:hint="default"/>
                <w:sz w:val="21"/>
                <w:szCs w:val="21"/>
              </w:rPr>
              <w:t>股份</w:t>
            </w:r>
          </w:p>
        </w:tc>
      </w:tr>
      <w:tr>
        <w:trPr>
          <w:trHeight w:val="354" w:hRule="exact"/>
        </w:trPr>
        <w:tc>
          <w:tcPr>
            <w:tcW w:w="295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广州通连投资咨询有限公司</w:t>
            </w:r>
          </w:p>
        </w:tc>
        <w:tc>
          <w:tcPr>
            <w:tcW w:w="5894"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left="99" w:right="0"/>
              <w:jc w:val="left"/>
              <w:rPr>
                <w:rFonts w:ascii="宋体" w:hAnsi="宋体" w:cs="宋体" w:eastAsia="宋体" w:hint="default"/>
                <w:sz w:val="21"/>
                <w:szCs w:val="21"/>
              </w:rPr>
            </w:pPr>
            <w:r>
              <w:rPr>
                <w:rFonts w:ascii="宋体" w:hAnsi="宋体" w:cs="宋体" w:eastAsia="宋体" w:hint="default"/>
                <w:spacing w:val="-4"/>
                <w:sz w:val="21"/>
                <w:szCs w:val="21"/>
              </w:rPr>
              <w:t>持有本公司</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14.95%</w:t>
            </w:r>
            <w:r>
              <w:rPr>
                <w:rFonts w:ascii="宋体" w:hAnsi="宋体" w:cs="宋体" w:eastAsia="宋体" w:hint="default"/>
                <w:sz w:val="21"/>
                <w:szCs w:val="21"/>
              </w:rPr>
              <w:t>股份</w:t>
            </w:r>
          </w:p>
        </w:tc>
      </w:tr>
    </w:tbl>
    <w:p>
      <w:pPr>
        <w:spacing w:line="240" w:lineRule="auto" w:before="2"/>
        <w:rPr>
          <w:rFonts w:ascii="宋体" w:hAnsi="宋体" w:cs="宋体" w:eastAsia="宋体" w:hint="default"/>
          <w:b/>
          <w:bCs/>
          <w:sz w:val="13"/>
          <w:szCs w:val="13"/>
        </w:rPr>
      </w:pPr>
    </w:p>
    <w:p>
      <w:pPr>
        <w:spacing w:line="388" w:lineRule="auto" w:before="35"/>
        <w:ind w:left="640" w:right="54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53"/>
          <w:sz w:val="21"/>
          <w:szCs w:val="21"/>
        </w:rPr>
        <w:t> </w:t>
      </w:r>
      <w:r>
        <w:rPr>
          <w:rFonts w:ascii="宋体" w:hAnsi="宋体" w:cs="宋体" w:eastAsia="宋体" w:hint="default"/>
          <w:b/>
          <w:bCs/>
          <w:sz w:val="21"/>
          <w:szCs w:val="21"/>
        </w:rPr>
        <w:t>本公司的子公司情况</w:t>
      </w:r>
      <w:r>
        <w:rPr>
          <w:rFonts w:ascii="宋体" w:hAnsi="宋体" w:cs="宋体" w:eastAsia="宋体" w:hint="default"/>
          <w:b/>
          <w:bCs/>
          <w:spacing w:val="1"/>
          <w:w w:val="99"/>
          <w:sz w:val="21"/>
          <w:szCs w:val="21"/>
        </w:rPr>
        <w:t> </w:t>
      </w:r>
      <w:r>
        <w:rPr>
          <w:rFonts w:ascii="宋体" w:hAnsi="宋体" w:cs="宋体" w:eastAsia="宋体" w:hint="default"/>
          <w:sz w:val="21"/>
          <w:szCs w:val="21"/>
        </w:rPr>
        <w:t>子公司情况详见本附注四所述。</w:t>
      </w:r>
    </w:p>
    <w:p>
      <w:pPr>
        <w:spacing w:before="123"/>
        <w:ind w:left="642" w:right="180" w:firstLine="0"/>
        <w:jc w:val="left"/>
        <w:rPr>
          <w:rFonts w:ascii="宋体" w:hAnsi="宋体" w:cs="宋体" w:eastAsia="宋体" w:hint="default"/>
          <w:sz w:val="21"/>
          <w:szCs w:val="21"/>
        </w:rPr>
      </w:pPr>
      <w:r>
        <w:rPr>
          <w:rFonts w:ascii="Arial Narrow" w:hAnsi="Arial Narrow" w:cs="Arial Narrow" w:eastAsia="Arial Narrow" w:hint="default"/>
          <w:b/>
          <w:bCs/>
          <w:sz w:val="21"/>
          <w:szCs w:val="21"/>
        </w:rPr>
        <w:t>3</w:t>
      </w:r>
      <w:r>
        <w:rPr>
          <w:rFonts w:ascii="宋体" w:hAnsi="宋体" w:cs="宋体" w:eastAsia="宋体" w:hint="default"/>
          <w:b/>
          <w:bCs/>
          <w:sz w:val="21"/>
          <w:szCs w:val="21"/>
        </w:rPr>
        <w:t>、本公司的其他关联方情况</w:t>
      </w:r>
      <w:r>
        <w:rPr>
          <w:rFonts w:ascii="宋体" w:hAnsi="宋体" w:cs="宋体" w:eastAsia="宋体" w:hint="default"/>
          <w:sz w:val="21"/>
          <w:szCs w:val="21"/>
        </w:rPr>
      </w:r>
    </w:p>
    <w:p>
      <w:pPr>
        <w:spacing w:line="240" w:lineRule="auto" w:before="2"/>
        <w:rPr>
          <w:rFonts w:ascii="宋体" w:hAnsi="宋体" w:cs="宋体" w:eastAsia="宋体" w:hint="default"/>
          <w:b/>
          <w:bCs/>
          <w:sz w:val="21"/>
          <w:szCs w:val="21"/>
        </w:rPr>
      </w:pPr>
    </w:p>
    <w:tbl>
      <w:tblPr>
        <w:tblW w:w="0" w:type="auto"/>
        <w:jc w:val="left"/>
        <w:tblInd w:w="110" w:type="dxa"/>
        <w:tblLayout w:type="fixed"/>
        <w:tblCellMar>
          <w:top w:w="0" w:type="dxa"/>
          <w:left w:w="0" w:type="dxa"/>
          <w:bottom w:w="0" w:type="dxa"/>
          <w:right w:w="0" w:type="dxa"/>
        </w:tblCellMar>
        <w:tblLook w:val="01E0"/>
      </w:tblPr>
      <w:tblGrid>
        <w:gridCol w:w="4284"/>
        <w:gridCol w:w="4560"/>
      </w:tblGrid>
      <w:tr>
        <w:trPr>
          <w:trHeight w:val="293" w:hRule="exact"/>
        </w:trPr>
        <w:tc>
          <w:tcPr>
            <w:tcW w:w="428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left="104" w:right="0"/>
              <w:jc w:val="center"/>
              <w:rPr>
                <w:rFonts w:ascii="宋体" w:hAnsi="宋体" w:cs="宋体" w:eastAsia="宋体" w:hint="default"/>
                <w:sz w:val="21"/>
                <w:szCs w:val="21"/>
              </w:rPr>
            </w:pPr>
            <w:r>
              <w:rPr>
                <w:rFonts w:ascii="宋体" w:hAnsi="宋体" w:cs="宋体" w:eastAsia="宋体" w:hint="default"/>
                <w:sz w:val="21"/>
                <w:szCs w:val="21"/>
              </w:rPr>
              <w:t>关联方名称</w:t>
            </w:r>
          </w:p>
        </w:tc>
        <w:tc>
          <w:tcPr>
            <w:tcW w:w="45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r>
      <w:tr>
        <w:trPr>
          <w:trHeight w:val="302" w:hRule="exact"/>
        </w:trPr>
        <w:tc>
          <w:tcPr>
            <w:tcW w:w="4284" w:type="dxa"/>
            <w:tcBorders>
              <w:top w:val="single" w:sz="6" w:space="0" w:color="000000"/>
              <w:left w:val="single" w:sz="6" w:space="0" w:color="000000"/>
              <w:bottom w:val="single" w:sz="6" w:space="0" w:color="000000"/>
              <w:right w:val="single" w:sz="6" w:space="0" w:color="000000"/>
            </w:tcBorders>
          </w:tcPr>
          <w:p>
            <w:pPr>
              <w:pStyle w:val="TableParagraph"/>
              <w:spacing w:line="249" w:lineRule="exact"/>
              <w:ind w:left="206" w:right="0"/>
              <w:jc w:val="left"/>
              <w:rPr>
                <w:rFonts w:ascii="宋体" w:hAnsi="宋体" w:cs="宋体" w:eastAsia="宋体" w:hint="default"/>
                <w:sz w:val="21"/>
                <w:szCs w:val="21"/>
              </w:rPr>
            </w:pPr>
            <w:r>
              <w:rPr>
                <w:rFonts w:ascii="宋体" w:hAnsi="宋体" w:cs="宋体" w:eastAsia="宋体" w:hint="default"/>
                <w:sz w:val="21"/>
                <w:szCs w:val="21"/>
              </w:rPr>
              <w:t>香港柏科有限公司</w:t>
            </w:r>
          </w:p>
        </w:tc>
        <w:tc>
          <w:tcPr>
            <w:tcW w:w="4560" w:type="dxa"/>
            <w:tcBorders>
              <w:top w:val="single" w:sz="6" w:space="0" w:color="000000"/>
              <w:left w:val="single" w:sz="6" w:space="0" w:color="000000"/>
              <w:bottom w:val="single" w:sz="6" w:space="0" w:color="000000"/>
              <w:right w:val="single" w:sz="6" w:space="0" w:color="000000"/>
            </w:tcBorders>
          </w:tcPr>
          <w:p>
            <w:pPr>
              <w:pStyle w:val="TableParagraph"/>
              <w:spacing w:line="249" w:lineRule="exact"/>
              <w:ind w:left="206" w:right="0"/>
              <w:jc w:val="left"/>
              <w:rPr>
                <w:rFonts w:ascii="宋体" w:hAnsi="宋体" w:cs="宋体" w:eastAsia="宋体" w:hint="default"/>
                <w:sz w:val="21"/>
                <w:szCs w:val="21"/>
              </w:rPr>
            </w:pPr>
            <w:r>
              <w:rPr>
                <w:rFonts w:ascii="宋体" w:hAnsi="宋体" w:cs="宋体" w:eastAsia="宋体" w:hint="default"/>
                <w:sz w:val="21"/>
                <w:szCs w:val="21"/>
              </w:rPr>
              <w:t>与本公司实际控制人存在关联关系</w:t>
            </w:r>
          </w:p>
        </w:tc>
      </w:tr>
    </w:tbl>
    <w:p>
      <w:pPr>
        <w:spacing w:line="408" w:lineRule="auto" w:before="27"/>
        <w:ind w:left="639" w:right="180" w:hanging="58"/>
        <w:jc w:val="left"/>
        <w:rPr>
          <w:rFonts w:ascii="宋体" w:hAnsi="宋体" w:cs="宋体" w:eastAsia="宋体" w:hint="default"/>
          <w:sz w:val="21"/>
          <w:szCs w:val="21"/>
        </w:rPr>
      </w:pPr>
      <w:r>
        <w:rPr>
          <w:rFonts w:ascii="宋体" w:hAnsi="宋体" w:cs="宋体" w:eastAsia="宋体" w:hint="default"/>
          <w:b/>
          <w:bCs/>
          <w:sz w:val="21"/>
          <w:szCs w:val="21"/>
        </w:rPr>
        <w:t>（二）关联方交易</w:t>
      </w:r>
      <w:r>
        <w:rPr>
          <w:rFonts w:ascii="宋体" w:hAnsi="宋体" w:cs="宋体" w:eastAsia="宋体" w:hint="default"/>
          <w:b/>
          <w:bCs/>
          <w:spacing w:val="1"/>
          <w:w w:val="99"/>
          <w:sz w:val="21"/>
          <w:szCs w:val="21"/>
        </w:rPr>
        <w:t> </w:t>
      </w:r>
      <w:r>
        <w:rPr>
          <w:rFonts w:ascii="宋体" w:hAnsi="宋体" w:cs="宋体" w:eastAsia="宋体" w:hint="default"/>
          <w:sz w:val="21"/>
          <w:szCs w:val="21"/>
        </w:rPr>
        <w:t>本年度本公司向香港柏科有限公司支付以香港柏科有限公司名义租用但实际由本公司使用</w:t>
      </w:r>
    </w:p>
    <w:p>
      <w:pPr>
        <w:spacing w:line="276" w:lineRule="exact" w:before="0"/>
        <w:ind w:left="219" w:right="180" w:firstLine="0"/>
        <w:jc w:val="left"/>
        <w:rPr>
          <w:rFonts w:ascii="宋体" w:hAnsi="宋体" w:cs="宋体" w:eastAsia="宋体" w:hint="default"/>
          <w:sz w:val="21"/>
          <w:szCs w:val="21"/>
        </w:rPr>
      </w:pPr>
      <w:r>
        <w:rPr>
          <w:rFonts w:ascii="宋体" w:hAnsi="宋体" w:cs="宋体" w:eastAsia="宋体" w:hint="default"/>
          <w:sz w:val="21"/>
          <w:szCs w:val="21"/>
        </w:rPr>
        <w:t>的香港宽带费用</w:t>
      </w:r>
      <w:r>
        <w:rPr>
          <w:rFonts w:ascii="宋体" w:hAnsi="宋体" w:cs="宋体" w:eastAsia="宋体" w:hint="default"/>
          <w:spacing w:val="-55"/>
          <w:sz w:val="21"/>
          <w:szCs w:val="21"/>
        </w:rPr>
        <w:t> </w:t>
      </w:r>
      <w:r>
        <w:rPr>
          <w:rFonts w:ascii="Arial Narrow" w:hAnsi="Arial Narrow" w:cs="Arial Narrow" w:eastAsia="Arial Narrow" w:hint="default"/>
          <w:sz w:val="21"/>
          <w:szCs w:val="21"/>
        </w:rPr>
        <w:t>58,856.63</w:t>
      </w:r>
      <w:r>
        <w:rPr>
          <w:rFonts w:ascii="Arial Narrow" w:hAnsi="Arial Narrow" w:cs="Arial Narrow" w:eastAsia="Arial Narrow" w:hint="default"/>
          <w:spacing w:val="2"/>
          <w:sz w:val="21"/>
          <w:szCs w:val="21"/>
        </w:rPr>
        <w:t> </w:t>
      </w:r>
      <w:r>
        <w:rPr>
          <w:rFonts w:ascii="宋体" w:hAnsi="宋体" w:cs="宋体" w:eastAsia="宋体" w:hint="default"/>
          <w:sz w:val="21"/>
          <w:szCs w:val="21"/>
        </w:rPr>
        <w:t>元。</w:t>
      </w:r>
    </w:p>
    <w:p>
      <w:pPr>
        <w:spacing w:line="240" w:lineRule="auto" w:before="1"/>
        <w:rPr>
          <w:rFonts w:ascii="宋体" w:hAnsi="宋体" w:cs="宋体" w:eastAsia="宋体" w:hint="default"/>
          <w:sz w:val="27"/>
          <w:szCs w:val="27"/>
        </w:rPr>
      </w:pPr>
    </w:p>
    <w:p>
      <w:pPr>
        <w:pStyle w:val="BodyText"/>
        <w:spacing w:line="240" w:lineRule="auto"/>
        <w:ind w:left="640" w:right="180"/>
        <w:jc w:val="left"/>
        <w:rPr>
          <w:rFonts w:ascii="黑体" w:hAnsi="黑体" w:cs="黑体" w:eastAsia="黑体" w:hint="default"/>
        </w:rPr>
      </w:pPr>
      <w:r>
        <w:rPr>
          <w:rFonts w:ascii="黑体" w:hAnsi="黑体" w:cs="黑体" w:eastAsia="黑体" w:hint="default"/>
        </w:rPr>
        <w:t>七、或有事项</w:t>
      </w:r>
    </w:p>
    <w:p>
      <w:pPr>
        <w:spacing w:line="240" w:lineRule="auto" w:before="3"/>
        <w:rPr>
          <w:rFonts w:ascii="黑体" w:hAnsi="黑体" w:cs="黑体" w:eastAsia="黑体" w:hint="default"/>
          <w:sz w:val="21"/>
          <w:szCs w:val="21"/>
        </w:rPr>
      </w:pPr>
    </w:p>
    <w:p>
      <w:pPr>
        <w:spacing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日止，本公司无应披露未披露的重大或有事项。</w:t>
      </w:r>
    </w:p>
    <w:p>
      <w:pPr>
        <w:spacing w:line="240" w:lineRule="auto" w:before="0"/>
        <w:rPr>
          <w:rFonts w:ascii="宋体" w:hAnsi="宋体" w:cs="宋体" w:eastAsia="宋体" w:hint="default"/>
          <w:sz w:val="27"/>
          <w:szCs w:val="27"/>
        </w:rPr>
      </w:pPr>
    </w:p>
    <w:p>
      <w:pPr>
        <w:pStyle w:val="BodyText"/>
        <w:spacing w:line="240" w:lineRule="auto"/>
        <w:ind w:left="640" w:right="180"/>
        <w:jc w:val="left"/>
        <w:rPr>
          <w:rFonts w:ascii="黑体" w:hAnsi="黑体" w:cs="黑体" w:eastAsia="黑体" w:hint="default"/>
        </w:rPr>
      </w:pPr>
      <w:r>
        <w:rPr>
          <w:rFonts w:ascii="黑体" w:hAnsi="黑体" w:cs="黑体" w:eastAsia="黑体" w:hint="default"/>
        </w:rPr>
        <w:t>八、重大承诺事项</w:t>
      </w:r>
    </w:p>
    <w:p>
      <w:pPr>
        <w:spacing w:line="240" w:lineRule="auto" w:before="3"/>
        <w:rPr>
          <w:rFonts w:ascii="黑体" w:hAnsi="黑体" w:cs="黑体" w:eastAsia="黑体" w:hint="default"/>
          <w:sz w:val="21"/>
          <w:szCs w:val="21"/>
        </w:rPr>
      </w:pPr>
    </w:p>
    <w:p>
      <w:pPr>
        <w:spacing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日止，本公司无应披露未披露的重大承诺事项。</w:t>
      </w:r>
    </w:p>
    <w:p>
      <w:pPr>
        <w:spacing w:line="240" w:lineRule="auto" w:before="1"/>
        <w:rPr>
          <w:rFonts w:ascii="宋体" w:hAnsi="宋体" w:cs="宋体" w:eastAsia="宋体" w:hint="default"/>
          <w:sz w:val="27"/>
          <w:szCs w:val="27"/>
        </w:rPr>
      </w:pPr>
    </w:p>
    <w:p>
      <w:pPr>
        <w:pStyle w:val="BodyText"/>
        <w:spacing w:line="240" w:lineRule="auto"/>
        <w:ind w:left="640" w:right="180"/>
        <w:jc w:val="left"/>
        <w:rPr>
          <w:rFonts w:ascii="黑体" w:hAnsi="黑体" w:cs="黑体" w:eastAsia="黑体" w:hint="default"/>
        </w:rPr>
      </w:pPr>
      <w:r>
        <w:rPr>
          <w:rFonts w:ascii="黑体" w:hAnsi="黑体" w:cs="黑体" w:eastAsia="黑体" w:hint="default"/>
        </w:rPr>
        <w:t>九、资产负债表日后事项</w:t>
      </w:r>
    </w:p>
    <w:p>
      <w:pPr>
        <w:spacing w:line="240" w:lineRule="auto" w:before="3"/>
        <w:rPr>
          <w:rFonts w:ascii="黑体" w:hAnsi="黑体" w:cs="黑体" w:eastAsia="黑体" w:hint="default"/>
          <w:sz w:val="21"/>
          <w:szCs w:val="21"/>
        </w:rPr>
      </w:pPr>
    </w:p>
    <w:p>
      <w:pPr>
        <w:spacing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本公司于</w:t>
      </w:r>
      <w:r>
        <w:rPr>
          <w:rFonts w:ascii="宋体" w:hAnsi="宋体" w:cs="宋体" w:eastAsia="宋体" w:hint="default"/>
          <w:spacing w:val="-3"/>
          <w:sz w:val="21"/>
          <w:szCs w:val="21"/>
        </w:rPr>
        <w:t> </w:t>
      </w:r>
      <w:r>
        <w:rPr>
          <w:rFonts w:ascii="Arial Narrow" w:hAnsi="Arial Narrow" w:cs="Arial Narrow" w:eastAsia="Arial Narrow" w:hint="default"/>
          <w:sz w:val="21"/>
          <w:szCs w:val="21"/>
        </w:rPr>
        <w:t>2012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Arial Narrow" w:hAnsi="Arial Narrow" w:cs="Arial Narrow" w:eastAsia="Arial Narrow" w:hint="default"/>
          <w:sz w:val="21"/>
          <w:szCs w:val="21"/>
        </w:rPr>
        <w:t>3</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Arial Narrow" w:hAnsi="Arial Narrow" w:cs="Arial Narrow" w:eastAsia="Arial Narrow" w:hint="default"/>
          <w:sz w:val="21"/>
          <w:szCs w:val="21"/>
        </w:rPr>
        <w:t>28</w:t>
      </w:r>
      <w:r>
        <w:rPr>
          <w:rFonts w:ascii="Arial Narrow" w:hAnsi="Arial Narrow" w:cs="Arial Narrow" w:eastAsia="Arial Narrow" w:hint="default"/>
          <w:spacing w:val="1"/>
          <w:sz w:val="21"/>
          <w:szCs w:val="21"/>
        </w:rPr>
        <w:t> </w:t>
      </w:r>
      <w:r>
        <w:rPr>
          <w:rFonts w:ascii="宋体" w:hAnsi="宋体" w:cs="宋体" w:eastAsia="宋体" w:hint="default"/>
          <w:sz w:val="21"/>
          <w:szCs w:val="21"/>
        </w:rPr>
        <w:t>日召开第一届董事会第十八次会议，审议通过本公司</w:t>
      </w:r>
      <w:r>
        <w:rPr>
          <w:rFonts w:ascii="宋体" w:hAnsi="宋体" w:cs="宋体" w:eastAsia="宋体" w:hint="default"/>
          <w:spacing w:val="-55"/>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年度权</w:t>
      </w:r>
    </w:p>
    <w:p>
      <w:pPr>
        <w:spacing w:before="118"/>
        <w:ind w:left="219" w:right="180" w:firstLine="0"/>
        <w:jc w:val="left"/>
        <w:rPr>
          <w:rFonts w:ascii="宋体" w:hAnsi="宋体" w:cs="宋体" w:eastAsia="宋体" w:hint="default"/>
          <w:sz w:val="21"/>
          <w:szCs w:val="21"/>
        </w:rPr>
      </w:pPr>
      <w:r>
        <w:rPr>
          <w:rFonts w:ascii="宋体" w:hAnsi="宋体" w:cs="宋体" w:eastAsia="宋体" w:hint="default"/>
          <w:sz w:val="21"/>
          <w:szCs w:val="21"/>
        </w:rPr>
        <w:t>益分派预案列示如下：按照母公司</w:t>
      </w:r>
      <w:r>
        <w:rPr>
          <w:rFonts w:ascii="宋体" w:hAnsi="宋体" w:cs="宋体" w:eastAsia="宋体" w:hint="default"/>
          <w:spacing w:val="-31"/>
          <w:sz w:val="21"/>
          <w:szCs w:val="21"/>
        </w:rPr>
        <w:t> </w:t>
      </w:r>
      <w:r>
        <w:rPr>
          <w:rFonts w:ascii="Arial Narrow" w:hAnsi="Arial Narrow" w:cs="Arial Narrow" w:eastAsia="Arial Narrow" w:hint="default"/>
          <w:spacing w:val="-4"/>
          <w:sz w:val="21"/>
          <w:szCs w:val="21"/>
        </w:rPr>
        <w:t>2011 </w:t>
      </w:r>
      <w:r>
        <w:rPr>
          <w:rFonts w:ascii="Arial Narrow" w:hAnsi="Arial Narrow" w:cs="Arial Narrow" w:eastAsia="Arial Narrow" w:hint="default"/>
          <w:spacing w:val="13"/>
          <w:sz w:val="21"/>
          <w:szCs w:val="21"/>
        </w:rPr>
        <w:t> </w:t>
      </w:r>
      <w:r>
        <w:rPr>
          <w:rFonts w:ascii="宋体" w:hAnsi="宋体" w:cs="宋体" w:eastAsia="宋体" w:hint="default"/>
          <w:sz w:val="21"/>
          <w:szCs w:val="21"/>
        </w:rPr>
        <w:t>年度净利润的</w:t>
      </w:r>
      <w:r>
        <w:rPr>
          <w:rFonts w:ascii="宋体" w:hAnsi="宋体" w:cs="宋体" w:eastAsia="宋体" w:hint="default"/>
          <w:spacing w:val="-31"/>
          <w:sz w:val="21"/>
          <w:szCs w:val="21"/>
        </w:rPr>
        <w:t> </w:t>
      </w:r>
      <w:r>
        <w:rPr>
          <w:rFonts w:ascii="Arial Narrow" w:hAnsi="Arial Narrow" w:cs="Arial Narrow" w:eastAsia="Arial Narrow" w:hint="default"/>
          <w:sz w:val="21"/>
          <w:szCs w:val="21"/>
        </w:rPr>
        <w:t>10%</w:t>
      </w:r>
      <w:r>
        <w:rPr>
          <w:rFonts w:ascii="宋体" w:hAnsi="宋体" w:cs="宋体" w:eastAsia="宋体" w:hint="default"/>
          <w:sz w:val="21"/>
          <w:szCs w:val="21"/>
        </w:rPr>
        <w:t>计提法定盈余公积</w:t>
      </w:r>
      <w:r>
        <w:rPr>
          <w:rFonts w:ascii="宋体" w:hAnsi="宋体" w:cs="宋体" w:eastAsia="宋体" w:hint="default"/>
          <w:spacing w:val="-31"/>
          <w:sz w:val="21"/>
          <w:szCs w:val="21"/>
        </w:rPr>
        <w:t> </w:t>
      </w:r>
      <w:r>
        <w:rPr>
          <w:rFonts w:ascii="Arial Narrow" w:hAnsi="Arial Narrow" w:cs="Arial Narrow" w:eastAsia="Arial Narrow" w:hint="default"/>
          <w:sz w:val="21"/>
          <w:szCs w:val="21"/>
        </w:rPr>
        <w:t>6,009,222.32</w:t>
      </w:r>
      <w:r>
        <w:rPr>
          <w:rFonts w:ascii="Arial Narrow" w:hAnsi="Arial Narrow" w:cs="Arial Narrow" w:eastAsia="Arial Narrow" w:hint="default"/>
          <w:spacing w:val="27"/>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pgSz w:w="12240" w:h="15840"/>
          <w:pgMar w:header="0" w:footer="688" w:top="1360" w:bottom="900" w:left="1580" w:right="1580"/>
        </w:sectPr>
      </w:pPr>
    </w:p>
    <w:p>
      <w:pPr>
        <w:spacing w:before="6"/>
        <w:ind w:left="220" w:right="180" w:firstLine="0"/>
        <w:jc w:val="left"/>
        <w:rPr>
          <w:rFonts w:ascii="Arial Narrow" w:hAnsi="Arial Narrow" w:cs="Arial Narrow" w:eastAsia="Arial Narrow" w:hint="default"/>
          <w:sz w:val="21"/>
          <w:szCs w:val="21"/>
        </w:rPr>
      </w:pPr>
      <w:r>
        <w:rPr>
          <w:rFonts w:ascii="宋体" w:hAnsi="宋体" w:cs="宋体" w:eastAsia="宋体" w:hint="default"/>
          <w:sz w:val="21"/>
          <w:szCs w:val="21"/>
        </w:rPr>
        <w:t>以</w:t>
      </w:r>
      <w:r>
        <w:rPr>
          <w:rFonts w:ascii="宋体" w:hAnsi="宋体" w:cs="宋体" w:eastAsia="宋体" w:hint="default"/>
          <w:spacing w:val="-54"/>
          <w:sz w:val="21"/>
          <w:szCs w:val="21"/>
        </w:rPr>
        <w:t> </w:t>
      </w:r>
      <w:r>
        <w:rPr>
          <w:rFonts w:ascii="Arial Narrow" w:hAnsi="Arial Narrow" w:cs="Arial Narrow" w:eastAsia="Arial Narrow" w:hint="default"/>
          <w:spacing w:val="-4"/>
          <w:sz w:val="21"/>
          <w:szCs w:val="21"/>
        </w:rPr>
        <w:t>2011 </w:t>
      </w:r>
      <w:r>
        <w:rPr>
          <w:rFonts w:ascii="Arial Narrow" w:hAnsi="Arial Narrow" w:cs="Arial Narrow" w:eastAsia="Arial Narrow"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 </w:t>
      </w:r>
      <w:r>
        <w:rPr>
          <w:rFonts w:ascii="Arial Narrow" w:hAnsi="Arial Narrow" w:cs="Arial Narrow" w:eastAsia="Arial Narrow"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Arial Narrow" w:hAnsi="Arial Narrow" w:cs="Arial Narrow" w:eastAsia="Arial Narrow" w:hint="default"/>
          <w:sz w:val="21"/>
          <w:szCs w:val="21"/>
        </w:rPr>
        <w:t>31 </w:t>
      </w:r>
      <w:r>
        <w:rPr>
          <w:rFonts w:ascii="Arial Narrow" w:hAnsi="Arial Narrow" w:cs="Arial Narrow" w:eastAsia="Arial Narrow" w:hint="default"/>
          <w:spacing w:val="7"/>
          <w:sz w:val="21"/>
          <w:szCs w:val="21"/>
        </w:rPr>
        <w:t> </w:t>
      </w:r>
      <w:r>
        <w:rPr>
          <w:rFonts w:ascii="宋体" w:hAnsi="宋体" w:cs="宋体" w:eastAsia="宋体" w:hint="default"/>
          <w:sz w:val="21"/>
          <w:szCs w:val="21"/>
        </w:rPr>
        <w:t>日的总股本</w:t>
      </w:r>
      <w:r>
        <w:rPr>
          <w:rFonts w:ascii="宋体" w:hAnsi="宋体" w:cs="宋体" w:eastAsia="宋体" w:hint="default"/>
          <w:spacing w:val="-54"/>
          <w:sz w:val="21"/>
          <w:szCs w:val="21"/>
        </w:rPr>
        <w:t> </w:t>
      </w:r>
      <w:r>
        <w:rPr>
          <w:rFonts w:ascii="Arial Narrow" w:hAnsi="Arial Narrow" w:cs="Arial Narrow" w:eastAsia="Arial Narrow" w:hint="default"/>
          <w:sz w:val="21"/>
          <w:szCs w:val="21"/>
        </w:rPr>
        <w:t>5,350</w:t>
      </w:r>
      <w:r>
        <w:rPr>
          <w:rFonts w:ascii="Arial Narrow" w:hAnsi="Arial Narrow" w:cs="Arial Narrow" w:eastAsia="Arial Narrow" w:hint="default"/>
          <w:spacing w:val="3"/>
          <w:sz w:val="21"/>
          <w:szCs w:val="21"/>
        </w:rPr>
        <w:t> </w:t>
      </w:r>
      <w:r>
        <w:rPr>
          <w:rFonts w:ascii="宋体" w:hAnsi="宋体" w:cs="宋体" w:eastAsia="宋体" w:hint="default"/>
          <w:spacing w:val="-6"/>
          <w:sz w:val="21"/>
          <w:szCs w:val="21"/>
        </w:rPr>
        <w:t>万股为基数，向全体股东按每</w:t>
      </w:r>
      <w:r>
        <w:rPr>
          <w:rFonts w:ascii="宋体" w:hAnsi="宋体" w:cs="宋体" w:eastAsia="宋体" w:hint="default"/>
          <w:spacing w:val="-54"/>
          <w:sz w:val="21"/>
          <w:szCs w:val="21"/>
        </w:rPr>
        <w:t> </w:t>
      </w:r>
      <w:r>
        <w:rPr>
          <w:rFonts w:ascii="Arial Narrow" w:hAnsi="Arial Narrow" w:cs="Arial Narrow" w:eastAsia="Arial Narrow" w:hint="default"/>
          <w:sz w:val="21"/>
          <w:szCs w:val="21"/>
        </w:rPr>
        <w:t>10</w:t>
      </w:r>
      <w:r>
        <w:rPr>
          <w:rFonts w:ascii="Arial Narrow" w:hAnsi="Arial Narrow" w:cs="Arial Narrow" w:eastAsia="Arial Narrow" w:hint="default"/>
          <w:spacing w:val="4"/>
          <w:sz w:val="21"/>
          <w:szCs w:val="21"/>
        </w:rPr>
        <w:t> </w:t>
      </w:r>
      <w:r>
        <w:rPr>
          <w:rFonts w:ascii="宋体" w:hAnsi="宋体" w:cs="宋体" w:eastAsia="宋体" w:hint="default"/>
          <w:sz w:val="21"/>
          <w:szCs w:val="21"/>
        </w:rPr>
        <w:t>股派发现金股利人民币</w:t>
      </w:r>
      <w:r>
        <w:rPr>
          <w:rFonts w:ascii="宋体" w:hAnsi="宋体" w:cs="宋体" w:eastAsia="宋体" w:hint="default"/>
          <w:spacing w:val="-54"/>
          <w:sz w:val="21"/>
          <w:szCs w:val="21"/>
        </w:rPr>
        <w:t> </w:t>
      </w:r>
      <w:r>
        <w:rPr>
          <w:rFonts w:ascii="Arial Narrow" w:hAnsi="Arial Narrow" w:cs="Arial Narrow" w:eastAsia="Arial Narrow" w:hint="default"/>
          <w:sz w:val="21"/>
          <w:szCs w:val="21"/>
        </w:rPr>
        <w:t>2</w:t>
      </w:r>
    </w:p>
    <w:p>
      <w:pPr>
        <w:spacing w:before="118"/>
        <w:ind w:left="220" w:right="180" w:firstLine="0"/>
        <w:jc w:val="left"/>
        <w:rPr>
          <w:rFonts w:ascii="宋体" w:hAnsi="宋体" w:cs="宋体" w:eastAsia="宋体" w:hint="default"/>
          <w:sz w:val="21"/>
          <w:szCs w:val="21"/>
        </w:rPr>
      </w:pPr>
      <w:r>
        <w:rPr>
          <w:rFonts w:ascii="宋体" w:hAnsi="宋体" w:cs="宋体" w:eastAsia="宋体" w:hint="default"/>
          <w:sz w:val="21"/>
          <w:szCs w:val="21"/>
        </w:rPr>
        <w:t>元（含税</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共计派发人民币</w:t>
      </w:r>
      <w:r>
        <w:rPr>
          <w:rFonts w:ascii="宋体" w:hAnsi="宋体" w:cs="宋体" w:eastAsia="宋体" w:hint="default"/>
          <w:spacing w:val="-48"/>
          <w:sz w:val="21"/>
          <w:szCs w:val="21"/>
        </w:rPr>
        <w:t> </w:t>
      </w:r>
      <w:r>
        <w:rPr>
          <w:rFonts w:ascii="Arial Narrow" w:hAnsi="Arial Narrow" w:cs="Arial Narrow" w:eastAsia="Arial Narrow" w:hint="default"/>
          <w:w w:val="99"/>
          <w:sz w:val="21"/>
          <w:szCs w:val="21"/>
        </w:rPr>
        <w:t>10</w:t>
      </w:r>
      <w:r>
        <w:rPr>
          <w:rFonts w:ascii="Arial Narrow" w:hAnsi="Arial Narrow" w:cs="Arial Narrow" w:eastAsia="Arial Narrow" w:hint="default"/>
          <w:spacing w:val="-2"/>
          <w:w w:val="99"/>
          <w:sz w:val="21"/>
          <w:szCs w:val="21"/>
        </w:rPr>
        <w:t>7</w:t>
      </w:r>
      <w:r>
        <w:rPr>
          <w:rFonts w:ascii="Arial Narrow" w:hAnsi="Arial Narrow" w:cs="Arial Narrow" w:eastAsia="Arial Narrow" w:hint="default"/>
          <w:w w:val="99"/>
          <w:sz w:val="21"/>
          <w:szCs w:val="21"/>
        </w:rPr>
        <w:t>0</w:t>
      </w:r>
      <w:r>
        <w:rPr>
          <w:rFonts w:ascii="Arial Narrow" w:hAnsi="Arial Narrow" w:cs="Arial Narrow" w:eastAsia="Arial Narrow" w:hint="default"/>
          <w:spacing w:val="10"/>
          <w:sz w:val="21"/>
          <w:szCs w:val="21"/>
        </w:rPr>
        <w:t> </w:t>
      </w:r>
      <w:r>
        <w:rPr>
          <w:rFonts w:ascii="宋体" w:hAnsi="宋体" w:cs="宋体" w:eastAsia="宋体" w:hint="default"/>
          <w:spacing w:val="-2"/>
          <w:sz w:val="21"/>
          <w:szCs w:val="21"/>
        </w:rPr>
        <w:t>万</w:t>
      </w:r>
      <w:r>
        <w:rPr>
          <w:rFonts w:ascii="宋体" w:hAnsi="宋体" w:cs="宋体" w:eastAsia="宋体" w:hint="default"/>
          <w:sz w:val="21"/>
          <w:szCs w:val="21"/>
        </w:rPr>
        <w:t>元；以</w:t>
      </w:r>
      <w:r>
        <w:rPr>
          <w:rFonts w:ascii="宋体" w:hAnsi="宋体" w:cs="宋体" w:eastAsia="宋体" w:hint="default"/>
          <w:spacing w:val="-48"/>
          <w:sz w:val="21"/>
          <w:szCs w:val="21"/>
        </w:rPr>
        <w:t> </w:t>
      </w:r>
      <w:r>
        <w:rPr>
          <w:rFonts w:ascii="Arial Narrow" w:hAnsi="Arial Narrow" w:cs="Arial Narrow" w:eastAsia="Arial Narrow" w:hint="default"/>
          <w:w w:val="99"/>
          <w:sz w:val="21"/>
          <w:szCs w:val="21"/>
        </w:rPr>
        <w:t>20</w:t>
      </w:r>
      <w:r>
        <w:rPr>
          <w:rFonts w:ascii="Arial Narrow" w:hAnsi="Arial Narrow" w:cs="Arial Narrow" w:eastAsia="Arial Narrow" w:hint="default"/>
          <w:spacing w:val="-13"/>
          <w:w w:val="99"/>
          <w:sz w:val="21"/>
          <w:szCs w:val="21"/>
        </w:rPr>
        <w:t>1</w:t>
      </w:r>
      <w:r>
        <w:rPr>
          <w:rFonts w:ascii="Arial Narrow" w:hAnsi="Arial Narrow" w:cs="Arial Narrow" w:eastAsia="Arial Narrow" w:hint="default"/>
          <w:w w:val="99"/>
          <w:sz w:val="21"/>
          <w:szCs w:val="21"/>
        </w:rPr>
        <w:t>1</w:t>
      </w:r>
      <w:r>
        <w:rPr>
          <w:rFonts w:ascii="Arial Narrow" w:hAnsi="Arial Narrow" w:cs="Arial Narrow" w:eastAsia="Arial Narrow"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Arial Narrow" w:hAnsi="Arial Narrow" w:cs="Arial Narrow" w:eastAsia="Arial Narrow" w:hint="default"/>
          <w:w w:val="99"/>
          <w:sz w:val="21"/>
          <w:szCs w:val="21"/>
        </w:rPr>
        <w:t>12</w:t>
      </w:r>
      <w:r>
        <w:rPr>
          <w:rFonts w:ascii="Arial Narrow" w:hAnsi="Arial Narrow" w:cs="Arial Narrow" w:eastAsia="Arial Narrow" w:hint="default"/>
          <w:sz w:val="21"/>
          <w:szCs w:val="21"/>
        </w:rPr>
        <w:t> </w:t>
      </w:r>
      <w:r>
        <w:rPr>
          <w:rFonts w:ascii="Arial Narrow" w:hAnsi="Arial Narrow" w:cs="Arial Narrow" w:eastAsia="Arial Narrow"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Arial Narrow" w:hAnsi="Arial Narrow" w:cs="Arial Narrow" w:eastAsia="Arial Narrow" w:hint="default"/>
          <w:w w:val="99"/>
          <w:sz w:val="21"/>
          <w:szCs w:val="21"/>
        </w:rPr>
        <w:t>31</w:t>
      </w:r>
      <w:r>
        <w:rPr>
          <w:rFonts w:ascii="Arial Narrow" w:hAnsi="Arial Narrow" w:cs="Arial Narrow" w:eastAsia="Arial Narrow" w:hint="default"/>
          <w:sz w:val="21"/>
          <w:szCs w:val="21"/>
        </w:rPr>
        <w:t> </w:t>
      </w:r>
      <w:r>
        <w:rPr>
          <w:rFonts w:ascii="Arial Narrow" w:hAnsi="Arial Narrow" w:cs="Arial Narrow" w:eastAsia="Arial Narrow" w:hint="default"/>
          <w:spacing w:val="7"/>
          <w:sz w:val="21"/>
          <w:szCs w:val="21"/>
        </w:rPr>
        <w:t> </w:t>
      </w:r>
      <w:r>
        <w:rPr>
          <w:rFonts w:ascii="宋体" w:hAnsi="宋体" w:cs="宋体" w:eastAsia="宋体" w:hint="default"/>
          <w:sz w:val="21"/>
          <w:szCs w:val="21"/>
        </w:rPr>
        <w:t>日的总股本</w:t>
      </w:r>
      <w:r>
        <w:rPr>
          <w:rFonts w:ascii="宋体" w:hAnsi="宋体" w:cs="宋体" w:eastAsia="宋体" w:hint="default"/>
          <w:spacing w:val="-48"/>
          <w:sz w:val="21"/>
          <w:szCs w:val="21"/>
        </w:rPr>
        <w:t> </w:t>
      </w:r>
      <w:r>
        <w:rPr>
          <w:rFonts w:ascii="Arial Narrow" w:hAnsi="Arial Narrow" w:cs="Arial Narrow" w:eastAsia="Arial Narrow" w:hint="default"/>
          <w:spacing w:val="-2"/>
          <w:w w:val="99"/>
          <w:sz w:val="21"/>
          <w:szCs w:val="21"/>
        </w:rPr>
        <w:t>5</w:t>
      </w:r>
      <w:r>
        <w:rPr>
          <w:rFonts w:ascii="Arial Narrow" w:hAnsi="Arial Narrow" w:cs="Arial Narrow" w:eastAsia="Arial Narrow" w:hint="default"/>
          <w:w w:val="99"/>
          <w:sz w:val="21"/>
          <w:szCs w:val="21"/>
        </w:rPr>
        <w:t>,350</w:t>
      </w:r>
      <w:r>
        <w:rPr>
          <w:rFonts w:ascii="Arial Narrow" w:hAnsi="Arial Narrow" w:cs="Arial Narrow" w:eastAsia="Arial Narrow" w:hint="default"/>
          <w:spacing w:val="10"/>
          <w:sz w:val="21"/>
          <w:szCs w:val="21"/>
        </w:rPr>
        <w:t> </w:t>
      </w:r>
      <w:r>
        <w:rPr>
          <w:rFonts w:ascii="宋体" w:hAnsi="宋体" w:cs="宋体" w:eastAsia="宋体" w:hint="default"/>
          <w:sz w:val="21"/>
          <w:szCs w:val="21"/>
        </w:rPr>
        <w:t>万股</w:t>
      </w:r>
      <w:r>
        <w:rPr>
          <w:rFonts w:ascii="宋体" w:hAnsi="宋体" w:cs="宋体" w:eastAsia="宋体" w:hint="default"/>
          <w:spacing w:val="-2"/>
          <w:sz w:val="21"/>
          <w:szCs w:val="21"/>
        </w:rPr>
        <w:t>为</w:t>
      </w:r>
      <w:r>
        <w:rPr>
          <w:rFonts w:ascii="宋体" w:hAnsi="宋体" w:cs="宋体" w:eastAsia="宋体" w:hint="default"/>
          <w:sz w:val="21"/>
          <w:szCs w:val="21"/>
        </w:rPr>
        <w:t>基数</w:t>
      </w:r>
      <w:r>
        <w:rPr>
          <w:rFonts w:ascii="宋体" w:hAnsi="宋体" w:cs="宋体" w:eastAsia="宋体" w:hint="default"/>
          <w:spacing w:val="1"/>
          <w:sz w:val="21"/>
          <w:szCs w:val="21"/>
        </w:rPr>
        <w:t>，</w:t>
      </w:r>
      <w:r>
        <w:rPr>
          <w:rFonts w:ascii="宋体" w:hAnsi="宋体" w:cs="宋体" w:eastAsia="宋体" w:hint="default"/>
          <w:sz w:val="21"/>
          <w:szCs w:val="21"/>
        </w:rPr>
        <w:t>将</w:t>
      </w:r>
    </w:p>
    <w:p>
      <w:pPr>
        <w:spacing w:line="338" w:lineRule="auto" w:before="120"/>
        <w:ind w:left="220" w:right="206" w:firstLine="0"/>
        <w:jc w:val="left"/>
        <w:rPr>
          <w:rFonts w:ascii="宋体" w:hAnsi="宋体" w:cs="宋体" w:eastAsia="宋体" w:hint="default"/>
          <w:sz w:val="21"/>
          <w:szCs w:val="21"/>
        </w:rPr>
      </w:pPr>
      <w:r>
        <w:rPr>
          <w:rFonts w:ascii="宋体" w:hAnsi="宋体" w:cs="宋体" w:eastAsia="宋体" w:hint="default"/>
          <w:sz w:val="21"/>
          <w:szCs w:val="21"/>
        </w:rPr>
        <w:t>资本公积金转增股本，每</w:t>
      </w:r>
      <w:r>
        <w:rPr>
          <w:rFonts w:ascii="宋体" w:hAnsi="宋体" w:cs="宋体" w:eastAsia="宋体" w:hint="default"/>
          <w:spacing w:val="-58"/>
          <w:sz w:val="21"/>
          <w:szCs w:val="21"/>
        </w:rPr>
        <w:t> </w:t>
      </w:r>
      <w:r>
        <w:rPr>
          <w:rFonts w:ascii="Arial Narrow" w:hAnsi="Arial Narrow" w:cs="Arial Narrow" w:eastAsia="Arial Narrow" w:hint="default"/>
          <w:sz w:val="21"/>
          <w:szCs w:val="21"/>
        </w:rPr>
        <w:t>10 </w:t>
      </w:r>
      <w:r>
        <w:rPr>
          <w:rFonts w:ascii="宋体" w:hAnsi="宋体" w:cs="宋体" w:eastAsia="宋体" w:hint="default"/>
          <w:sz w:val="21"/>
          <w:szCs w:val="21"/>
        </w:rPr>
        <w:t>股转增</w:t>
      </w:r>
      <w:r>
        <w:rPr>
          <w:rFonts w:ascii="宋体" w:hAnsi="宋体" w:cs="宋体" w:eastAsia="宋体" w:hint="default"/>
          <w:spacing w:val="-59"/>
          <w:sz w:val="21"/>
          <w:szCs w:val="21"/>
        </w:rPr>
        <w:t> </w:t>
      </w:r>
      <w:r>
        <w:rPr>
          <w:rFonts w:ascii="Arial Narrow" w:hAnsi="Arial Narrow" w:cs="Arial Narrow" w:eastAsia="Arial Narrow" w:hint="default"/>
          <w:sz w:val="21"/>
          <w:szCs w:val="21"/>
        </w:rPr>
        <w:t>10 </w:t>
      </w:r>
      <w:r>
        <w:rPr>
          <w:rFonts w:ascii="宋体" w:hAnsi="宋体" w:cs="宋体" w:eastAsia="宋体" w:hint="default"/>
          <w:spacing w:val="-3"/>
          <w:sz w:val="21"/>
          <w:szCs w:val="21"/>
        </w:rPr>
        <w:t>股，共计转增股本</w:t>
      </w:r>
      <w:r>
        <w:rPr>
          <w:rFonts w:ascii="宋体" w:hAnsi="宋体" w:cs="宋体" w:eastAsia="宋体" w:hint="default"/>
          <w:spacing w:val="-58"/>
          <w:sz w:val="21"/>
          <w:szCs w:val="21"/>
        </w:rPr>
        <w:t> </w:t>
      </w:r>
      <w:r>
        <w:rPr>
          <w:rFonts w:ascii="Arial Narrow" w:hAnsi="Arial Narrow" w:cs="Arial Narrow" w:eastAsia="Arial Narrow" w:hint="default"/>
          <w:sz w:val="21"/>
          <w:szCs w:val="21"/>
        </w:rPr>
        <w:t>5,350 </w:t>
      </w:r>
      <w:r>
        <w:rPr>
          <w:rFonts w:ascii="宋体" w:hAnsi="宋体" w:cs="宋体" w:eastAsia="宋体" w:hint="default"/>
          <w:sz w:val="21"/>
          <w:szCs w:val="21"/>
        </w:rPr>
        <w:t>万股。上述权益分派预案尚须经 本公司股东大会审议批准后实施。</w:t>
      </w:r>
    </w:p>
    <w:p>
      <w:pPr>
        <w:spacing w:line="355" w:lineRule="auto" w:before="168"/>
        <w:ind w:left="220" w:right="180" w:firstLine="420"/>
        <w:jc w:val="left"/>
        <w:rPr>
          <w:rFonts w:ascii="宋体" w:hAnsi="宋体" w:cs="宋体" w:eastAsia="宋体" w:hint="default"/>
          <w:sz w:val="21"/>
          <w:szCs w:val="21"/>
        </w:rPr>
      </w:pPr>
      <w:r>
        <w:rPr>
          <w:rFonts w:ascii="宋体" w:hAnsi="宋体" w:cs="宋体" w:eastAsia="宋体" w:hint="default"/>
          <w:sz w:val="21"/>
          <w:szCs w:val="21"/>
        </w:rPr>
        <w:t>除存在上述资产负债表日后利润分配事项外，截至财务报告日止，本公司无其他应披露未 披露的重大资产负债表日后事项的非调整事项。</w:t>
      </w:r>
    </w:p>
    <w:p>
      <w:pPr>
        <w:spacing w:line="240" w:lineRule="auto" w:before="7"/>
        <w:rPr>
          <w:rFonts w:ascii="宋体" w:hAnsi="宋体" w:cs="宋体" w:eastAsia="宋体" w:hint="default"/>
          <w:sz w:val="20"/>
          <w:szCs w:val="20"/>
        </w:rPr>
      </w:pPr>
    </w:p>
    <w:p>
      <w:pPr>
        <w:pStyle w:val="BodyText"/>
        <w:spacing w:line="240" w:lineRule="auto"/>
        <w:ind w:left="640" w:right="180"/>
        <w:jc w:val="left"/>
        <w:rPr>
          <w:rFonts w:ascii="黑体" w:hAnsi="黑体" w:cs="黑体" w:eastAsia="黑体" w:hint="default"/>
        </w:rPr>
      </w:pPr>
      <w:r>
        <w:rPr>
          <w:rFonts w:ascii="黑体" w:hAnsi="黑体" w:cs="黑体" w:eastAsia="黑体" w:hint="default"/>
        </w:rPr>
        <w:t>十、其他重要事项</w:t>
      </w:r>
    </w:p>
    <w:p>
      <w:pPr>
        <w:spacing w:line="240" w:lineRule="auto" w:before="2"/>
        <w:rPr>
          <w:rFonts w:ascii="黑体" w:hAnsi="黑体" w:cs="黑体" w:eastAsia="黑体" w:hint="default"/>
          <w:sz w:val="21"/>
          <w:szCs w:val="21"/>
        </w:rPr>
      </w:pPr>
    </w:p>
    <w:p>
      <w:pPr>
        <w:spacing w:before="0"/>
        <w:ind w:left="640" w:right="18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3"/>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5"/>
          <w:sz w:val="21"/>
          <w:szCs w:val="21"/>
        </w:rPr>
        <w:t> </w:t>
      </w:r>
      <w:r>
        <w:rPr>
          <w:rFonts w:ascii="宋体" w:hAnsi="宋体" w:cs="宋体" w:eastAsia="宋体" w:hint="default"/>
          <w:sz w:val="21"/>
          <w:szCs w:val="21"/>
        </w:rPr>
        <w:t>日止，本公司无应披露未披露的其他重要事项。</w:t>
      </w:r>
    </w:p>
    <w:p>
      <w:pPr>
        <w:spacing w:line="240" w:lineRule="auto" w:before="11"/>
        <w:rPr>
          <w:rFonts w:ascii="宋体" w:hAnsi="宋体" w:cs="宋体" w:eastAsia="宋体" w:hint="default"/>
          <w:sz w:val="21"/>
          <w:szCs w:val="21"/>
        </w:rPr>
      </w:pPr>
    </w:p>
    <w:p>
      <w:pPr>
        <w:pStyle w:val="BodyText"/>
        <w:spacing w:line="240" w:lineRule="auto"/>
        <w:ind w:left="640" w:right="180"/>
        <w:jc w:val="left"/>
        <w:rPr>
          <w:rFonts w:ascii="黑体" w:hAnsi="黑体" w:cs="黑体" w:eastAsia="黑体" w:hint="default"/>
        </w:rPr>
      </w:pPr>
      <w:r>
        <w:rPr>
          <w:rFonts w:ascii="黑体" w:hAnsi="黑体" w:cs="黑体" w:eastAsia="黑体" w:hint="default"/>
        </w:rPr>
        <w:t>十一、母公司财务报表主要项目注释</w:t>
      </w:r>
    </w:p>
    <w:p>
      <w:pPr>
        <w:spacing w:line="240" w:lineRule="auto" w:before="3"/>
        <w:rPr>
          <w:rFonts w:ascii="黑体" w:hAnsi="黑体" w:cs="黑体" w:eastAsia="黑体" w:hint="default"/>
          <w:sz w:val="21"/>
          <w:szCs w:val="21"/>
        </w:rPr>
      </w:pPr>
    </w:p>
    <w:p>
      <w:pPr>
        <w:tabs>
          <w:tab w:pos="1479" w:val="left" w:leader="none"/>
        </w:tabs>
        <w:spacing w:before="0"/>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（一）</w:t>
        <w:tab/>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6"/>
        <w:rPr>
          <w:rFonts w:ascii="宋体" w:hAnsi="宋体" w:cs="宋体" w:eastAsia="宋体" w:hint="default"/>
          <w:b/>
          <w:bCs/>
          <w:sz w:val="19"/>
          <w:szCs w:val="19"/>
        </w:rPr>
      </w:pPr>
    </w:p>
    <w:p>
      <w:pPr>
        <w:spacing w:before="0"/>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、应收账款按种类列示如下：</w:t>
      </w:r>
    </w:p>
    <w:p>
      <w:pPr>
        <w:spacing w:line="240" w:lineRule="auto" w:before="12"/>
        <w:rPr>
          <w:rFonts w:ascii="宋体" w:hAnsi="宋体" w:cs="宋体" w:eastAsia="宋体" w:hint="default"/>
          <w:sz w:val="20"/>
          <w:szCs w:val="20"/>
        </w:rPr>
      </w:pPr>
    </w:p>
    <w:tbl>
      <w:tblPr>
        <w:tblW w:w="0" w:type="auto"/>
        <w:jc w:val="left"/>
        <w:tblInd w:w="110" w:type="dxa"/>
        <w:tblLayout w:type="fixed"/>
        <w:tblCellMar>
          <w:top w:w="0" w:type="dxa"/>
          <w:left w:w="0" w:type="dxa"/>
          <w:bottom w:w="0" w:type="dxa"/>
          <w:right w:w="0" w:type="dxa"/>
        </w:tblCellMar>
        <w:tblLook w:val="01E0"/>
      </w:tblPr>
      <w:tblGrid>
        <w:gridCol w:w="3010"/>
        <w:gridCol w:w="1304"/>
        <w:gridCol w:w="1012"/>
        <w:gridCol w:w="1221"/>
        <w:gridCol w:w="908"/>
        <w:gridCol w:w="1390"/>
      </w:tblGrid>
      <w:tr>
        <w:trPr>
          <w:trHeight w:val="327" w:hRule="exact"/>
        </w:trPr>
        <w:tc>
          <w:tcPr>
            <w:tcW w:w="301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5834"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26" w:hRule="exact"/>
        </w:trPr>
        <w:tc>
          <w:tcPr>
            <w:tcW w:w="3010" w:type="dxa"/>
            <w:vMerge/>
            <w:tcBorders>
              <w:left w:val="single" w:sz="6" w:space="0" w:color="000000"/>
              <w:right w:val="single" w:sz="6" w:space="0" w:color="000000"/>
            </w:tcBorders>
            <w:shd w:val="clear" w:color="auto" w:fill="C0C0C0"/>
          </w:tcPr>
          <w:p>
            <w:pPr/>
          </w:p>
        </w:tc>
        <w:tc>
          <w:tcPr>
            <w:tcW w:w="2316"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129"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3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60" w:hRule="exact"/>
        </w:trPr>
        <w:tc>
          <w:tcPr>
            <w:tcW w:w="3010" w:type="dxa"/>
            <w:vMerge/>
            <w:tcBorders>
              <w:left w:val="single" w:sz="6" w:space="0" w:color="000000"/>
              <w:bottom w:val="single" w:sz="6" w:space="0" w:color="000000"/>
              <w:right w:val="single" w:sz="6" w:space="0" w:color="000000"/>
            </w:tcBorders>
            <w:shd w:val="clear" w:color="auto" w:fill="C0C0C0"/>
          </w:tcPr>
          <w:p>
            <w:pPr/>
          </w:p>
        </w:tc>
        <w:tc>
          <w:tcPr>
            <w:tcW w:w="130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1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6"/>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Narrow" w:hAnsi="Arial Narrow" w:cs="Arial Narrow" w:eastAsia="Arial Narrow" w:hint="default"/>
                <w:spacing w:val="-1"/>
                <w:sz w:val="21"/>
                <w:szCs w:val="21"/>
              </w:rPr>
              <w:t>%</w:t>
            </w:r>
            <w:r>
              <w:rPr>
                <w:rFonts w:ascii="宋体" w:hAnsi="宋体" w:cs="宋体" w:eastAsia="宋体" w:hint="default"/>
                <w:spacing w:val="-1"/>
                <w:sz w:val="21"/>
                <w:szCs w:val="21"/>
              </w:rPr>
              <w:t>）</w:t>
            </w:r>
          </w:p>
        </w:tc>
        <w:tc>
          <w:tcPr>
            <w:tcW w:w="12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0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计提比例</w:t>
            </w:r>
          </w:p>
          <w:p>
            <w:pPr>
              <w:pStyle w:val="TableParagraph"/>
              <w:spacing w:line="288"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1390" w:type="dxa"/>
            <w:vMerge/>
            <w:tcBorders>
              <w:left w:val="single" w:sz="6" w:space="0" w:color="000000"/>
              <w:bottom w:val="single" w:sz="6" w:space="0" w:color="000000"/>
              <w:right w:val="single" w:sz="6" w:space="0" w:color="000000"/>
            </w:tcBorders>
            <w:shd w:val="clear" w:color="auto" w:fill="C0C0C0"/>
          </w:tcPr>
          <w:p>
            <w:pPr/>
          </w:p>
        </w:tc>
      </w:tr>
      <w:tr>
        <w:trPr>
          <w:trHeight w:val="63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
              <w:ind w:left="20" w:right="32"/>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 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21"/>
              <w:jc w:val="righ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89,958,879.68</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20"/>
              <w:jc w:val="right"/>
              <w:rPr>
                <w:rFonts w:ascii="Arial Narrow" w:hAnsi="Arial Narrow" w:cs="Arial Narrow" w:eastAsia="Arial Narrow" w:hint="default"/>
                <w:sz w:val="21"/>
                <w:szCs w:val="21"/>
              </w:rPr>
            </w:pPr>
            <w:r>
              <w:rPr>
                <w:rFonts w:ascii="Arial Narrow"/>
                <w:spacing w:val="-1"/>
                <w:sz w:val="21"/>
              </w:rPr>
              <w:t>6,642,932.09</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7.38%</w:t>
            </w:r>
            <w:r>
              <w:rPr>
                <w:rFonts w:ascii="Arial Narrow"/>
                <w:sz w:val="21"/>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83,315,947.59</w:t>
            </w:r>
          </w:p>
        </w:tc>
      </w:tr>
      <w:tr>
        <w:trPr>
          <w:trHeight w:val="326"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2,626,033.54</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2.92%</w:t>
            </w:r>
            <w:r>
              <w:rPr>
                <w:rFonts w:ascii="Arial Narrow"/>
                <w:sz w:val="21"/>
              </w:rPr>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27" w:right="0"/>
              <w:jc w:val="lef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2,626,033.54</w:t>
            </w:r>
          </w:p>
        </w:tc>
      </w:tr>
      <w:tr>
        <w:trPr>
          <w:trHeight w:val="32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65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87,332,846.14</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97.08%</w:t>
            </w:r>
            <w:r>
              <w:rPr>
                <w:rFonts w:ascii="Arial Narrow"/>
                <w:sz w:val="21"/>
              </w:rPr>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20"/>
              <w:jc w:val="right"/>
              <w:rPr>
                <w:rFonts w:ascii="Arial Narrow" w:hAnsi="Arial Narrow" w:cs="Arial Narrow" w:eastAsia="Arial Narrow" w:hint="default"/>
                <w:sz w:val="21"/>
                <w:szCs w:val="21"/>
              </w:rPr>
            </w:pPr>
            <w:r>
              <w:rPr>
                <w:rFonts w:ascii="Arial Narrow"/>
                <w:spacing w:val="-1"/>
                <w:sz w:val="21"/>
              </w:rPr>
              <w:t>6,642,932.09</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6.00%</w:t>
            </w:r>
            <w:r>
              <w:rPr>
                <w:rFonts w:ascii="Arial Narrow"/>
                <w:sz w:val="21"/>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80,689,914.05</w:t>
            </w:r>
          </w:p>
        </w:tc>
      </w:tr>
      <w:tr>
        <w:trPr>
          <w:trHeight w:val="559"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账准备的应收账款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1"/>
              <w:jc w:val="righ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89,958,879.68</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20"/>
              <w:jc w:val="right"/>
              <w:rPr>
                <w:rFonts w:ascii="Arial Narrow" w:hAnsi="Arial Narrow" w:cs="Arial Narrow" w:eastAsia="Arial Narrow" w:hint="default"/>
                <w:sz w:val="21"/>
                <w:szCs w:val="21"/>
              </w:rPr>
            </w:pPr>
            <w:r>
              <w:rPr>
                <w:rFonts w:ascii="Arial Narrow"/>
                <w:spacing w:val="-1"/>
                <w:sz w:val="21"/>
              </w:rPr>
              <w:t>6,642,932.09</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6"/>
              <w:jc w:val="right"/>
              <w:rPr>
                <w:rFonts w:ascii="Arial Narrow" w:hAnsi="Arial Narrow" w:cs="Arial Narrow" w:eastAsia="Arial Narrow" w:hint="default"/>
                <w:sz w:val="21"/>
                <w:szCs w:val="21"/>
              </w:rPr>
            </w:pPr>
            <w:r>
              <w:rPr>
                <w:rFonts w:ascii="Arial Narrow"/>
                <w:w w:val="95"/>
                <w:sz w:val="21"/>
              </w:rPr>
              <w:t>7.38%</w:t>
            </w:r>
            <w:r>
              <w:rPr>
                <w:rFonts w:ascii="Arial Narrow"/>
                <w:sz w:val="21"/>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83,315,947.59</w:t>
            </w:r>
          </w:p>
        </w:tc>
      </w:tr>
      <w:tr>
        <w:trPr>
          <w:trHeight w:val="326" w:hRule="exact"/>
        </w:trPr>
        <w:tc>
          <w:tcPr>
            <w:tcW w:w="301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9"/>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5834"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28" w:hRule="exact"/>
        </w:trPr>
        <w:tc>
          <w:tcPr>
            <w:tcW w:w="3010" w:type="dxa"/>
            <w:vMerge/>
            <w:tcBorders>
              <w:left w:val="single" w:sz="6" w:space="0" w:color="000000"/>
              <w:right w:val="single" w:sz="6" w:space="0" w:color="000000"/>
            </w:tcBorders>
            <w:shd w:val="clear" w:color="auto" w:fill="C0C0C0"/>
          </w:tcPr>
          <w:p>
            <w:pPr/>
          </w:p>
        </w:tc>
        <w:tc>
          <w:tcPr>
            <w:tcW w:w="2316"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129"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3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59" w:hRule="exact"/>
        </w:trPr>
        <w:tc>
          <w:tcPr>
            <w:tcW w:w="3010" w:type="dxa"/>
            <w:vMerge/>
            <w:tcBorders>
              <w:left w:val="single" w:sz="6" w:space="0" w:color="000000"/>
              <w:bottom w:val="single" w:sz="6" w:space="0" w:color="000000"/>
              <w:right w:val="single" w:sz="6" w:space="0" w:color="000000"/>
            </w:tcBorders>
            <w:shd w:val="clear" w:color="auto" w:fill="C0C0C0"/>
          </w:tcPr>
          <w:p>
            <w:pPr/>
          </w:p>
        </w:tc>
        <w:tc>
          <w:tcPr>
            <w:tcW w:w="130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1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6"/>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Arial Narrow" w:hAnsi="Arial Narrow" w:cs="Arial Narrow" w:eastAsia="Arial Narrow" w:hint="default"/>
                <w:spacing w:val="-1"/>
                <w:sz w:val="21"/>
                <w:szCs w:val="21"/>
              </w:rPr>
              <w:t>%</w:t>
            </w:r>
            <w:r>
              <w:rPr>
                <w:rFonts w:ascii="宋体" w:hAnsi="宋体" w:cs="宋体" w:eastAsia="宋体" w:hint="default"/>
                <w:spacing w:val="-1"/>
                <w:sz w:val="21"/>
                <w:szCs w:val="21"/>
              </w:rPr>
              <w:t>）</w:t>
            </w:r>
          </w:p>
        </w:tc>
        <w:tc>
          <w:tcPr>
            <w:tcW w:w="12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4"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90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 w:right="0"/>
              <w:jc w:val="center"/>
              <w:rPr>
                <w:rFonts w:ascii="宋体" w:hAnsi="宋体" w:cs="宋体" w:eastAsia="宋体" w:hint="default"/>
                <w:sz w:val="21"/>
                <w:szCs w:val="21"/>
              </w:rPr>
            </w:pPr>
            <w:r>
              <w:rPr>
                <w:rFonts w:ascii="宋体" w:hAnsi="宋体" w:cs="宋体" w:eastAsia="宋体" w:hint="default"/>
                <w:sz w:val="21"/>
                <w:szCs w:val="21"/>
              </w:rPr>
              <w:t>计提比例</w:t>
            </w:r>
          </w:p>
          <w:p>
            <w:pPr>
              <w:pStyle w:val="TableParagraph"/>
              <w:spacing w:line="288" w:lineRule="exact"/>
              <w:ind w:left="4" w:right="0"/>
              <w:jc w:val="center"/>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w:t>
            </w:r>
          </w:p>
        </w:tc>
        <w:tc>
          <w:tcPr>
            <w:tcW w:w="1390" w:type="dxa"/>
            <w:vMerge/>
            <w:tcBorders>
              <w:left w:val="single" w:sz="6" w:space="0" w:color="000000"/>
              <w:bottom w:val="single" w:sz="6" w:space="0" w:color="000000"/>
              <w:right w:val="single" w:sz="6" w:space="0" w:color="000000"/>
            </w:tcBorders>
            <w:shd w:val="clear" w:color="auto" w:fill="C0C0C0"/>
          </w:tcPr>
          <w:p>
            <w:pPr/>
          </w:p>
        </w:tc>
      </w:tr>
      <w:tr>
        <w:trPr>
          <w:trHeight w:val="63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
              <w:ind w:left="20" w:right="32"/>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 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5"/>
              <w:jc w:val="righ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8"/>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45,628,660.66</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78" w:right="0"/>
              <w:jc w:val="left"/>
              <w:rPr>
                <w:rFonts w:ascii="Arial Narrow" w:hAnsi="Arial Narrow" w:cs="Arial Narrow" w:eastAsia="Arial Narrow" w:hint="default"/>
                <w:sz w:val="21"/>
                <w:szCs w:val="21"/>
              </w:rPr>
            </w:pPr>
            <w:r>
              <w:rPr>
                <w:rFonts w:ascii="Arial Narrow"/>
                <w:sz w:val="21"/>
              </w:rPr>
              <w:t>100%</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5"/>
              <w:jc w:val="right"/>
              <w:rPr>
                <w:rFonts w:ascii="Arial Narrow" w:hAnsi="Arial Narrow" w:cs="Arial Narrow" w:eastAsia="Arial Narrow" w:hint="default"/>
                <w:sz w:val="21"/>
                <w:szCs w:val="21"/>
              </w:rPr>
            </w:pPr>
            <w:r>
              <w:rPr>
                <w:rFonts w:ascii="Arial Narrow"/>
                <w:spacing w:val="-2"/>
                <w:sz w:val="21"/>
              </w:rPr>
              <w:t>4,203,113.50</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4" w:right="0"/>
              <w:jc w:val="left"/>
              <w:rPr>
                <w:rFonts w:ascii="Arial Narrow" w:hAnsi="Arial Narrow" w:cs="Arial Narrow" w:eastAsia="Arial Narrow" w:hint="default"/>
                <w:sz w:val="21"/>
                <w:szCs w:val="21"/>
              </w:rPr>
            </w:pPr>
            <w:r>
              <w:rPr>
                <w:rFonts w:ascii="Arial Narrow"/>
                <w:sz w:val="21"/>
              </w:rPr>
              <w:t>9.21%</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41,425,547.16</w:t>
            </w:r>
          </w:p>
        </w:tc>
      </w:tr>
      <w:tr>
        <w:trPr>
          <w:trHeight w:val="326"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2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8"/>
              <w:jc w:val="right"/>
              <w:rPr>
                <w:rFonts w:ascii="Arial Narrow" w:hAnsi="Arial Narrow" w:cs="Arial Narrow" w:eastAsia="Arial Narrow" w:hint="default"/>
                <w:sz w:val="21"/>
                <w:szCs w:val="21"/>
              </w:rPr>
            </w:pPr>
            <w:r>
              <w:rPr>
                <w:rFonts w:ascii="Arial Narrow"/>
                <w:sz w:val="21"/>
              </w:rPr>
              <w:t>-</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8"/>
              <w:jc w:val="right"/>
              <w:rPr>
                <w:rFonts w:ascii="Arial Narrow" w:hAnsi="Arial Narrow" w:cs="Arial Narrow" w:eastAsia="Arial Narrow" w:hint="default"/>
                <w:sz w:val="21"/>
                <w:szCs w:val="21"/>
              </w:rPr>
            </w:pPr>
            <w:r>
              <w:rPr>
                <w:rFonts w:ascii="Arial Narrow"/>
                <w:sz w:val="21"/>
              </w:rPr>
              <w:t>-</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5"/>
              <w:jc w:val="righ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8"/>
              <w:jc w:val="right"/>
              <w:rPr>
                <w:rFonts w:ascii="Arial Narrow" w:hAnsi="Arial Narrow" w:cs="Arial Narrow" w:eastAsia="Arial Narrow" w:hint="default"/>
                <w:sz w:val="21"/>
                <w:szCs w:val="21"/>
              </w:rPr>
            </w:pPr>
            <w:r>
              <w:rPr>
                <w:rFonts w:ascii="Arial Narrow"/>
                <w:sz w:val="21"/>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8"/>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65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45,628,660.66</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78" w:right="0"/>
              <w:jc w:val="left"/>
              <w:rPr>
                <w:rFonts w:ascii="Arial Narrow" w:hAnsi="Arial Narrow" w:cs="Arial Narrow" w:eastAsia="Arial Narrow" w:hint="default"/>
                <w:sz w:val="21"/>
                <w:szCs w:val="21"/>
              </w:rPr>
            </w:pPr>
            <w:r>
              <w:rPr>
                <w:rFonts w:ascii="Arial Narrow"/>
                <w:sz w:val="21"/>
              </w:rPr>
              <w:t>100%</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5"/>
              <w:jc w:val="right"/>
              <w:rPr>
                <w:rFonts w:ascii="Arial Narrow" w:hAnsi="Arial Narrow" w:cs="Arial Narrow" w:eastAsia="Arial Narrow" w:hint="default"/>
                <w:sz w:val="21"/>
                <w:szCs w:val="21"/>
              </w:rPr>
            </w:pPr>
            <w:r>
              <w:rPr>
                <w:rFonts w:ascii="Arial Narrow"/>
                <w:spacing w:val="-2"/>
                <w:sz w:val="21"/>
              </w:rPr>
              <w:t>4,203,113.50</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4" w:right="0"/>
              <w:jc w:val="left"/>
              <w:rPr>
                <w:rFonts w:ascii="Arial Narrow" w:hAnsi="Arial Narrow" w:cs="Arial Narrow" w:eastAsia="Arial Narrow" w:hint="default"/>
                <w:sz w:val="21"/>
                <w:szCs w:val="21"/>
              </w:rPr>
            </w:pPr>
            <w:r>
              <w:rPr>
                <w:rFonts w:ascii="Arial Narrow"/>
                <w:sz w:val="21"/>
              </w:rPr>
              <w:t>9.21%</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7"/>
              <w:jc w:val="right"/>
              <w:rPr>
                <w:rFonts w:ascii="Arial Narrow" w:hAnsi="Arial Narrow" w:cs="Arial Narrow" w:eastAsia="Arial Narrow" w:hint="default"/>
                <w:sz w:val="21"/>
                <w:szCs w:val="21"/>
              </w:rPr>
            </w:pPr>
            <w:r>
              <w:rPr>
                <w:rFonts w:ascii="Arial Narrow"/>
                <w:spacing w:val="-1"/>
                <w:sz w:val="21"/>
              </w:rPr>
              <w:t>41,425,547.16</w:t>
            </w:r>
          </w:p>
        </w:tc>
      </w:tr>
      <w:tr>
        <w:trPr>
          <w:trHeight w:val="559"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2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20" w:right="0"/>
              <w:jc w:val="left"/>
              <w:rPr>
                <w:rFonts w:ascii="宋体" w:hAnsi="宋体" w:cs="宋体" w:eastAsia="宋体" w:hint="default"/>
                <w:sz w:val="21"/>
                <w:szCs w:val="21"/>
              </w:rPr>
            </w:pPr>
            <w:r>
              <w:rPr>
                <w:rFonts w:ascii="宋体" w:hAnsi="宋体" w:cs="宋体" w:eastAsia="宋体" w:hint="default"/>
                <w:sz w:val="21"/>
                <w:szCs w:val="21"/>
              </w:rPr>
              <w:t>账准备的应收账款</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2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5"/>
              <w:jc w:val="right"/>
              <w:rPr>
                <w:rFonts w:ascii="Arial Narrow" w:hAnsi="Arial Narrow" w:cs="Arial Narrow" w:eastAsia="Arial Narrow" w:hint="default"/>
                <w:sz w:val="21"/>
                <w:szCs w:val="21"/>
              </w:rPr>
            </w:pPr>
            <w:r>
              <w:rPr>
                <w:rFonts w:ascii="Arial Narrow"/>
                <w:sz w:val="21"/>
              </w:rPr>
              <w:t>-</w:t>
            </w:r>
          </w:p>
        </w:tc>
        <w:tc>
          <w:tcPr>
            <w:tcW w:w="9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8"/>
              <w:jc w:val="right"/>
              <w:rPr>
                <w:rFonts w:ascii="Arial Narrow" w:hAnsi="Arial Narrow" w:cs="Arial Narrow" w:eastAsia="Arial Narrow" w:hint="default"/>
                <w:sz w:val="21"/>
                <w:szCs w:val="21"/>
              </w:rPr>
            </w:pPr>
            <w:r>
              <w:rPr>
                <w:rFonts w:ascii="Arial Narrow"/>
                <w:sz w:val="21"/>
              </w:rPr>
              <w:t>-</w:t>
            </w:r>
          </w:p>
        </w:tc>
      </w:tr>
    </w:tbl>
    <w:p>
      <w:pPr>
        <w:spacing w:after="0" w:line="240" w:lineRule="auto"/>
        <w:jc w:val="right"/>
        <w:rPr>
          <w:rFonts w:ascii="Arial Narrow" w:hAnsi="Arial Narrow" w:cs="Arial Narrow" w:eastAsia="Arial Narrow" w:hint="default"/>
          <w:sz w:val="21"/>
          <w:szCs w:val="21"/>
        </w:rPr>
        <w:sectPr>
          <w:pgSz w:w="12240" w:h="15840"/>
          <w:pgMar w:header="0" w:footer="688" w:top="1400" w:bottom="900" w:left="1580" w:right="1580"/>
        </w:sectPr>
      </w:pPr>
    </w:p>
    <w:p>
      <w:pPr>
        <w:spacing w:line="240" w:lineRule="auto" w:before="1"/>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010"/>
        <w:gridCol w:w="1304"/>
        <w:gridCol w:w="1012"/>
        <w:gridCol w:w="1224"/>
        <w:gridCol w:w="905"/>
        <w:gridCol w:w="1390"/>
      </w:tblGrid>
      <w:tr>
        <w:trPr>
          <w:trHeight w:val="326" w:hRule="exact"/>
        </w:trPr>
        <w:tc>
          <w:tcPr>
            <w:tcW w:w="301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67" w:right="0"/>
              <w:jc w:val="left"/>
              <w:rPr>
                <w:rFonts w:ascii="Arial Narrow" w:hAnsi="Arial Narrow" w:cs="Arial Narrow" w:eastAsia="Arial Narrow" w:hint="default"/>
                <w:sz w:val="21"/>
                <w:szCs w:val="21"/>
              </w:rPr>
            </w:pPr>
            <w:r>
              <w:rPr>
                <w:rFonts w:ascii="Arial Narrow"/>
                <w:sz w:val="21"/>
              </w:rPr>
              <w:t>45,628,660.66</w:t>
            </w:r>
          </w:p>
        </w:tc>
        <w:tc>
          <w:tcPr>
            <w:tcW w:w="10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78" w:right="0"/>
              <w:jc w:val="left"/>
              <w:rPr>
                <w:rFonts w:ascii="Arial Narrow" w:hAnsi="Arial Narrow" w:cs="Arial Narrow" w:eastAsia="Arial Narrow" w:hint="default"/>
                <w:sz w:val="21"/>
                <w:szCs w:val="21"/>
              </w:rPr>
            </w:pPr>
            <w:r>
              <w:rPr>
                <w:rFonts w:ascii="Arial Narrow"/>
                <w:sz w:val="21"/>
              </w:rPr>
              <w:t>100%</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95" w:right="0"/>
              <w:jc w:val="left"/>
              <w:rPr>
                <w:rFonts w:ascii="Arial Narrow" w:hAnsi="Arial Narrow" w:cs="Arial Narrow" w:eastAsia="Arial Narrow" w:hint="default"/>
                <w:sz w:val="21"/>
                <w:szCs w:val="21"/>
              </w:rPr>
            </w:pPr>
            <w:r>
              <w:rPr>
                <w:rFonts w:ascii="Arial Narrow"/>
                <w:sz w:val="21"/>
              </w:rPr>
              <w:t>4,203,113.50</w:t>
            </w:r>
          </w:p>
        </w:tc>
        <w:tc>
          <w:tcPr>
            <w:tcW w:w="9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01" w:right="0"/>
              <w:jc w:val="left"/>
              <w:rPr>
                <w:rFonts w:ascii="Arial Narrow" w:hAnsi="Arial Narrow" w:cs="Arial Narrow" w:eastAsia="Arial Narrow" w:hint="default"/>
                <w:sz w:val="21"/>
                <w:szCs w:val="21"/>
              </w:rPr>
            </w:pPr>
            <w:r>
              <w:rPr>
                <w:rFonts w:ascii="Arial Narrow"/>
                <w:sz w:val="21"/>
              </w:rPr>
              <w:t>9.21%</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53" w:right="0"/>
              <w:jc w:val="left"/>
              <w:rPr>
                <w:rFonts w:ascii="Arial Narrow" w:hAnsi="Arial Narrow" w:cs="Arial Narrow" w:eastAsia="Arial Narrow" w:hint="default"/>
                <w:sz w:val="21"/>
                <w:szCs w:val="21"/>
              </w:rPr>
            </w:pPr>
            <w:r>
              <w:rPr>
                <w:rFonts w:ascii="Arial Narrow"/>
                <w:sz w:val="21"/>
              </w:rPr>
              <w:t>41,425,547.16</w:t>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组合中，按账龄分析法计提坏账准备的应收账款：</w:t>
      </w:r>
    </w:p>
    <w:p>
      <w:pPr>
        <w:spacing w:line="240" w:lineRule="auto" w:before="7"/>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969"/>
        <w:gridCol w:w="1907"/>
        <w:gridCol w:w="1318"/>
        <w:gridCol w:w="1744"/>
        <w:gridCol w:w="1907"/>
      </w:tblGrid>
      <w:tr>
        <w:trPr>
          <w:trHeight w:val="317"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31"/>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00"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0"/>
              <w:ind w:right="98"/>
              <w:jc w:val="right"/>
              <w:rPr>
                <w:rFonts w:ascii="Arial Narrow" w:hAnsi="Arial Narrow" w:cs="Arial Narrow" w:eastAsia="Arial Narrow" w:hint="default"/>
                <w:sz w:val="21"/>
                <w:szCs w:val="21"/>
              </w:rPr>
            </w:pPr>
            <w:r>
              <w:rPr>
                <w:rFonts w:ascii="Arial Narrow"/>
                <w:spacing w:val="-2"/>
                <w:sz w:val="21"/>
              </w:rPr>
              <w:t>73,119,977.95</w:t>
            </w:r>
          </w:p>
        </w:tc>
        <w:tc>
          <w:tcPr>
            <w:tcW w:w="131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0"/>
              <w:ind w:right="96"/>
              <w:jc w:val="right"/>
              <w:rPr>
                <w:rFonts w:ascii="Arial Narrow" w:hAnsi="Arial Narrow" w:cs="Arial Narrow" w:eastAsia="Arial Narrow" w:hint="default"/>
                <w:sz w:val="21"/>
                <w:szCs w:val="21"/>
              </w:rPr>
            </w:pPr>
            <w:r>
              <w:rPr>
                <w:rFonts w:ascii="Arial Narrow"/>
                <w:w w:val="95"/>
                <w:sz w:val="21"/>
              </w:rPr>
              <w:t>83.73%</w:t>
            </w:r>
            <w:r>
              <w:rPr>
                <w:rFonts w:ascii="Arial Narrow"/>
                <w:sz w:val="21"/>
              </w:rPr>
            </w:r>
          </w:p>
        </w:tc>
        <w:tc>
          <w:tcPr>
            <w:tcW w:w="1744"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0"/>
              <w:ind w:right="97"/>
              <w:jc w:val="right"/>
              <w:rPr>
                <w:rFonts w:ascii="Arial Narrow" w:hAnsi="Arial Narrow" w:cs="Arial Narrow" w:eastAsia="Arial Narrow" w:hint="default"/>
                <w:sz w:val="21"/>
                <w:szCs w:val="21"/>
              </w:rPr>
            </w:pPr>
            <w:r>
              <w:rPr>
                <w:rFonts w:ascii="Arial Narrow"/>
                <w:spacing w:val="-1"/>
                <w:sz w:val="21"/>
              </w:rPr>
              <w:t>3,655,998.90</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0"/>
              <w:ind w:right="97"/>
              <w:jc w:val="right"/>
              <w:rPr>
                <w:rFonts w:ascii="Arial Narrow" w:hAnsi="Arial Narrow" w:cs="Arial Narrow" w:eastAsia="Arial Narrow" w:hint="default"/>
                <w:sz w:val="21"/>
                <w:szCs w:val="21"/>
              </w:rPr>
            </w:pPr>
            <w:r>
              <w:rPr>
                <w:rFonts w:ascii="Arial Narrow"/>
                <w:spacing w:val="-1"/>
                <w:sz w:val="21"/>
              </w:rPr>
              <w:t>69,463,979.05</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12,100,564.78</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13.85%</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1,210,056.48</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10,890,508.30</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670,853.41</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0.77%</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335,426.71</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335,426.70</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1,441,450.00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1.65%</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1,441,450.00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r>
      <w:tr>
        <w:trPr>
          <w:trHeight w:val="34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87,332,846.14</w:t>
            </w:r>
          </w:p>
        </w:tc>
        <w:tc>
          <w:tcPr>
            <w:tcW w:w="1318"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6,642,932.09</w:t>
            </w:r>
          </w:p>
        </w:tc>
        <w:tc>
          <w:tcPr>
            <w:tcW w:w="1907" w:type="dxa"/>
            <w:tcBorders>
              <w:top w:val="single" w:sz="6" w:space="0" w:color="000000"/>
              <w:left w:val="single" w:sz="6" w:space="0" w:color="000000"/>
              <w:bottom w:val="single" w:sz="14"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80,689,914.05</w:t>
            </w:r>
          </w:p>
        </w:tc>
      </w:tr>
      <w:tr>
        <w:trPr>
          <w:trHeight w:val="309"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23"/>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年初账面余额</w:t>
            </w:r>
          </w:p>
        </w:tc>
      </w:tr>
      <w:tr>
        <w:trPr>
          <w:trHeight w:val="300"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8"/>
              <w:ind w:right="97"/>
              <w:jc w:val="right"/>
              <w:rPr>
                <w:rFonts w:ascii="Arial Narrow" w:hAnsi="Arial Narrow" w:cs="Arial Narrow" w:eastAsia="Arial Narrow" w:hint="default"/>
                <w:sz w:val="21"/>
                <w:szCs w:val="21"/>
              </w:rPr>
            </w:pPr>
            <w:r>
              <w:rPr>
                <w:rFonts w:ascii="Arial Narrow"/>
                <w:spacing w:val="-1"/>
                <w:sz w:val="21"/>
              </w:rPr>
              <w:t>37,800,781.26</w:t>
            </w:r>
          </w:p>
        </w:tc>
        <w:tc>
          <w:tcPr>
            <w:tcW w:w="1318"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8"/>
              <w:ind w:right="96"/>
              <w:jc w:val="right"/>
              <w:rPr>
                <w:rFonts w:ascii="Arial Narrow" w:hAnsi="Arial Narrow" w:cs="Arial Narrow" w:eastAsia="Arial Narrow" w:hint="default"/>
                <w:sz w:val="21"/>
                <w:szCs w:val="21"/>
              </w:rPr>
            </w:pPr>
            <w:r>
              <w:rPr>
                <w:rFonts w:ascii="Arial Narrow"/>
                <w:w w:val="95"/>
                <w:sz w:val="21"/>
              </w:rPr>
              <w:t>82.84%</w:t>
            </w:r>
            <w:r>
              <w:rPr>
                <w:rFonts w:ascii="Arial Narrow"/>
                <w:sz w:val="21"/>
              </w:rPr>
            </w:r>
          </w:p>
        </w:tc>
        <w:tc>
          <w:tcPr>
            <w:tcW w:w="1744"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8"/>
              <w:ind w:right="98"/>
              <w:jc w:val="right"/>
              <w:rPr>
                <w:rFonts w:ascii="Arial Narrow" w:hAnsi="Arial Narrow" w:cs="Arial Narrow" w:eastAsia="Arial Narrow" w:hint="default"/>
                <w:sz w:val="21"/>
                <w:szCs w:val="21"/>
              </w:rPr>
            </w:pPr>
            <w:r>
              <w:rPr>
                <w:rFonts w:ascii="Arial Narrow"/>
                <w:spacing w:val="-1"/>
                <w:sz w:val="21"/>
              </w:rPr>
              <w:t>1,890,039.06</w:t>
            </w:r>
          </w:p>
        </w:tc>
        <w:tc>
          <w:tcPr>
            <w:tcW w:w="1907" w:type="dxa"/>
            <w:tcBorders>
              <w:top w:val="single" w:sz="8" w:space="0" w:color="C0C0C0"/>
              <w:left w:val="single" w:sz="6" w:space="0" w:color="000000"/>
              <w:bottom w:val="single" w:sz="6" w:space="0" w:color="000000"/>
              <w:right w:val="single" w:sz="6" w:space="0" w:color="000000"/>
            </w:tcBorders>
          </w:tcPr>
          <w:p>
            <w:pPr>
              <w:pStyle w:val="TableParagraph"/>
              <w:spacing w:line="240" w:lineRule="auto" w:before="58"/>
              <w:ind w:right="97"/>
              <w:jc w:val="right"/>
              <w:rPr>
                <w:rFonts w:ascii="Arial Narrow" w:hAnsi="Arial Narrow" w:cs="Arial Narrow" w:eastAsia="Arial Narrow" w:hint="default"/>
                <w:sz w:val="21"/>
                <w:szCs w:val="21"/>
              </w:rPr>
            </w:pPr>
            <w:r>
              <w:rPr>
                <w:rFonts w:ascii="Arial Narrow"/>
                <w:spacing w:val="-1"/>
                <w:sz w:val="21"/>
              </w:rPr>
              <w:t>35,910,742.20</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5,169,644.40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spacing w:val="-3"/>
                <w:sz w:val="21"/>
              </w:rPr>
              <w:t>11.33%</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516,964.44</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4,652,679.96</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1,724,250.00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3.78%</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862,125.00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862,125.00</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933,985.00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2.05%</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933,985.00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w w:val="95"/>
                <w:sz w:val="21"/>
              </w:rPr>
              <w:t>0.00</w:t>
            </w:r>
            <w:r>
              <w:rPr>
                <w:rFonts w:ascii="Arial Narrow"/>
                <w:sz w:val="21"/>
              </w:rPr>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45,628,660.66</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2"/>
                <w:sz w:val="21"/>
              </w:rPr>
              <w:t>4,203,113.50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41,425,547.16</w:t>
            </w:r>
          </w:p>
        </w:tc>
      </w:tr>
    </w:tbl>
    <w:p>
      <w:pPr>
        <w:spacing w:line="439" w:lineRule="auto" w:before="87"/>
        <w:ind w:left="626" w:right="3994"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、本报告期内实际核销的应收账款情况 本年实际核销无法收回的应收款项</w:t>
      </w:r>
      <w:r>
        <w:rPr>
          <w:rFonts w:ascii="宋体" w:hAnsi="宋体" w:cs="宋体" w:eastAsia="宋体" w:hint="default"/>
          <w:spacing w:val="-54"/>
          <w:sz w:val="21"/>
          <w:szCs w:val="21"/>
        </w:rPr>
        <w:t> </w:t>
      </w:r>
      <w:r>
        <w:rPr>
          <w:rFonts w:ascii="Arial Narrow" w:hAnsi="Arial Narrow" w:cs="Arial Narrow" w:eastAsia="Arial Narrow" w:hint="default"/>
          <w:sz w:val="21"/>
          <w:szCs w:val="21"/>
        </w:rPr>
        <w:t>20,000.00</w:t>
      </w:r>
      <w:r>
        <w:rPr>
          <w:rFonts w:ascii="Arial Narrow" w:hAnsi="Arial Narrow" w:cs="Arial Narrow" w:eastAsia="Arial Narrow" w:hint="default"/>
          <w:spacing w:val="4"/>
          <w:sz w:val="21"/>
          <w:szCs w:val="21"/>
        </w:rPr>
        <w:t> </w:t>
      </w:r>
      <w:r>
        <w:rPr>
          <w:rFonts w:ascii="宋体" w:hAnsi="宋体" w:cs="宋体" w:eastAsia="宋体" w:hint="default"/>
          <w:sz w:val="21"/>
          <w:szCs w:val="21"/>
        </w:rPr>
        <w:t>元。 </w:t>
      </w:r>
      <w:r>
        <w:rPr>
          <w:rFonts w:ascii="Arial Narrow" w:hAnsi="Arial Narrow" w:cs="Arial Narrow" w:eastAsia="Arial Narrow" w:hint="default"/>
          <w:sz w:val="21"/>
          <w:szCs w:val="21"/>
        </w:rPr>
        <w:t>3</w:t>
      </w:r>
      <w:r>
        <w:rPr>
          <w:rFonts w:ascii="宋体" w:hAnsi="宋体" w:cs="宋体" w:eastAsia="宋体" w:hint="default"/>
          <w:sz w:val="21"/>
          <w:szCs w:val="21"/>
        </w:rPr>
        <w:t>、应收账款余额前五名的客户列示：</w:t>
      </w:r>
    </w:p>
    <w:p>
      <w:pPr>
        <w:spacing w:line="240" w:lineRule="auto" w:before="10"/>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2524"/>
        <w:gridCol w:w="1796"/>
        <w:gridCol w:w="1264"/>
        <w:gridCol w:w="1643"/>
        <w:gridCol w:w="1618"/>
      </w:tblGrid>
      <w:tr>
        <w:trPr>
          <w:trHeight w:val="560" w:hRule="exact"/>
        </w:trPr>
        <w:tc>
          <w:tcPr>
            <w:tcW w:w="25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单</w:t>
              <w:tab/>
              <w:t>位</w:t>
            </w:r>
          </w:p>
        </w:tc>
        <w:tc>
          <w:tcPr>
            <w:tcW w:w="17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26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05" w:right="0"/>
              <w:jc w:val="left"/>
              <w:rPr>
                <w:rFonts w:ascii="宋体" w:hAnsi="宋体" w:cs="宋体" w:eastAsia="宋体" w:hint="default"/>
                <w:sz w:val="21"/>
                <w:szCs w:val="21"/>
              </w:rPr>
            </w:pPr>
            <w:r>
              <w:rPr>
                <w:rFonts w:ascii="宋体" w:hAnsi="宋体" w:cs="宋体" w:eastAsia="宋体" w:hint="default"/>
                <w:sz w:val="21"/>
                <w:szCs w:val="21"/>
              </w:rPr>
              <w:t>年末金额</w:t>
            </w:r>
          </w:p>
        </w:tc>
        <w:tc>
          <w:tcPr>
            <w:tcW w:w="164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年限</w:t>
            </w:r>
          </w:p>
        </w:tc>
        <w:tc>
          <w:tcPr>
            <w:tcW w:w="16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占应收账款总额</w:t>
            </w:r>
          </w:p>
          <w:p>
            <w:pPr>
              <w:pStyle w:val="TableParagraph"/>
              <w:spacing w:line="288" w:lineRule="exact"/>
              <w:ind w:right="0"/>
              <w:jc w:val="center"/>
              <w:rPr>
                <w:rFonts w:ascii="宋体" w:hAnsi="宋体" w:cs="宋体" w:eastAsia="宋体" w:hint="default"/>
                <w:sz w:val="21"/>
                <w:szCs w:val="21"/>
              </w:rPr>
            </w:pPr>
            <w:r>
              <w:rPr>
                <w:rFonts w:ascii="宋体" w:hAnsi="宋体" w:cs="宋体" w:eastAsia="宋体" w:hint="default"/>
                <w:sz w:val="21"/>
                <w:szCs w:val="21"/>
              </w:rPr>
              <w:t>的比例（</w:t>
            </w:r>
            <w:r>
              <w:rPr>
                <w:rFonts w:ascii="Arial Narrow" w:hAnsi="Arial Narrow" w:cs="Arial Narrow" w:eastAsia="Arial Narrow" w:hint="default"/>
                <w:sz w:val="21"/>
                <w:szCs w:val="21"/>
              </w:rPr>
              <w:t>%</w:t>
            </w:r>
            <w:r>
              <w:rPr>
                <w:rFonts w:ascii="宋体" w:hAnsi="宋体" w:cs="宋体" w:eastAsia="宋体" w:hint="default"/>
                <w:sz w:val="21"/>
                <w:szCs w:val="21"/>
              </w:rPr>
              <w:t>）</w:t>
            </w:r>
          </w:p>
        </w:tc>
      </w:tr>
      <w:tr>
        <w:trPr>
          <w:trHeight w:val="326"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新疆生产建设兵团公安局</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4,130,000.00</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年以内及</w:t>
            </w:r>
            <w:r>
              <w:rPr>
                <w:rFonts w:ascii="宋体" w:hAnsi="宋体" w:cs="宋体" w:eastAsia="宋体" w:hint="default"/>
                <w:spacing w:val="-62"/>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5"/>
                <w:sz w:val="21"/>
                <w:szCs w:val="21"/>
              </w:rPr>
              <w:t> </w:t>
            </w:r>
            <w:r>
              <w:rPr>
                <w:rFonts w:ascii="宋体" w:hAnsi="宋体" w:cs="宋体" w:eastAsia="宋体" w:hint="default"/>
                <w:sz w:val="21"/>
                <w:szCs w:val="21"/>
              </w:rPr>
              <w:t>年</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w w:val="95"/>
                <w:sz w:val="21"/>
              </w:rPr>
              <w:t>4.59%</w:t>
            </w:r>
            <w:r>
              <w:rPr>
                <w:rFonts w:ascii="Arial Narrow"/>
                <w:sz w:val="21"/>
              </w:rPr>
            </w:r>
          </w:p>
        </w:tc>
      </w:tr>
      <w:tr>
        <w:trPr>
          <w:trHeight w:val="328"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吉林省公安厅</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3,320,521.20</w:t>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w w:val="95"/>
                <w:sz w:val="21"/>
              </w:rPr>
              <w:t>3.69%</w:t>
            </w:r>
            <w:r>
              <w:rPr>
                <w:rFonts w:ascii="Arial Narrow"/>
                <w:sz w:val="21"/>
              </w:rPr>
            </w:r>
          </w:p>
        </w:tc>
      </w:tr>
      <w:tr>
        <w:trPr>
          <w:trHeight w:val="326"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49" w:right="0"/>
              <w:jc w:val="left"/>
              <w:rPr>
                <w:rFonts w:ascii="宋体" w:hAnsi="宋体" w:cs="宋体" w:eastAsia="宋体" w:hint="default"/>
                <w:sz w:val="20"/>
                <w:szCs w:val="20"/>
              </w:rPr>
            </w:pPr>
            <w:r>
              <w:rPr>
                <w:rFonts w:ascii="宋体" w:hAnsi="宋体" w:cs="宋体" w:eastAsia="宋体" w:hint="default"/>
                <w:sz w:val="20"/>
                <w:szCs w:val="20"/>
              </w:rPr>
              <w:t>天津市滨海新区公安局</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2,485,897.45</w:t>
            </w:r>
            <w:r>
              <w:rPr>
                <w:rFonts w:ascii="Times New Roman"/>
                <w:sz w:val="20"/>
              </w:rPr>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8"/>
              <w:jc w:val="right"/>
              <w:rPr>
                <w:rFonts w:ascii="Times New Roman" w:hAnsi="Times New Roman" w:cs="Times New Roman" w:eastAsia="Times New Roman" w:hint="default"/>
                <w:sz w:val="20"/>
                <w:szCs w:val="20"/>
              </w:rPr>
            </w:pPr>
            <w:r>
              <w:rPr>
                <w:rFonts w:ascii="Times New Roman"/>
                <w:spacing w:val="-1"/>
                <w:sz w:val="20"/>
              </w:rPr>
              <w:t>2.76%</w:t>
            </w:r>
          </w:p>
        </w:tc>
      </w:tr>
      <w:tr>
        <w:trPr>
          <w:trHeight w:val="328"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49" w:right="0"/>
              <w:jc w:val="left"/>
              <w:rPr>
                <w:rFonts w:ascii="宋体" w:hAnsi="宋体" w:cs="宋体" w:eastAsia="宋体" w:hint="default"/>
                <w:sz w:val="20"/>
                <w:szCs w:val="20"/>
              </w:rPr>
            </w:pPr>
            <w:r>
              <w:rPr>
                <w:rFonts w:ascii="宋体" w:hAnsi="宋体" w:cs="宋体" w:eastAsia="宋体" w:hint="default"/>
                <w:sz w:val="20"/>
                <w:szCs w:val="20"/>
              </w:rPr>
              <w:t>贵州省工商行政管理局</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2,379,000.00</w:t>
            </w:r>
            <w:r>
              <w:rPr>
                <w:rFonts w:ascii="Times New Roman"/>
                <w:sz w:val="20"/>
              </w:rPr>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8"/>
              <w:jc w:val="right"/>
              <w:rPr>
                <w:rFonts w:ascii="Times New Roman" w:hAnsi="Times New Roman" w:cs="Times New Roman" w:eastAsia="Times New Roman" w:hint="default"/>
                <w:sz w:val="20"/>
                <w:szCs w:val="20"/>
              </w:rPr>
            </w:pPr>
            <w:r>
              <w:rPr>
                <w:rFonts w:ascii="Times New Roman"/>
                <w:spacing w:val="-1"/>
                <w:sz w:val="20"/>
              </w:rPr>
              <w:t>2.64%</w:t>
            </w:r>
          </w:p>
        </w:tc>
      </w:tr>
      <w:tr>
        <w:trPr>
          <w:trHeight w:val="326"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49" w:right="0"/>
              <w:jc w:val="left"/>
              <w:rPr>
                <w:rFonts w:ascii="宋体" w:hAnsi="宋体" w:cs="宋体" w:eastAsia="宋体" w:hint="default"/>
                <w:sz w:val="20"/>
                <w:szCs w:val="20"/>
              </w:rPr>
            </w:pPr>
            <w:r>
              <w:rPr>
                <w:rFonts w:ascii="宋体" w:hAnsi="宋体" w:cs="宋体" w:eastAsia="宋体" w:hint="default"/>
                <w:sz w:val="20"/>
                <w:szCs w:val="20"/>
              </w:rPr>
              <w:t>北京公安局</w:t>
            </w:r>
          </w:p>
        </w:tc>
        <w:tc>
          <w:tcPr>
            <w:tcW w:w="179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非关联客户</w:t>
            </w: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2,329,976.06</w:t>
            </w:r>
            <w:r>
              <w:rPr>
                <w:rFonts w:ascii="Times New Roman"/>
                <w:sz w:val="20"/>
              </w:rPr>
            </w:r>
          </w:p>
        </w:tc>
        <w:tc>
          <w:tcPr>
            <w:tcW w:w="1643"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8"/>
              <w:jc w:val="right"/>
              <w:rPr>
                <w:rFonts w:ascii="Times New Roman" w:hAnsi="Times New Roman" w:cs="Times New Roman" w:eastAsia="Times New Roman" w:hint="default"/>
                <w:sz w:val="20"/>
                <w:szCs w:val="20"/>
              </w:rPr>
            </w:pPr>
            <w:r>
              <w:rPr>
                <w:rFonts w:ascii="Times New Roman"/>
                <w:spacing w:val="-1"/>
                <w:sz w:val="20"/>
              </w:rPr>
              <w:t>2.59%</w:t>
            </w:r>
          </w:p>
        </w:tc>
      </w:tr>
      <w:tr>
        <w:trPr>
          <w:trHeight w:val="326" w:hRule="exact"/>
        </w:trPr>
        <w:tc>
          <w:tcPr>
            <w:tcW w:w="252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96" w:type="dxa"/>
            <w:tcBorders>
              <w:top w:val="single" w:sz="6" w:space="0" w:color="000000"/>
              <w:left w:val="single" w:sz="6" w:space="0" w:color="000000"/>
              <w:bottom w:val="single" w:sz="6" w:space="0" w:color="000000"/>
              <w:right w:val="single" w:sz="6" w:space="0" w:color="000000"/>
            </w:tcBorders>
          </w:tcPr>
          <w:p>
            <w:pPr/>
          </w:p>
        </w:tc>
        <w:tc>
          <w:tcPr>
            <w:tcW w:w="12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14,645,394.71</w:t>
            </w:r>
            <w:r>
              <w:rPr>
                <w:rFonts w:ascii="Times New Roman"/>
                <w:sz w:val="20"/>
              </w:rPr>
            </w:r>
          </w:p>
        </w:tc>
        <w:tc>
          <w:tcPr>
            <w:tcW w:w="1643" w:type="dxa"/>
            <w:tcBorders>
              <w:top w:val="single" w:sz="6" w:space="0" w:color="000000"/>
              <w:left w:val="single" w:sz="6" w:space="0" w:color="000000"/>
              <w:bottom w:val="single" w:sz="6" w:space="0" w:color="000000"/>
              <w:right w:val="single" w:sz="6" w:space="0" w:color="000000"/>
            </w:tcBorders>
          </w:tcPr>
          <w:p>
            <w:pPr/>
          </w:p>
        </w:tc>
        <w:tc>
          <w:tcPr>
            <w:tcW w:w="16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9"/>
              <w:ind w:right="47"/>
              <w:jc w:val="right"/>
              <w:rPr>
                <w:rFonts w:ascii="Times New Roman" w:hAnsi="Times New Roman" w:cs="Times New Roman" w:eastAsia="Times New Roman" w:hint="default"/>
                <w:sz w:val="20"/>
                <w:szCs w:val="20"/>
              </w:rPr>
            </w:pPr>
            <w:r>
              <w:rPr>
                <w:rFonts w:ascii="Times New Roman"/>
                <w:spacing w:val="-1"/>
                <w:sz w:val="20"/>
              </w:rPr>
              <w:t>16.28%</w:t>
            </w:r>
          </w:p>
        </w:tc>
      </w:tr>
    </w:tbl>
    <w:p>
      <w:pPr>
        <w:spacing w:before="87"/>
        <w:ind w:left="626" w:right="180" w:firstLine="0"/>
        <w:jc w:val="left"/>
        <w:rPr>
          <w:rFonts w:ascii="宋体" w:hAnsi="宋体" w:cs="宋体" w:eastAsia="宋体" w:hint="default"/>
          <w:sz w:val="21"/>
          <w:szCs w:val="21"/>
        </w:rPr>
      </w:pPr>
      <w:r>
        <w:rPr>
          <w:rFonts w:ascii="Arial Narrow" w:hAnsi="Arial Narrow" w:cs="Arial Narrow" w:eastAsia="Arial Narrow" w:hint="default"/>
          <w:spacing w:val="-3"/>
          <w:sz w:val="21"/>
          <w:szCs w:val="21"/>
        </w:rPr>
        <w:t>4</w:t>
      </w:r>
      <w:r>
        <w:rPr>
          <w:rFonts w:ascii="宋体" w:hAnsi="宋体" w:cs="宋体" w:eastAsia="宋体" w:hint="default"/>
          <w:spacing w:val="-3"/>
          <w:sz w:val="21"/>
          <w:szCs w:val="21"/>
        </w:rPr>
        <w:t>、截至</w:t>
      </w:r>
      <w:r>
        <w:rPr>
          <w:rFonts w:ascii="宋体" w:hAnsi="宋体" w:cs="宋体" w:eastAsia="宋体" w:hint="default"/>
          <w:spacing w:val="-56"/>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2"/>
          <w:sz w:val="21"/>
          <w:szCs w:val="21"/>
        </w:rPr>
        <w:t> </w:t>
      </w:r>
      <w:r>
        <w:rPr>
          <w:rFonts w:ascii="宋体" w:hAnsi="宋体" w:cs="宋体" w:eastAsia="宋体" w:hint="default"/>
          <w:sz w:val="21"/>
          <w:szCs w:val="21"/>
        </w:rPr>
        <w:t>日止，应收账款余额中无持有本公司</w:t>
      </w:r>
      <w:r>
        <w:rPr>
          <w:rFonts w:ascii="宋体" w:hAnsi="宋体" w:cs="宋体" w:eastAsia="宋体" w:hint="default"/>
          <w:spacing w:val="-56"/>
          <w:sz w:val="21"/>
          <w:szCs w:val="21"/>
        </w:rPr>
        <w:t> </w:t>
      </w:r>
      <w:r>
        <w:rPr>
          <w:rFonts w:ascii="Arial Narrow" w:hAnsi="Arial Narrow" w:cs="Arial Narrow" w:eastAsia="Arial Narrow" w:hint="default"/>
          <w:spacing w:val="-4"/>
          <w:sz w:val="21"/>
          <w:szCs w:val="21"/>
        </w:rPr>
        <w:t>5%</w:t>
      </w:r>
      <w:r>
        <w:rPr>
          <w:rFonts w:ascii="宋体" w:hAnsi="宋体" w:cs="宋体" w:eastAsia="宋体" w:hint="default"/>
          <w:spacing w:val="-4"/>
          <w:sz w:val="21"/>
          <w:szCs w:val="21"/>
        </w:rPr>
        <w:t>（含</w:t>
      </w:r>
      <w:r>
        <w:rPr>
          <w:rFonts w:ascii="宋体" w:hAnsi="宋体" w:cs="宋体" w:eastAsia="宋体" w:hint="default"/>
          <w:spacing w:val="-56"/>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）以上表决权股份</w:t>
      </w:r>
    </w:p>
    <w:p>
      <w:pPr>
        <w:spacing w:before="120"/>
        <w:ind w:left="219" w:right="180" w:firstLine="0"/>
        <w:jc w:val="left"/>
        <w:rPr>
          <w:rFonts w:ascii="宋体" w:hAnsi="宋体" w:cs="宋体" w:eastAsia="宋体" w:hint="default"/>
          <w:sz w:val="21"/>
          <w:szCs w:val="21"/>
        </w:rPr>
      </w:pPr>
      <w:r>
        <w:rPr>
          <w:rFonts w:ascii="宋体" w:hAnsi="宋体" w:cs="宋体" w:eastAsia="宋体" w:hint="default"/>
          <w:sz w:val="21"/>
          <w:szCs w:val="21"/>
        </w:rPr>
        <w:t>的股东单位欠款，应收子公司厦门市美亚柏科信息安全研究所有限公司</w:t>
      </w:r>
      <w:r>
        <w:rPr>
          <w:rFonts w:ascii="宋体" w:hAnsi="宋体" w:cs="宋体" w:eastAsia="宋体" w:hint="default"/>
          <w:spacing w:val="-72"/>
          <w:sz w:val="21"/>
          <w:szCs w:val="21"/>
        </w:rPr>
        <w:t> </w:t>
      </w:r>
      <w:r>
        <w:rPr>
          <w:rFonts w:ascii="Arial Narrow" w:hAnsi="Arial Narrow" w:cs="Arial Narrow" w:eastAsia="Arial Narrow" w:hint="default"/>
          <w:sz w:val="21"/>
          <w:szCs w:val="21"/>
        </w:rPr>
        <w:t>1,131,083.59</w:t>
      </w:r>
      <w:r>
        <w:rPr>
          <w:rFonts w:ascii="Arial Narrow" w:hAnsi="Arial Narrow" w:cs="Arial Narrow" w:eastAsia="Arial Narrow" w:hint="default"/>
          <w:spacing w:val="-14"/>
          <w:sz w:val="21"/>
          <w:szCs w:val="21"/>
        </w:rPr>
        <w:t> </w:t>
      </w:r>
      <w:r>
        <w:rPr>
          <w:rFonts w:ascii="宋体" w:hAnsi="宋体" w:cs="宋体" w:eastAsia="宋体" w:hint="default"/>
          <w:sz w:val="21"/>
          <w:szCs w:val="21"/>
        </w:rPr>
        <w:t>元以及杭州</w:t>
      </w:r>
    </w:p>
    <w:p>
      <w:pPr>
        <w:spacing w:before="118"/>
        <w:ind w:left="219" w:right="180" w:firstLine="0"/>
        <w:jc w:val="left"/>
        <w:rPr>
          <w:rFonts w:ascii="宋体" w:hAnsi="宋体" w:cs="宋体" w:eastAsia="宋体" w:hint="default"/>
          <w:sz w:val="21"/>
          <w:szCs w:val="21"/>
        </w:rPr>
      </w:pPr>
      <w:r>
        <w:rPr>
          <w:rFonts w:ascii="宋体" w:hAnsi="宋体" w:cs="宋体" w:eastAsia="宋体" w:hint="default"/>
          <w:sz w:val="21"/>
          <w:szCs w:val="21"/>
        </w:rPr>
        <w:t>创聚科技有限公司</w:t>
      </w:r>
      <w:r>
        <w:rPr>
          <w:rFonts w:ascii="宋体" w:hAnsi="宋体" w:cs="宋体" w:eastAsia="宋体" w:hint="default"/>
          <w:spacing w:val="-55"/>
          <w:sz w:val="21"/>
          <w:szCs w:val="21"/>
        </w:rPr>
        <w:t> </w:t>
      </w:r>
      <w:r>
        <w:rPr>
          <w:rFonts w:ascii="Arial Narrow" w:hAnsi="Arial Narrow" w:cs="Arial Narrow" w:eastAsia="Arial Narrow" w:hint="default"/>
          <w:sz w:val="21"/>
          <w:szCs w:val="21"/>
        </w:rPr>
        <w:t>1,494,949.95</w:t>
      </w:r>
      <w:r>
        <w:rPr>
          <w:rFonts w:ascii="Arial Narrow" w:hAnsi="Arial Narrow" w:cs="Arial Narrow" w:eastAsia="Arial Narrow" w:hint="default"/>
          <w:spacing w:val="3"/>
          <w:sz w:val="21"/>
          <w:szCs w:val="21"/>
        </w:rPr>
        <w:t> </w:t>
      </w:r>
      <w:r>
        <w:rPr>
          <w:rFonts w:ascii="宋体" w:hAnsi="宋体" w:cs="宋体" w:eastAsia="宋体" w:hint="default"/>
          <w:sz w:val="21"/>
          <w:szCs w:val="21"/>
        </w:rPr>
        <w:t>元。</w:t>
      </w:r>
    </w:p>
    <w:p>
      <w:pPr>
        <w:spacing w:line="240" w:lineRule="auto" w:before="3"/>
        <w:rPr>
          <w:rFonts w:ascii="宋体" w:hAnsi="宋体" w:cs="宋体" w:eastAsia="宋体" w:hint="default"/>
          <w:sz w:val="18"/>
          <w:szCs w:val="18"/>
        </w:rPr>
      </w:pPr>
    </w:p>
    <w:p>
      <w:pPr>
        <w:spacing w:line="338" w:lineRule="auto" w:before="0"/>
        <w:ind w:left="219" w:right="206" w:firstLine="420"/>
        <w:jc w:val="left"/>
        <w:rPr>
          <w:rFonts w:ascii="宋体" w:hAnsi="宋体" w:cs="宋体" w:eastAsia="宋体" w:hint="default"/>
          <w:sz w:val="21"/>
          <w:szCs w:val="21"/>
        </w:rPr>
      </w:pPr>
      <w:r>
        <w:rPr>
          <w:rFonts w:ascii="Arial Narrow" w:hAnsi="Arial Narrow" w:cs="Arial Narrow" w:eastAsia="Arial Narrow" w:hint="default"/>
          <w:spacing w:val="-2"/>
          <w:sz w:val="21"/>
          <w:szCs w:val="21"/>
        </w:rPr>
        <w:t>5</w:t>
      </w:r>
      <w:r>
        <w:rPr>
          <w:rFonts w:ascii="宋体" w:hAnsi="宋体" w:cs="宋体" w:eastAsia="宋体" w:hint="default"/>
          <w:spacing w:val="-2"/>
          <w:sz w:val="21"/>
          <w:szCs w:val="21"/>
        </w:rPr>
        <w:t>、年末应收账款余额较年初增加</w:t>
      </w:r>
      <w:r>
        <w:rPr>
          <w:rFonts w:ascii="宋体" w:hAnsi="宋体" w:cs="宋体" w:eastAsia="宋体" w:hint="default"/>
          <w:spacing w:val="-44"/>
          <w:sz w:val="21"/>
          <w:szCs w:val="21"/>
        </w:rPr>
        <w:t> </w:t>
      </w:r>
      <w:r>
        <w:rPr>
          <w:rFonts w:ascii="Arial Narrow" w:hAnsi="Arial Narrow" w:cs="Arial Narrow" w:eastAsia="Arial Narrow" w:hint="default"/>
          <w:spacing w:val="-2"/>
          <w:sz w:val="21"/>
          <w:szCs w:val="21"/>
        </w:rPr>
        <w:t>97.15%</w:t>
      </w:r>
      <w:r>
        <w:rPr>
          <w:rFonts w:ascii="宋体" w:hAnsi="宋体" w:cs="宋体" w:eastAsia="宋体" w:hint="default"/>
          <w:spacing w:val="-2"/>
          <w:sz w:val="21"/>
          <w:szCs w:val="21"/>
        </w:rPr>
        <w:t>，主要系本年度营业收入增加，年末应收账款相应</w:t>
      </w:r>
      <w:r>
        <w:rPr>
          <w:rFonts w:ascii="宋体" w:hAnsi="宋体" w:cs="宋体" w:eastAsia="宋体" w:hint="default"/>
          <w:sz w:val="21"/>
          <w:szCs w:val="21"/>
        </w:rPr>
        <w:t> 增加所致。</w:t>
      </w:r>
    </w:p>
    <w:p>
      <w:pPr>
        <w:tabs>
          <w:tab w:pos="1479" w:val="left" w:leader="none"/>
        </w:tabs>
        <w:spacing w:before="107"/>
        <w:ind w:left="639" w:right="180" w:firstLine="0"/>
        <w:jc w:val="left"/>
        <w:rPr>
          <w:rFonts w:ascii="宋体" w:hAnsi="宋体" w:cs="宋体" w:eastAsia="宋体" w:hint="default"/>
          <w:sz w:val="21"/>
          <w:szCs w:val="21"/>
        </w:rPr>
      </w:pPr>
      <w:r>
        <w:rPr>
          <w:rFonts w:ascii="宋体" w:hAnsi="宋体" w:cs="宋体" w:eastAsia="宋体" w:hint="default"/>
          <w:b/>
          <w:bCs/>
          <w:w w:val="95"/>
          <w:sz w:val="21"/>
          <w:szCs w:val="21"/>
        </w:rPr>
        <w:t>（二）</w:t>
        <w:tab/>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、其他应收款按类别分析列示如下：</w:t>
      </w:r>
    </w:p>
    <w:p>
      <w:pPr>
        <w:spacing w:after="0"/>
        <w:jc w:val="left"/>
        <w:rPr>
          <w:rFonts w:ascii="宋体" w:hAnsi="宋体" w:cs="宋体" w:eastAsia="宋体" w:hint="default"/>
          <w:sz w:val="21"/>
          <w:szCs w:val="21"/>
        </w:rPr>
        <w:sectPr>
          <w:pgSz w:w="12240" w:h="15840"/>
          <w:pgMar w:header="0" w:footer="688" w:top="1360" w:bottom="900" w:left="1580" w:right="1580"/>
        </w:sectPr>
      </w:pPr>
    </w:p>
    <w:p>
      <w:pPr>
        <w:spacing w:line="240" w:lineRule="auto" w:before="2"/>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204"/>
        <w:gridCol w:w="1318"/>
        <w:gridCol w:w="896"/>
        <w:gridCol w:w="1227"/>
        <w:gridCol w:w="806"/>
        <w:gridCol w:w="1393"/>
      </w:tblGrid>
      <w:tr>
        <w:trPr>
          <w:trHeight w:val="327" w:hRule="exact"/>
        </w:trPr>
        <w:tc>
          <w:tcPr>
            <w:tcW w:w="320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tabs>
                <w:tab w:pos="421" w:val="left" w:leader="none"/>
              </w:tabs>
              <w:spacing w:line="240" w:lineRule="auto" w:before="158"/>
              <w:ind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5640"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0"/>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26" w:hRule="exact"/>
        </w:trPr>
        <w:tc>
          <w:tcPr>
            <w:tcW w:w="3204" w:type="dxa"/>
            <w:vMerge/>
            <w:tcBorders>
              <w:left w:val="single" w:sz="6" w:space="0" w:color="000000"/>
              <w:right w:val="single" w:sz="6" w:space="0" w:color="000000"/>
            </w:tcBorders>
            <w:shd w:val="clear" w:color="auto" w:fill="C0C0C0"/>
          </w:tcPr>
          <w:p>
            <w:pPr/>
          </w:p>
        </w:tc>
        <w:tc>
          <w:tcPr>
            <w:tcW w:w="221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03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58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3"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59" w:hRule="exact"/>
        </w:trPr>
        <w:tc>
          <w:tcPr>
            <w:tcW w:w="3204" w:type="dxa"/>
            <w:vMerge/>
            <w:tcBorders>
              <w:left w:val="single" w:sz="6" w:space="0" w:color="000000"/>
              <w:bottom w:val="single" w:sz="6" w:space="0" w:color="000000"/>
              <w:right w:val="single" w:sz="6" w:space="0" w:color="000000"/>
            </w:tcBorders>
            <w:shd w:val="clear" w:color="auto" w:fill="C0C0C0"/>
          </w:tcPr>
          <w:p>
            <w:pP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22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0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83"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4" w:lineRule="exact"/>
              <w:ind w:left="183"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393" w:type="dxa"/>
            <w:vMerge/>
            <w:tcBorders>
              <w:left w:val="single" w:sz="6" w:space="0" w:color="000000"/>
              <w:bottom w:val="single" w:sz="6" w:space="0" w:color="000000"/>
              <w:right w:val="single" w:sz="6" w:space="0" w:color="000000"/>
            </w:tcBorders>
            <w:shd w:val="clear" w:color="auto" w:fill="C0C0C0"/>
          </w:tcPr>
          <w:p>
            <w:pPr/>
          </w:p>
        </w:tc>
      </w:tr>
      <w:tr>
        <w:trPr>
          <w:trHeight w:val="640"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
              <w:ind w:left="100" w:right="146"/>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 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4"/>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25,024,958.95</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3"/>
              <w:jc w:val="right"/>
              <w:rPr>
                <w:rFonts w:ascii="Arial Narrow" w:hAnsi="Arial Narrow" w:cs="Arial Narrow" w:eastAsia="Arial Narrow" w:hint="default"/>
                <w:sz w:val="21"/>
                <w:szCs w:val="21"/>
              </w:rPr>
            </w:pPr>
            <w:r>
              <w:rPr>
                <w:rFonts w:ascii="Arial Narrow"/>
                <w:spacing w:val="-1"/>
                <w:sz w:val="21"/>
              </w:rPr>
              <w:t>1,905,800.03</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7.62%</w:t>
            </w:r>
            <w:r>
              <w:rPr>
                <w:rFonts w:ascii="Arial Narrow"/>
                <w:sz w:val="21"/>
              </w:rPr>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2"/>
                <w:sz w:val="21"/>
              </w:rPr>
              <w:t>23,119,158.92</w:t>
            </w:r>
          </w:p>
        </w:tc>
      </w:tr>
      <w:tr>
        <w:trPr>
          <w:trHeight w:val="377"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4,120,446.66</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6"/>
              <w:jc w:val="right"/>
              <w:rPr>
                <w:rFonts w:ascii="Arial Narrow" w:hAnsi="Arial Narrow" w:cs="Arial Narrow" w:eastAsia="Arial Narrow" w:hint="default"/>
                <w:sz w:val="21"/>
                <w:szCs w:val="21"/>
              </w:rPr>
            </w:pPr>
            <w:r>
              <w:rPr>
                <w:rFonts w:ascii="Arial Narrow"/>
                <w:w w:val="95"/>
                <w:sz w:val="21"/>
              </w:rPr>
              <w:t>16.47%</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04"/>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97"/>
              <w:jc w:val="right"/>
              <w:rPr>
                <w:rFonts w:ascii="Arial Narrow" w:hAnsi="Arial Narrow" w:cs="Arial Narrow" w:eastAsia="Arial Narrow" w:hint="default"/>
                <w:sz w:val="21"/>
                <w:szCs w:val="21"/>
              </w:rPr>
            </w:pPr>
            <w:r>
              <w:rPr>
                <w:rFonts w:ascii="Arial Narrow"/>
                <w:spacing w:val="-1"/>
                <w:sz w:val="21"/>
              </w:rPr>
              <w:t>4,120,446.66</w:t>
            </w:r>
          </w:p>
        </w:tc>
      </w:tr>
      <w:tr>
        <w:trPr>
          <w:trHeight w:val="326"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20,904,512.29</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83.53%</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3"/>
              <w:jc w:val="right"/>
              <w:rPr>
                <w:rFonts w:ascii="Arial Narrow" w:hAnsi="Arial Narrow" w:cs="Arial Narrow" w:eastAsia="Arial Narrow" w:hint="default"/>
                <w:sz w:val="21"/>
                <w:szCs w:val="21"/>
              </w:rPr>
            </w:pPr>
            <w:r>
              <w:rPr>
                <w:rFonts w:ascii="Arial Narrow"/>
                <w:spacing w:val="-1"/>
                <w:sz w:val="21"/>
              </w:rPr>
              <w:t>1,905,800.03</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7.62%</w:t>
            </w:r>
            <w:r>
              <w:rPr>
                <w:rFonts w:ascii="Arial Narrow"/>
                <w:sz w:val="21"/>
              </w:rPr>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18,998,712.26</w:t>
            </w:r>
          </w:p>
        </w:tc>
      </w:tr>
      <w:tr>
        <w:trPr>
          <w:trHeight w:val="560"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4"/>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25,024,958.95</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103"/>
              <w:jc w:val="right"/>
              <w:rPr>
                <w:rFonts w:ascii="Arial Narrow" w:hAnsi="Arial Narrow" w:cs="Arial Narrow" w:eastAsia="Arial Narrow" w:hint="default"/>
                <w:sz w:val="21"/>
                <w:szCs w:val="21"/>
              </w:rPr>
            </w:pPr>
            <w:r>
              <w:rPr>
                <w:rFonts w:ascii="Arial Narrow"/>
                <w:spacing w:val="-1"/>
                <w:sz w:val="21"/>
              </w:rPr>
              <w:t>1,905,800.03</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7.62%</w:t>
            </w:r>
            <w:r>
              <w:rPr>
                <w:rFonts w:ascii="Arial Narrow"/>
                <w:sz w:val="21"/>
              </w:rPr>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2"/>
                <w:sz w:val="21"/>
              </w:rPr>
              <w:t>23,119,158.92</w:t>
            </w:r>
          </w:p>
        </w:tc>
      </w:tr>
      <w:tr>
        <w:trPr>
          <w:trHeight w:val="328" w:hRule="exact"/>
        </w:trPr>
        <w:tc>
          <w:tcPr>
            <w:tcW w:w="3204"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3"/>
                <w:szCs w:val="13"/>
              </w:rPr>
            </w:pPr>
          </w:p>
          <w:p>
            <w:pPr>
              <w:pStyle w:val="TableParagraph"/>
              <w:tabs>
                <w:tab w:pos="421"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5640" w:type="dxa"/>
            <w:gridSpan w:val="5"/>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年初账面金额</w:t>
            </w:r>
          </w:p>
        </w:tc>
      </w:tr>
      <w:tr>
        <w:trPr>
          <w:trHeight w:val="326" w:hRule="exact"/>
        </w:trPr>
        <w:tc>
          <w:tcPr>
            <w:tcW w:w="3204" w:type="dxa"/>
            <w:vMerge/>
            <w:tcBorders>
              <w:left w:val="single" w:sz="6" w:space="0" w:color="000000"/>
              <w:right w:val="single" w:sz="6" w:space="0" w:color="000000"/>
            </w:tcBorders>
            <w:shd w:val="clear" w:color="auto" w:fill="C0C0C0"/>
          </w:tcPr>
          <w:p>
            <w:pPr/>
          </w:p>
        </w:tc>
        <w:tc>
          <w:tcPr>
            <w:tcW w:w="2214"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679" w:right="0"/>
              <w:jc w:val="left"/>
              <w:rPr>
                <w:rFonts w:ascii="宋体" w:hAnsi="宋体" w:cs="宋体" w:eastAsia="宋体" w:hint="default"/>
                <w:sz w:val="21"/>
                <w:szCs w:val="21"/>
              </w:rPr>
            </w:pPr>
            <w:r>
              <w:rPr>
                <w:rFonts w:ascii="宋体" w:hAnsi="宋体" w:cs="宋体" w:eastAsia="宋体" w:hint="default"/>
                <w:sz w:val="21"/>
                <w:szCs w:val="21"/>
              </w:rPr>
              <w:t>账面金额</w:t>
            </w:r>
          </w:p>
        </w:tc>
        <w:tc>
          <w:tcPr>
            <w:tcW w:w="203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58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3"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净额</w:t>
            </w:r>
          </w:p>
        </w:tc>
      </w:tr>
      <w:tr>
        <w:trPr>
          <w:trHeight w:val="560" w:hRule="exact"/>
        </w:trPr>
        <w:tc>
          <w:tcPr>
            <w:tcW w:w="3204" w:type="dxa"/>
            <w:vMerge/>
            <w:tcBorders>
              <w:left w:val="single" w:sz="6" w:space="0" w:color="000000"/>
              <w:bottom w:val="single" w:sz="6" w:space="0" w:color="000000"/>
              <w:right w:val="single" w:sz="6" w:space="0" w:color="000000"/>
            </w:tcBorders>
            <w:shd w:val="clear" w:color="auto" w:fill="C0C0C0"/>
          </w:tcPr>
          <w:p>
            <w:pP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89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23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22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01"/>
              <w:ind w:left="398"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80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188" w:right="0"/>
              <w:jc w:val="left"/>
              <w:rPr>
                <w:rFonts w:ascii="宋体" w:hAnsi="宋体" w:cs="宋体" w:eastAsia="宋体" w:hint="default"/>
                <w:sz w:val="21"/>
                <w:szCs w:val="21"/>
              </w:rPr>
            </w:pPr>
            <w:r>
              <w:rPr>
                <w:rFonts w:ascii="宋体" w:hAnsi="宋体" w:cs="宋体" w:eastAsia="宋体" w:hint="default"/>
                <w:sz w:val="21"/>
                <w:szCs w:val="21"/>
              </w:rPr>
              <w:t>计提</w:t>
            </w:r>
          </w:p>
          <w:p>
            <w:pPr>
              <w:pStyle w:val="TableParagraph"/>
              <w:spacing w:line="274" w:lineRule="exact"/>
              <w:ind w:left="18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393" w:type="dxa"/>
            <w:vMerge/>
            <w:tcBorders>
              <w:left w:val="single" w:sz="6" w:space="0" w:color="000000"/>
              <w:bottom w:val="single" w:sz="6" w:space="0" w:color="000000"/>
              <w:right w:val="single" w:sz="6" w:space="0" w:color="000000"/>
            </w:tcBorders>
            <w:shd w:val="clear" w:color="auto" w:fill="C0C0C0"/>
          </w:tcPr>
          <w:p>
            <w:pPr/>
          </w:p>
        </w:tc>
      </w:tr>
      <w:tr>
        <w:trPr>
          <w:trHeight w:val="638"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6"/>
              <w:ind w:left="100" w:right="146"/>
              <w:jc w:val="left"/>
              <w:rPr>
                <w:rFonts w:ascii="宋体" w:hAnsi="宋体" w:cs="宋体" w:eastAsia="宋体" w:hint="default"/>
                <w:sz w:val="21"/>
                <w:szCs w:val="21"/>
              </w:rPr>
            </w:pPr>
            <w:r>
              <w:rPr>
                <w:rFonts w:ascii="宋体" w:hAnsi="宋体" w:cs="宋体" w:eastAsia="宋体" w:hint="default"/>
                <w:sz w:val="21"/>
                <w:szCs w:val="21"/>
              </w:rPr>
              <w:t>单项金额重大并单项计提坏账准 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3"/>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Narrow" w:hAnsi="Arial Narrow" w:cs="Arial Narrow" w:eastAsia="Arial Narrow" w:hint="default"/>
                <w:sz w:val="21"/>
                <w:szCs w:val="21"/>
              </w:rPr>
            </w:pPr>
            <w:r>
              <w:rPr>
                <w:rFonts w:ascii="Arial Narrow"/>
                <w:sz w:val="21"/>
              </w:rPr>
              <w:t>-</w:t>
            </w:r>
          </w:p>
        </w:tc>
      </w:tr>
      <w:tr>
        <w:trPr>
          <w:trHeight w:val="328"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6,969,374.88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3"/>
              <w:jc w:val="right"/>
              <w:rPr>
                <w:rFonts w:ascii="Arial Narrow" w:hAnsi="Arial Narrow" w:cs="Arial Narrow" w:eastAsia="Arial Narrow" w:hint="default"/>
                <w:sz w:val="21"/>
                <w:szCs w:val="21"/>
              </w:rPr>
            </w:pPr>
            <w:r>
              <w:rPr>
                <w:rFonts w:ascii="Arial Narrow"/>
                <w:spacing w:val="-1"/>
                <w:sz w:val="21"/>
              </w:rPr>
              <w:t>639,286.68</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55" w:right="0"/>
              <w:jc w:val="left"/>
              <w:rPr>
                <w:rFonts w:ascii="Arial Narrow" w:hAnsi="Arial Narrow" w:cs="Arial Narrow" w:eastAsia="Arial Narrow" w:hint="default"/>
                <w:sz w:val="21"/>
                <w:szCs w:val="21"/>
              </w:rPr>
            </w:pPr>
            <w:r>
              <w:rPr>
                <w:rFonts w:ascii="Arial Narrow"/>
                <w:sz w:val="21"/>
              </w:rPr>
              <w:t>9.17%</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6,330,088.20</w:t>
            </w:r>
          </w:p>
        </w:tc>
      </w:tr>
      <w:tr>
        <w:trPr>
          <w:trHeight w:val="326"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其中：信用风险较小的应收款项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3,507,469.38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50.33%</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3"/>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3,507,469.38</w:t>
            </w:r>
          </w:p>
        </w:tc>
      </w:tr>
      <w:tr>
        <w:trPr>
          <w:trHeight w:val="328"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730" w:right="0"/>
              <w:jc w:val="left"/>
              <w:rPr>
                <w:rFonts w:ascii="宋体" w:hAnsi="宋体" w:cs="宋体" w:eastAsia="宋体" w:hint="default"/>
                <w:sz w:val="21"/>
                <w:szCs w:val="21"/>
              </w:rPr>
            </w:pPr>
            <w:r>
              <w:rPr>
                <w:rFonts w:ascii="宋体" w:hAnsi="宋体" w:cs="宋体" w:eastAsia="宋体" w:hint="default"/>
                <w:sz w:val="21"/>
                <w:szCs w:val="21"/>
              </w:rPr>
              <w:t>销售货款及其他</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3,461,905.50</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49.67%</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3"/>
              <w:jc w:val="right"/>
              <w:rPr>
                <w:rFonts w:ascii="Arial Narrow" w:hAnsi="Arial Narrow" w:cs="Arial Narrow" w:eastAsia="Arial Narrow" w:hint="default"/>
                <w:sz w:val="21"/>
                <w:szCs w:val="21"/>
              </w:rPr>
            </w:pPr>
            <w:r>
              <w:rPr>
                <w:rFonts w:ascii="Arial Narrow"/>
                <w:spacing w:val="-1"/>
                <w:sz w:val="21"/>
              </w:rPr>
              <w:t>639,286.68</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55" w:right="0"/>
              <w:jc w:val="left"/>
              <w:rPr>
                <w:rFonts w:ascii="Arial Narrow" w:hAnsi="Arial Narrow" w:cs="Arial Narrow" w:eastAsia="Arial Narrow" w:hint="default"/>
                <w:sz w:val="21"/>
                <w:szCs w:val="21"/>
              </w:rPr>
            </w:pPr>
            <w:r>
              <w:rPr>
                <w:rFonts w:ascii="Arial Narrow"/>
                <w:sz w:val="21"/>
              </w:rPr>
              <w:t>9.17%</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2,822,618.82</w:t>
            </w:r>
          </w:p>
        </w:tc>
      </w:tr>
      <w:tr>
        <w:trPr>
          <w:trHeight w:val="559"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单项金额虽不重大但单项计提坏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账准备的应收款项</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Arial Narrow" w:hAnsi="Arial Narrow" w:cs="Arial Narrow" w:eastAsia="Arial Narrow" w:hint="default"/>
                <w:sz w:val="21"/>
                <w:szCs w:val="21"/>
              </w:rPr>
            </w:pPr>
            <w:r>
              <w:rPr>
                <w:rFonts w:ascii="Arial Narrow"/>
                <w:sz w:val="21"/>
              </w:rPr>
              <w:t>-</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3"/>
              <w:jc w:val="right"/>
              <w:rPr>
                <w:rFonts w:ascii="Arial Narrow" w:hAnsi="Arial Narrow" w:cs="Arial Narrow" w:eastAsia="Arial Narrow" w:hint="default"/>
                <w:sz w:val="21"/>
                <w:szCs w:val="21"/>
              </w:rPr>
            </w:pPr>
            <w:r>
              <w:rPr>
                <w:rFonts w:ascii="Arial Narrow"/>
                <w:sz w:val="21"/>
              </w:rPr>
              <w:t>-</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Arial Narrow" w:hAnsi="Arial Narrow" w:cs="Arial Narrow" w:eastAsia="Arial Narrow" w:hint="default"/>
                <w:sz w:val="21"/>
                <w:szCs w:val="21"/>
              </w:rPr>
            </w:pPr>
            <w:r>
              <w:rPr>
                <w:rFonts w:ascii="Arial Narrow"/>
                <w:sz w:val="21"/>
              </w:rPr>
              <w:t>-</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3204"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6,969,374.88</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w:t>
            </w:r>
            <w:r>
              <w:rPr>
                <w:rFonts w:ascii="Arial Narrow"/>
                <w:sz w:val="21"/>
              </w:rPr>
            </w:r>
          </w:p>
        </w:tc>
        <w:tc>
          <w:tcPr>
            <w:tcW w:w="12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3"/>
              <w:jc w:val="right"/>
              <w:rPr>
                <w:rFonts w:ascii="Arial Narrow" w:hAnsi="Arial Narrow" w:cs="Arial Narrow" w:eastAsia="Arial Narrow" w:hint="default"/>
                <w:sz w:val="21"/>
                <w:szCs w:val="21"/>
              </w:rPr>
            </w:pPr>
            <w:r>
              <w:rPr>
                <w:rFonts w:ascii="Arial Narrow"/>
                <w:spacing w:val="-1"/>
                <w:sz w:val="21"/>
              </w:rPr>
              <w:t>639,286.68</w:t>
            </w:r>
          </w:p>
        </w:tc>
        <w:tc>
          <w:tcPr>
            <w:tcW w:w="8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155" w:right="0"/>
              <w:jc w:val="left"/>
              <w:rPr>
                <w:rFonts w:ascii="Arial Narrow" w:hAnsi="Arial Narrow" w:cs="Arial Narrow" w:eastAsia="Arial Narrow" w:hint="default"/>
                <w:sz w:val="21"/>
                <w:szCs w:val="21"/>
              </w:rPr>
            </w:pPr>
            <w:r>
              <w:rPr>
                <w:rFonts w:ascii="Arial Narrow"/>
                <w:sz w:val="21"/>
              </w:rPr>
              <w:t>9.17%</w:t>
            </w:r>
          </w:p>
        </w:tc>
        <w:tc>
          <w:tcPr>
            <w:tcW w:w="13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6,330,088.20</w:t>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组合中，按账龄分析法计提坏账准备的其他应收款：</w:t>
      </w:r>
    </w:p>
    <w:p>
      <w:pPr>
        <w:spacing w:line="240" w:lineRule="auto" w:before="8"/>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1969"/>
        <w:gridCol w:w="1907"/>
        <w:gridCol w:w="1318"/>
        <w:gridCol w:w="1744"/>
        <w:gridCol w:w="1907"/>
      </w:tblGrid>
      <w:tr>
        <w:trPr>
          <w:trHeight w:val="317"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30"/>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00"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13" w:space="0" w:color="C0C0C0"/>
              <w:left w:val="single" w:sz="6" w:space="0" w:color="000000"/>
              <w:bottom w:val="single" w:sz="6" w:space="0" w:color="000000"/>
              <w:right w:val="single" w:sz="6" w:space="0" w:color="000000"/>
            </w:tcBorders>
          </w:tcPr>
          <w:p>
            <w:pPr>
              <w:pStyle w:val="TableParagraph"/>
              <w:spacing w:line="240" w:lineRule="auto" w:before="50"/>
              <w:ind w:right="97"/>
              <w:jc w:val="right"/>
              <w:rPr>
                <w:rFonts w:ascii="Arial Narrow" w:hAnsi="Arial Narrow" w:cs="Arial Narrow" w:eastAsia="Arial Narrow" w:hint="default"/>
                <w:sz w:val="21"/>
                <w:szCs w:val="21"/>
              </w:rPr>
            </w:pPr>
            <w:r>
              <w:rPr>
                <w:rFonts w:ascii="Arial Narrow"/>
                <w:spacing w:val="-1"/>
                <w:sz w:val="21"/>
              </w:rPr>
              <w:t>18,467,717.99</w:t>
            </w:r>
          </w:p>
        </w:tc>
        <w:tc>
          <w:tcPr>
            <w:tcW w:w="1318" w:type="dxa"/>
            <w:tcBorders>
              <w:top w:val="single" w:sz="13" w:space="0" w:color="C0C0C0"/>
              <w:left w:val="single" w:sz="6" w:space="0" w:color="000000"/>
              <w:bottom w:val="single" w:sz="6" w:space="0" w:color="000000"/>
              <w:right w:val="single" w:sz="6" w:space="0" w:color="000000"/>
            </w:tcBorders>
          </w:tcPr>
          <w:p>
            <w:pPr>
              <w:pStyle w:val="TableParagraph"/>
              <w:spacing w:line="240" w:lineRule="auto" w:before="50"/>
              <w:ind w:right="96"/>
              <w:jc w:val="right"/>
              <w:rPr>
                <w:rFonts w:ascii="Arial Narrow" w:hAnsi="Arial Narrow" w:cs="Arial Narrow" w:eastAsia="Arial Narrow" w:hint="default"/>
                <w:sz w:val="21"/>
                <w:szCs w:val="21"/>
              </w:rPr>
            </w:pPr>
            <w:r>
              <w:rPr>
                <w:rFonts w:ascii="Arial Narrow"/>
                <w:w w:val="95"/>
                <w:sz w:val="21"/>
              </w:rPr>
              <w:t>88.34%</w:t>
            </w:r>
            <w:r>
              <w:rPr>
                <w:rFonts w:ascii="Arial Narrow"/>
                <w:sz w:val="21"/>
              </w:rPr>
            </w:r>
          </w:p>
        </w:tc>
        <w:tc>
          <w:tcPr>
            <w:tcW w:w="1744" w:type="dxa"/>
            <w:tcBorders>
              <w:top w:val="single" w:sz="13" w:space="0" w:color="C0C0C0"/>
              <w:left w:val="single" w:sz="6" w:space="0" w:color="000000"/>
              <w:bottom w:val="single" w:sz="6" w:space="0" w:color="000000"/>
              <w:right w:val="single" w:sz="6" w:space="0" w:color="000000"/>
            </w:tcBorders>
          </w:tcPr>
          <w:p>
            <w:pPr>
              <w:pStyle w:val="TableParagraph"/>
              <w:spacing w:line="240" w:lineRule="auto" w:before="50"/>
              <w:ind w:right="98"/>
              <w:jc w:val="right"/>
              <w:rPr>
                <w:rFonts w:ascii="Arial Narrow" w:hAnsi="Arial Narrow" w:cs="Arial Narrow" w:eastAsia="Arial Narrow" w:hint="default"/>
                <w:sz w:val="21"/>
                <w:szCs w:val="21"/>
              </w:rPr>
            </w:pPr>
            <w:r>
              <w:rPr>
                <w:rFonts w:ascii="Arial Narrow"/>
                <w:spacing w:val="-1"/>
                <w:sz w:val="21"/>
              </w:rPr>
              <w:t>923,385.90</w:t>
            </w:r>
          </w:p>
        </w:tc>
        <w:tc>
          <w:tcPr>
            <w:tcW w:w="1907" w:type="dxa"/>
            <w:tcBorders>
              <w:top w:val="single" w:sz="13" w:space="0" w:color="C0C0C0"/>
              <w:left w:val="single" w:sz="6" w:space="0" w:color="000000"/>
              <w:bottom w:val="single" w:sz="6" w:space="0" w:color="000000"/>
              <w:right w:val="single" w:sz="6" w:space="0" w:color="000000"/>
            </w:tcBorders>
          </w:tcPr>
          <w:p>
            <w:pPr>
              <w:pStyle w:val="TableParagraph"/>
              <w:spacing w:line="240" w:lineRule="auto" w:before="50"/>
              <w:ind w:right="97"/>
              <w:jc w:val="right"/>
              <w:rPr>
                <w:rFonts w:ascii="Arial Narrow" w:hAnsi="Arial Narrow" w:cs="Arial Narrow" w:eastAsia="Arial Narrow" w:hint="default"/>
                <w:sz w:val="21"/>
                <w:szCs w:val="21"/>
              </w:rPr>
            </w:pPr>
            <w:r>
              <w:rPr>
                <w:rFonts w:ascii="Arial Narrow"/>
                <w:spacing w:val="-1"/>
                <w:sz w:val="21"/>
              </w:rPr>
              <w:t>17,544,332.09</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1,435,241.30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6.87%</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143,524.13</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1,291,717.17</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325,326.00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1.56%</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162,663.00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162,663.00</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676,227.00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3.23%</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676,227.00</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r>
      <w:tr>
        <w:trPr>
          <w:trHeight w:val="345"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9"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20,904,512.29</w:t>
            </w:r>
          </w:p>
        </w:tc>
        <w:tc>
          <w:tcPr>
            <w:tcW w:w="1318" w:type="dxa"/>
            <w:tcBorders>
              <w:top w:val="single" w:sz="6" w:space="0" w:color="000000"/>
              <w:left w:val="single" w:sz="6" w:space="0" w:color="000000"/>
              <w:bottom w:val="single" w:sz="9" w:space="0" w:color="C0C0C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9" w:space="0" w:color="C0C0C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1,905,800.03</w:t>
            </w:r>
          </w:p>
        </w:tc>
        <w:tc>
          <w:tcPr>
            <w:tcW w:w="1907" w:type="dxa"/>
            <w:tcBorders>
              <w:top w:val="single" w:sz="6" w:space="0" w:color="000000"/>
              <w:left w:val="single" w:sz="6" w:space="0" w:color="000000"/>
              <w:bottom w:val="single" w:sz="9" w:space="0" w:color="C0C0C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18,998,712.26</w:t>
            </w:r>
          </w:p>
        </w:tc>
      </w:tr>
      <w:tr>
        <w:trPr>
          <w:trHeight w:val="310" w:hRule="exact"/>
        </w:trPr>
        <w:tc>
          <w:tcPr>
            <w:tcW w:w="1969"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23"/>
              <w:ind w:left="556" w:right="0"/>
              <w:jc w:val="left"/>
              <w:rPr>
                <w:rFonts w:ascii="宋体" w:hAnsi="宋体" w:cs="宋体" w:eastAsia="宋体" w:hint="default"/>
                <w:sz w:val="21"/>
                <w:szCs w:val="21"/>
              </w:rPr>
            </w:pPr>
            <w:r>
              <w:rPr>
                <w:rFonts w:ascii="宋体" w:hAnsi="宋体" w:cs="宋体" w:eastAsia="宋体" w:hint="default"/>
                <w:sz w:val="21"/>
                <w:szCs w:val="21"/>
              </w:rPr>
              <w:t>账龄结构</w:t>
            </w:r>
          </w:p>
        </w:tc>
        <w:tc>
          <w:tcPr>
            <w:tcW w:w="6875" w:type="dxa"/>
            <w:gridSpan w:val="4"/>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3" w:lineRule="exact"/>
              <w:ind w:right="1"/>
              <w:jc w:val="center"/>
              <w:rPr>
                <w:rFonts w:ascii="宋体" w:hAnsi="宋体" w:cs="宋体" w:eastAsia="宋体" w:hint="default"/>
                <w:sz w:val="21"/>
                <w:szCs w:val="21"/>
              </w:rPr>
            </w:pPr>
            <w:r>
              <w:rPr>
                <w:rFonts w:ascii="宋体" w:hAnsi="宋体" w:cs="宋体" w:eastAsia="宋体" w:hint="default"/>
                <w:sz w:val="21"/>
                <w:szCs w:val="21"/>
              </w:rPr>
              <w:t>年初账面金额</w:t>
            </w:r>
          </w:p>
        </w:tc>
      </w:tr>
      <w:tr>
        <w:trPr>
          <w:trHeight w:val="299" w:hRule="exact"/>
        </w:trPr>
        <w:tc>
          <w:tcPr>
            <w:tcW w:w="1969" w:type="dxa"/>
            <w:vMerge/>
            <w:tcBorders>
              <w:left w:val="single" w:sz="6" w:space="0" w:color="000000"/>
              <w:bottom w:val="single" w:sz="6" w:space="0" w:color="000000"/>
              <w:right w:val="single" w:sz="6" w:space="0" w:color="000000"/>
            </w:tcBorders>
            <w:shd w:val="clear" w:color="auto" w:fill="C0C0C0"/>
          </w:tcPr>
          <w:p>
            <w:pP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left="735"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1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left="441"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left="44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90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left="735" w:right="0"/>
              <w:jc w:val="left"/>
              <w:rPr>
                <w:rFonts w:ascii="宋体" w:hAnsi="宋体" w:cs="宋体" w:eastAsia="宋体" w:hint="default"/>
                <w:sz w:val="21"/>
                <w:szCs w:val="21"/>
              </w:rPr>
            </w:pPr>
            <w:r>
              <w:rPr>
                <w:rFonts w:ascii="宋体" w:hAnsi="宋体" w:cs="宋体" w:eastAsia="宋体" w:hint="default"/>
                <w:sz w:val="21"/>
                <w:szCs w:val="21"/>
              </w:rPr>
              <w:t>净额</w:t>
            </w:r>
          </w:p>
        </w:tc>
      </w:tr>
      <w:tr>
        <w:trPr>
          <w:trHeight w:val="354"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7"/>
              <w:jc w:val="right"/>
              <w:rPr>
                <w:rFonts w:ascii="Arial Narrow" w:hAnsi="Arial Narrow" w:cs="Arial Narrow" w:eastAsia="Arial Narrow" w:hint="default"/>
                <w:sz w:val="21"/>
                <w:szCs w:val="21"/>
              </w:rPr>
            </w:pPr>
            <w:r>
              <w:rPr>
                <w:rFonts w:ascii="Arial Narrow"/>
                <w:spacing w:val="-1"/>
                <w:sz w:val="21"/>
              </w:rPr>
              <w:t>2,331,927.60</w:t>
            </w:r>
          </w:p>
        </w:tc>
        <w:tc>
          <w:tcPr>
            <w:tcW w:w="131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6"/>
              <w:jc w:val="right"/>
              <w:rPr>
                <w:rFonts w:ascii="Arial Narrow" w:hAnsi="Arial Narrow" w:cs="Arial Narrow" w:eastAsia="Arial Narrow" w:hint="default"/>
                <w:sz w:val="21"/>
                <w:szCs w:val="21"/>
              </w:rPr>
            </w:pPr>
            <w:r>
              <w:rPr>
                <w:rFonts w:ascii="Arial Narrow"/>
                <w:w w:val="95"/>
                <w:sz w:val="21"/>
              </w:rPr>
              <w:t>67.36%</w:t>
            </w:r>
            <w:r>
              <w:rPr>
                <w:rFonts w:ascii="Arial Narrow"/>
                <w:sz w:val="21"/>
              </w:rPr>
            </w:r>
          </w:p>
        </w:tc>
        <w:tc>
          <w:tcPr>
            <w:tcW w:w="1744"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7"/>
              <w:jc w:val="right"/>
              <w:rPr>
                <w:rFonts w:ascii="Arial Narrow" w:hAnsi="Arial Narrow" w:cs="Arial Narrow" w:eastAsia="Arial Narrow" w:hint="default"/>
                <w:sz w:val="21"/>
                <w:szCs w:val="21"/>
              </w:rPr>
            </w:pPr>
            <w:r>
              <w:rPr>
                <w:rFonts w:ascii="Arial Narrow"/>
                <w:spacing w:val="-2"/>
                <w:sz w:val="21"/>
              </w:rPr>
              <w:t>116,596.38</w:t>
            </w:r>
          </w:p>
        </w:tc>
        <w:tc>
          <w:tcPr>
            <w:tcW w:w="1907"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97"/>
              <w:jc w:val="right"/>
              <w:rPr>
                <w:rFonts w:ascii="Arial Narrow" w:hAnsi="Arial Narrow" w:cs="Arial Narrow" w:eastAsia="Arial Narrow" w:hint="default"/>
                <w:sz w:val="21"/>
                <w:szCs w:val="21"/>
              </w:rPr>
            </w:pPr>
            <w:r>
              <w:rPr>
                <w:rFonts w:ascii="Arial Narrow"/>
                <w:spacing w:val="-1"/>
                <w:sz w:val="21"/>
              </w:rPr>
              <w:t>2,215,331.22</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403,750.90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spacing w:val="-3"/>
                <w:sz w:val="21"/>
              </w:rPr>
              <w:t>11.66%</w:t>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40,375.09</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363,375.81</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w:t>
            </w:r>
            <w:r>
              <w:rPr>
                <w:rFonts w:ascii="Arial Narrow" w:hAnsi="Arial Narrow" w:cs="Arial Narrow" w:eastAsia="Arial Narrow" w:hint="default"/>
                <w:sz w:val="21"/>
                <w:szCs w:val="21"/>
              </w:rPr>
              <w:t>3</w:t>
            </w:r>
            <w:r>
              <w:rPr>
                <w:rFonts w:ascii="Arial Narrow" w:hAnsi="Arial Narrow" w:cs="Arial Narrow" w:eastAsia="Arial Narrow" w:hint="default"/>
                <w:spacing w:val="3"/>
                <w:sz w:val="21"/>
                <w:szCs w:val="21"/>
              </w:rPr>
              <w:t> </w:t>
            </w:r>
            <w:r>
              <w:rPr>
                <w:rFonts w:ascii="宋体" w:hAnsi="宋体" w:cs="宋体" w:eastAsia="宋体" w:hint="default"/>
                <w:sz w:val="21"/>
                <w:szCs w:val="21"/>
              </w:rPr>
              <w:t>年（含）</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487,823.58</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14.09%</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2"/>
                <w:sz w:val="21"/>
              </w:rPr>
              <w:t>243,911.79</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2"/>
                <w:sz w:val="21"/>
              </w:rPr>
              <w:t>243,911.79</w:t>
            </w:r>
          </w:p>
        </w:tc>
      </w:tr>
      <w:tr>
        <w:trPr>
          <w:trHeight w:val="328"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年以上</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238,403.42</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6.89%</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238,403.42</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1969"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3,461,905.50</w:t>
            </w:r>
          </w:p>
        </w:tc>
        <w:tc>
          <w:tcPr>
            <w:tcW w:w="13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7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639,286.68</w:t>
            </w:r>
          </w:p>
        </w:tc>
        <w:tc>
          <w:tcPr>
            <w:tcW w:w="19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2,822,618.82</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80"/>
        </w:sectPr>
      </w:pPr>
    </w:p>
    <w:p>
      <w:pPr>
        <w:spacing w:before="6"/>
        <w:ind w:left="640"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、其他应收款前五名列示如下：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2321"/>
        <w:gridCol w:w="1384"/>
        <w:gridCol w:w="1244"/>
        <w:gridCol w:w="1523"/>
        <w:gridCol w:w="1006"/>
        <w:gridCol w:w="1367"/>
      </w:tblGrid>
      <w:tr>
        <w:trPr>
          <w:trHeight w:val="832" w:hRule="exact"/>
        </w:trPr>
        <w:tc>
          <w:tcPr>
            <w:tcW w:w="232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733"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38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63" w:right="0"/>
              <w:jc w:val="left"/>
              <w:rPr>
                <w:rFonts w:ascii="宋体" w:hAnsi="宋体" w:cs="宋体" w:eastAsia="宋体" w:hint="default"/>
                <w:sz w:val="21"/>
                <w:szCs w:val="21"/>
              </w:rPr>
            </w:pPr>
            <w:r>
              <w:rPr>
                <w:rFonts w:ascii="宋体" w:hAnsi="宋体" w:cs="宋体" w:eastAsia="宋体" w:hint="default"/>
                <w:sz w:val="21"/>
                <w:szCs w:val="21"/>
              </w:rPr>
              <w:t>款项内容</w:t>
            </w:r>
          </w:p>
        </w:tc>
        <w:tc>
          <w:tcPr>
            <w:tcW w:w="124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404" w:right="193" w:hanging="210"/>
              <w:jc w:val="left"/>
              <w:rPr>
                <w:rFonts w:ascii="宋体" w:hAnsi="宋体" w:cs="宋体" w:eastAsia="宋体" w:hint="default"/>
                <w:sz w:val="21"/>
                <w:szCs w:val="21"/>
              </w:rPr>
            </w:pPr>
            <w:r>
              <w:rPr>
                <w:rFonts w:ascii="宋体" w:hAnsi="宋体" w:cs="宋体" w:eastAsia="宋体" w:hint="default"/>
                <w:sz w:val="21"/>
                <w:szCs w:val="21"/>
              </w:rPr>
              <w:t>与本公司 关系</w:t>
            </w:r>
          </w:p>
        </w:tc>
        <w:tc>
          <w:tcPr>
            <w:tcW w:w="152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2"/>
              <w:jc w:val="right"/>
              <w:rPr>
                <w:rFonts w:ascii="宋体" w:hAnsi="宋体" w:cs="宋体" w:eastAsia="宋体" w:hint="default"/>
                <w:sz w:val="21"/>
                <w:szCs w:val="21"/>
              </w:rPr>
            </w:pPr>
            <w:r>
              <w:rPr>
                <w:rFonts w:ascii="宋体" w:hAnsi="宋体" w:cs="宋体" w:eastAsia="宋体" w:hint="default"/>
                <w:sz w:val="21"/>
                <w:szCs w:val="21"/>
              </w:rPr>
              <w:t>年末账面余额</w:t>
            </w:r>
          </w:p>
        </w:tc>
        <w:tc>
          <w:tcPr>
            <w:tcW w:w="100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136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left="151" w:right="0"/>
              <w:jc w:val="left"/>
              <w:rPr>
                <w:rFonts w:ascii="宋体" w:hAnsi="宋体" w:cs="宋体" w:eastAsia="宋体" w:hint="default"/>
                <w:sz w:val="21"/>
                <w:szCs w:val="21"/>
              </w:rPr>
            </w:pPr>
            <w:r>
              <w:rPr>
                <w:rFonts w:ascii="宋体" w:hAnsi="宋体" w:cs="宋体" w:eastAsia="宋体" w:hint="default"/>
                <w:sz w:val="21"/>
                <w:szCs w:val="21"/>
              </w:rPr>
              <w:t>占其他应收</w:t>
            </w:r>
          </w:p>
          <w:p>
            <w:pPr>
              <w:pStyle w:val="TableParagraph"/>
              <w:spacing w:line="272" w:lineRule="exact" w:before="26"/>
              <w:ind w:left="284" w:right="149" w:hanging="134"/>
              <w:jc w:val="left"/>
              <w:rPr>
                <w:rFonts w:ascii="宋体" w:hAnsi="宋体" w:cs="宋体" w:eastAsia="宋体" w:hint="default"/>
                <w:sz w:val="21"/>
                <w:szCs w:val="21"/>
              </w:rPr>
            </w:pPr>
            <w:r>
              <w:rPr>
                <w:rFonts w:ascii="宋体" w:hAnsi="宋体" w:cs="宋体" w:eastAsia="宋体" w:hint="default"/>
                <w:sz w:val="21"/>
                <w:szCs w:val="21"/>
              </w:rPr>
              <w:t>款总额的比 例（</w:t>
            </w:r>
            <w:r>
              <w:rPr>
                <w:rFonts w:ascii="Arial Narrow" w:hAnsi="Arial Narrow" w:cs="Arial Narrow" w:eastAsia="Arial Narrow" w:hint="default"/>
                <w:sz w:val="21"/>
                <w:szCs w:val="21"/>
              </w:rPr>
              <w:t>%</w:t>
            </w:r>
            <w:r>
              <w:rPr>
                <w:rFonts w:ascii="宋体" w:hAnsi="宋体" w:cs="宋体" w:eastAsia="宋体" w:hint="default"/>
                <w:sz w:val="21"/>
                <w:szCs w:val="21"/>
              </w:rPr>
              <w:t>）</w:t>
            </w:r>
          </w:p>
        </w:tc>
      </w:tr>
      <w:tr>
        <w:trPr>
          <w:trHeight w:val="560"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厦门火炬集团</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购房意向保</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证金</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Arial Narrow" w:hAnsi="Arial Narrow" w:cs="Arial Narrow" w:eastAsia="Arial Narrow" w:hint="default"/>
                <w:sz w:val="21"/>
                <w:szCs w:val="21"/>
              </w:rPr>
            </w:pPr>
            <w:r>
              <w:rPr>
                <w:rFonts w:ascii="Arial Narrow"/>
                <w:spacing w:val="-1"/>
                <w:sz w:val="21"/>
              </w:rPr>
              <w:t>10,000,000.00</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left="8"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Arial Narrow" w:hAnsi="Arial Narrow" w:cs="Arial Narrow" w:eastAsia="Arial Narrow" w:hint="default"/>
                <w:sz w:val="21"/>
                <w:szCs w:val="21"/>
              </w:rPr>
            </w:pPr>
            <w:r>
              <w:rPr>
                <w:rFonts w:ascii="Arial Narrow"/>
                <w:w w:val="95"/>
                <w:sz w:val="21"/>
              </w:rPr>
              <w:t>39.96%</w:t>
            </w:r>
            <w:r>
              <w:rPr>
                <w:rFonts w:ascii="Arial Narrow"/>
                <w:sz w:val="21"/>
              </w:rPr>
            </w:r>
          </w:p>
        </w:tc>
      </w:tr>
      <w:tr>
        <w:trPr>
          <w:trHeight w:val="560"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厦门市国税局直属局</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应收增值税</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退税款</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2"/>
                <w:sz w:val="21"/>
              </w:rPr>
              <w:t>3,309,011.60</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8"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Arial Narrow" w:hAnsi="Arial Narrow" w:cs="Arial Narrow" w:eastAsia="Arial Narrow" w:hint="default"/>
                <w:sz w:val="21"/>
                <w:szCs w:val="21"/>
              </w:rPr>
            </w:pPr>
            <w:r>
              <w:rPr>
                <w:rFonts w:ascii="Arial Narrow"/>
                <w:w w:val="95"/>
                <w:sz w:val="21"/>
              </w:rPr>
              <w:t>13.22%</w:t>
            </w:r>
            <w:r>
              <w:rPr>
                <w:rFonts w:ascii="Arial Narrow"/>
                <w:sz w:val="21"/>
              </w:rPr>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云南省公安厅</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1,000,000.00</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8"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4.00%</w:t>
            </w:r>
            <w:r>
              <w:rPr>
                <w:rFonts w:ascii="Arial Narrow"/>
                <w:sz w:val="21"/>
              </w:rPr>
            </w:r>
          </w:p>
        </w:tc>
      </w:tr>
      <w:tr>
        <w:trPr>
          <w:trHeight w:val="328"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广西省公安厅</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1,000,000.00</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8"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4.00%</w:t>
            </w:r>
            <w:r>
              <w:rPr>
                <w:rFonts w:ascii="Arial Narrow"/>
                <w:sz w:val="21"/>
              </w:rPr>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浙江省嘉兴市公安局</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100" w:right="0"/>
              <w:jc w:val="left"/>
              <w:rPr>
                <w:rFonts w:ascii="宋体" w:hAnsi="宋体" w:cs="宋体" w:eastAsia="宋体" w:hint="default"/>
                <w:sz w:val="21"/>
                <w:szCs w:val="21"/>
              </w:rPr>
            </w:pPr>
            <w:r>
              <w:rPr>
                <w:rFonts w:ascii="宋体" w:hAnsi="宋体" w:cs="宋体" w:eastAsia="宋体" w:hint="default"/>
                <w:sz w:val="21"/>
                <w:szCs w:val="21"/>
              </w:rPr>
              <w:t>质保金</w:t>
            </w:r>
          </w:p>
        </w:tc>
        <w:tc>
          <w:tcPr>
            <w:tcW w:w="12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9"/>
              <w:jc w:val="right"/>
              <w:rPr>
                <w:rFonts w:ascii="Arial Narrow" w:hAnsi="Arial Narrow" w:cs="Arial Narrow" w:eastAsia="Arial Narrow" w:hint="default"/>
                <w:sz w:val="21"/>
                <w:szCs w:val="21"/>
              </w:rPr>
            </w:pPr>
            <w:r>
              <w:rPr>
                <w:rFonts w:ascii="Arial Narrow"/>
                <w:spacing w:val="-1"/>
                <w:sz w:val="21"/>
              </w:rPr>
              <w:t>640,000.00</w:t>
            </w:r>
          </w:p>
        </w:tc>
        <w:tc>
          <w:tcPr>
            <w:tcW w:w="100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8" w:right="0"/>
              <w:jc w:val="center"/>
              <w:rPr>
                <w:rFonts w:ascii="宋体" w:hAnsi="宋体" w:cs="宋体" w:eastAsia="宋体" w:hint="default"/>
                <w:sz w:val="21"/>
                <w:szCs w:val="21"/>
              </w:rPr>
            </w:pPr>
            <w:r>
              <w:rPr>
                <w:rFonts w:ascii="Arial Narrow" w:hAnsi="Arial Narrow" w:cs="Arial Narrow" w:eastAsia="Arial Narrow" w:hint="default"/>
                <w:sz w:val="21"/>
                <w:szCs w:val="21"/>
              </w:rPr>
              <w:t>1</w:t>
            </w:r>
            <w:r>
              <w:rPr>
                <w:rFonts w:ascii="Arial Narrow" w:hAnsi="Arial Narrow" w:cs="Arial Narrow" w:eastAsia="Arial Narrow" w:hint="default"/>
                <w:spacing w:val="5"/>
                <w:sz w:val="21"/>
                <w:szCs w:val="21"/>
              </w:rPr>
              <w:t> </w:t>
            </w:r>
            <w:r>
              <w:rPr>
                <w:rFonts w:ascii="宋体" w:hAnsi="宋体" w:cs="宋体" w:eastAsia="宋体" w:hint="default"/>
                <w:sz w:val="21"/>
                <w:szCs w:val="21"/>
              </w:rPr>
              <w:t>年以内</w:t>
            </w: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2.56%</w:t>
            </w:r>
            <w:r>
              <w:rPr>
                <w:rFonts w:ascii="Arial Narrow"/>
                <w:sz w:val="21"/>
              </w:rPr>
            </w:r>
          </w:p>
        </w:tc>
      </w:tr>
      <w:tr>
        <w:trPr>
          <w:trHeight w:val="326" w:hRule="exact"/>
        </w:trPr>
        <w:tc>
          <w:tcPr>
            <w:tcW w:w="23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84" w:type="dxa"/>
            <w:tcBorders>
              <w:top w:val="single" w:sz="6" w:space="0" w:color="000000"/>
              <w:left w:val="single" w:sz="6" w:space="0" w:color="000000"/>
              <w:bottom w:val="single" w:sz="6" w:space="0" w:color="000000"/>
              <w:right w:val="single" w:sz="6" w:space="0" w:color="000000"/>
            </w:tcBorders>
          </w:tcPr>
          <w:p>
            <w:pPr/>
          </w:p>
        </w:tc>
        <w:tc>
          <w:tcPr>
            <w:tcW w:w="1244" w:type="dxa"/>
            <w:tcBorders>
              <w:top w:val="single" w:sz="6" w:space="0" w:color="000000"/>
              <w:left w:val="single" w:sz="6" w:space="0" w:color="000000"/>
              <w:bottom w:val="single" w:sz="6" w:space="0" w:color="000000"/>
              <w:right w:val="single" w:sz="6" w:space="0" w:color="000000"/>
            </w:tcBorders>
          </w:tcPr>
          <w:p>
            <w:pPr/>
          </w:p>
        </w:tc>
        <w:tc>
          <w:tcPr>
            <w:tcW w:w="15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2"/>
                <w:sz w:val="21"/>
              </w:rPr>
              <w:t>15,949,011.60</w:t>
            </w:r>
          </w:p>
        </w:tc>
        <w:tc>
          <w:tcPr>
            <w:tcW w:w="1006" w:type="dxa"/>
            <w:tcBorders>
              <w:top w:val="single" w:sz="6" w:space="0" w:color="000000"/>
              <w:left w:val="single" w:sz="6" w:space="0" w:color="000000"/>
              <w:bottom w:val="single" w:sz="6" w:space="0" w:color="000000"/>
              <w:right w:val="single" w:sz="6" w:space="0" w:color="000000"/>
            </w:tcBorders>
          </w:tcPr>
          <w:p>
            <w:pPr/>
          </w:p>
        </w:tc>
        <w:tc>
          <w:tcPr>
            <w:tcW w:w="13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63.74%</w:t>
            </w:r>
            <w:r>
              <w:rPr>
                <w:rFonts w:ascii="Arial Narrow"/>
                <w:sz w:val="21"/>
              </w:rPr>
            </w:r>
          </w:p>
        </w:tc>
      </w:tr>
    </w:tbl>
    <w:p>
      <w:pPr>
        <w:spacing w:before="87"/>
        <w:ind w:left="640" w:right="180" w:firstLine="0"/>
        <w:jc w:val="left"/>
        <w:rPr>
          <w:rFonts w:ascii="宋体" w:hAnsi="宋体" w:cs="宋体" w:eastAsia="宋体" w:hint="default"/>
          <w:sz w:val="21"/>
          <w:szCs w:val="21"/>
        </w:rPr>
      </w:pPr>
      <w:r>
        <w:rPr>
          <w:rFonts w:ascii="Arial Narrow" w:hAnsi="Arial Narrow" w:cs="Arial Narrow" w:eastAsia="Arial Narrow" w:hint="default"/>
          <w:spacing w:val="-4"/>
          <w:sz w:val="21"/>
          <w:szCs w:val="21"/>
        </w:rPr>
        <w:t>3</w:t>
      </w:r>
      <w:r>
        <w:rPr>
          <w:rFonts w:ascii="宋体" w:hAnsi="宋体" w:cs="宋体" w:eastAsia="宋体" w:hint="default"/>
          <w:spacing w:val="-4"/>
          <w:sz w:val="21"/>
          <w:szCs w:val="21"/>
        </w:rPr>
        <w:t>、截至</w:t>
      </w:r>
      <w:r>
        <w:rPr>
          <w:rFonts w:ascii="宋体" w:hAnsi="宋体" w:cs="宋体" w:eastAsia="宋体" w:hint="default"/>
          <w:spacing w:val="-57"/>
          <w:sz w:val="21"/>
          <w:szCs w:val="21"/>
        </w:rPr>
        <w:t> </w:t>
      </w:r>
      <w:r>
        <w:rPr>
          <w:rFonts w:ascii="Arial Narrow" w:hAnsi="Arial Narrow" w:cs="Arial Narrow" w:eastAsia="Arial Narrow" w:hint="default"/>
          <w:spacing w:val="-4"/>
          <w:sz w:val="21"/>
          <w:szCs w:val="21"/>
        </w:rPr>
        <w:t>2011</w:t>
      </w:r>
      <w:r>
        <w:rPr>
          <w:rFonts w:ascii="Arial Narrow" w:hAnsi="Arial Narrow" w:cs="Arial Narrow" w:eastAsia="Arial Narrow"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Arial Narrow" w:hAnsi="Arial Narrow" w:cs="Arial Narrow" w:eastAsia="Arial Narrow" w:hint="default"/>
          <w:sz w:val="21"/>
          <w:szCs w:val="21"/>
        </w:rPr>
        <w:t>12</w:t>
      </w:r>
      <w:r>
        <w:rPr>
          <w:rFonts w:ascii="Arial Narrow" w:hAnsi="Arial Narrow" w:cs="Arial Narrow" w:eastAsia="Arial Narrow"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7"/>
          <w:sz w:val="21"/>
          <w:szCs w:val="21"/>
        </w:rPr>
        <w:t> </w:t>
      </w:r>
      <w:r>
        <w:rPr>
          <w:rFonts w:ascii="Arial Narrow" w:hAnsi="Arial Narrow" w:cs="Arial Narrow" w:eastAsia="Arial Narrow" w:hint="default"/>
          <w:sz w:val="21"/>
          <w:szCs w:val="21"/>
        </w:rPr>
        <w:t>31</w:t>
      </w:r>
      <w:r>
        <w:rPr>
          <w:rFonts w:ascii="Arial Narrow" w:hAnsi="Arial Narrow" w:cs="Arial Narrow" w:eastAsia="Arial Narrow" w:hint="default"/>
          <w:spacing w:val="1"/>
          <w:sz w:val="21"/>
          <w:szCs w:val="21"/>
        </w:rPr>
        <w:t> </w:t>
      </w:r>
      <w:r>
        <w:rPr>
          <w:rFonts w:ascii="宋体" w:hAnsi="宋体" w:cs="宋体" w:eastAsia="宋体" w:hint="default"/>
          <w:sz w:val="21"/>
          <w:szCs w:val="21"/>
        </w:rPr>
        <w:t>日止，其他应收款余额中无持有本公司</w:t>
      </w:r>
      <w:r>
        <w:rPr>
          <w:rFonts w:ascii="宋体" w:hAnsi="宋体" w:cs="宋体" w:eastAsia="宋体" w:hint="default"/>
          <w:spacing w:val="-57"/>
          <w:sz w:val="21"/>
          <w:szCs w:val="21"/>
        </w:rPr>
        <w:t> </w:t>
      </w:r>
      <w:r>
        <w:rPr>
          <w:rFonts w:ascii="Arial Narrow" w:hAnsi="Arial Narrow" w:cs="Arial Narrow" w:eastAsia="Arial Narrow" w:hint="default"/>
          <w:spacing w:val="-5"/>
          <w:sz w:val="21"/>
          <w:szCs w:val="21"/>
        </w:rPr>
        <w:t>5%</w:t>
      </w:r>
      <w:r>
        <w:rPr>
          <w:rFonts w:ascii="宋体" w:hAnsi="宋体" w:cs="宋体" w:eastAsia="宋体" w:hint="default"/>
          <w:spacing w:val="-5"/>
          <w:sz w:val="21"/>
          <w:szCs w:val="21"/>
        </w:rPr>
        <w:t>（含</w:t>
      </w:r>
      <w:r>
        <w:rPr>
          <w:rFonts w:ascii="宋体" w:hAnsi="宋体" w:cs="宋体" w:eastAsia="宋体" w:hint="default"/>
          <w:spacing w:val="-57"/>
          <w:sz w:val="21"/>
          <w:szCs w:val="21"/>
        </w:rPr>
        <w:t> </w:t>
      </w:r>
      <w:r>
        <w:rPr>
          <w:rFonts w:ascii="Arial Narrow" w:hAnsi="Arial Narrow" w:cs="Arial Narrow" w:eastAsia="Arial Narrow" w:hint="default"/>
          <w:sz w:val="21"/>
          <w:szCs w:val="21"/>
        </w:rPr>
        <w:t>5%</w:t>
      </w:r>
      <w:r>
        <w:rPr>
          <w:rFonts w:ascii="宋体" w:hAnsi="宋体" w:cs="宋体" w:eastAsia="宋体" w:hint="default"/>
          <w:sz w:val="21"/>
          <w:szCs w:val="21"/>
        </w:rPr>
        <w:t>）以上表决权股</w:t>
      </w:r>
    </w:p>
    <w:p>
      <w:pPr>
        <w:spacing w:before="120"/>
        <w:ind w:left="219" w:right="180" w:firstLine="0"/>
        <w:jc w:val="left"/>
        <w:rPr>
          <w:rFonts w:ascii="宋体" w:hAnsi="宋体" w:cs="宋体" w:eastAsia="宋体" w:hint="default"/>
          <w:sz w:val="21"/>
          <w:szCs w:val="21"/>
        </w:rPr>
      </w:pPr>
      <w:r>
        <w:rPr>
          <w:rFonts w:ascii="宋体" w:hAnsi="宋体" w:cs="宋体" w:eastAsia="宋体" w:hint="default"/>
          <w:sz w:val="21"/>
          <w:szCs w:val="21"/>
        </w:rPr>
        <w:t>份的股东单位欠款；应收子公司厦门市美亚柏科信息安全研究所有限公司</w:t>
      </w:r>
      <w:r>
        <w:rPr>
          <w:rFonts w:ascii="宋体" w:hAnsi="宋体" w:cs="宋体" w:eastAsia="宋体" w:hint="default"/>
          <w:spacing w:val="-56"/>
          <w:sz w:val="21"/>
          <w:szCs w:val="21"/>
        </w:rPr>
        <w:t> </w:t>
      </w:r>
      <w:r>
        <w:rPr>
          <w:rFonts w:ascii="Arial Narrow" w:hAnsi="Arial Narrow" w:cs="Arial Narrow" w:eastAsia="Arial Narrow" w:hint="default"/>
          <w:sz w:val="21"/>
          <w:szCs w:val="21"/>
        </w:rPr>
        <w:t>68,535.39</w:t>
      </w:r>
      <w:r>
        <w:rPr>
          <w:rFonts w:ascii="Arial Narrow" w:hAnsi="Arial Narrow" w:cs="Arial Narrow" w:eastAsia="Arial Narrow" w:hint="default"/>
          <w:spacing w:val="1"/>
          <w:sz w:val="21"/>
          <w:szCs w:val="21"/>
        </w:rPr>
        <w:t> </w:t>
      </w:r>
      <w:r>
        <w:rPr>
          <w:rFonts w:ascii="宋体" w:hAnsi="宋体" w:cs="宋体" w:eastAsia="宋体" w:hint="default"/>
          <w:sz w:val="21"/>
          <w:szCs w:val="21"/>
        </w:rPr>
        <w:t>元，杭州创</w:t>
      </w:r>
    </w:p>
    <w:p>
      <w:pPr>
        <w:spacing w:before="118"/>
        <w:ind w:left="219" w:right="180" w:firstLine="0"/>
        <w:jc w:val="left"/>
        <w:rPr>
          <w:rFonts w:ascii="宋体" w:hAnsi="宋体" w:cs="宋体" w:eastAsia="宋体" w:hint="default"/>
          <w:sz w:val="21"/>
          <w:szCs w:val="21"/>
        </w:rPr>
      </w:pPr>
      <w:r>
        <w:rPr>
          <w:rFonts w:ascii="宋体" w:hAnsi="宋体" w:cs="宋体" w:eastAsia="宋体" w:hint="default"/>
          <w:sz w:val="21"/>
          <w:szCs w:val="21"/>
        </w:rPr>
        <w:t>聚科技有限公司</w:t>
      </w:r>
      <w:r>
        <w:rPr>
          <w:rFonts w:ascii="宋体" w:hAnsi="宋体" w:cs="宋体" w:eastAsia="宋体" w:hint="default"/>
          <w:spacing w:val="-55"/>
          <w:sz w:val="21"/>
          <w:szCs w:val="21"/>
        </w:rPr>
        <w:t> </w:t>
      </w:r>
      <w:r>
        <w:rPr>
          <w:rFonts w:ascii="Arial Narrow" w:hAnsi="Arial Narrow" w:cs="Arial Narrow" w:eastAsia="Arial Narrow" w:hint="default"/>
          <w:sz w:val="21"/>
          <w:szCs w:val="21"/>
        </w:rPr>
        <w:t>70,401.15</w:t>
      </w:r>
      <w:r>
        <w:rPr>
          <w:rFonts w:ascii="Arial Narrow" w:hAnsi="Arial Narrow" w:cs="Arial Narrow" w:eastAsia="Arial Narrow" w:hint="default"/>
          <w:spacing w:val="2"/>
          <w:sz w:val="21"/>
          <w:szCs w:val="21"/>
        </w:rPr>
        <w:t> </w:t>
      </w:r>
      <w:r>
        <w:rPr>
          <w:rFonts w:ascii="宋体" w:hAnsi="宋体" w:cs="宋体" w:eastAsia="宋体" w:hint="default"/>
          <w:sz w:val="21"/>
          <w:szCs w:val="21"/>
        </w:rPr>
        <w:t>元。</w:t>
      </w:r>
    </w:p>
    <w:p>
      <w:pPr>
        <w:spacing w:before="118"/>
        <w:ind w:left="639" w:right="180" w:firstLine="0"/>
        <w:jc w:val="left"/>
        <w:rPr>
          <w:rFonts w:ascii="Arial Narrow" w:hAnsi="Arial Narrow" w:cs="Arial Narrow" w:eastAsia="Arial Narrow" w:hint="default"/>
          <w:sz w:val="21"/>
          <w:szCs w:val="21"/>
        </w:rPr>
      </w:pPr>
      <w:r>
        <w:rPr>
          <w:rFonts w:ascii="Arial Narrow" w:hAnsi="Arial Narrow" w:cs="Arial Narrow" w:eastAsia="Arial Narrow" w:hint="default"/>
          <w:w w:val="99"/>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年末其</w:t>
      </w:r>
      <w:r>
        <w:rPr>
          <w:rFonts w:ascii="宋体" w:hAnsi="宋体" w:cs="宋体" w:eastAsia="宋体" w:hint="default"/>
          <w:spacing w:val="-2"/>
          <w:sz w:val="21"/>
          <w:szCs w:val="21"/>
        </w:rPr>
        <w:t>他</w:t>
      </w:r>
      <w:r>
        <w:rPr>
          <w:rFonts w:ascii="宋体" w:hAnsi="宋体" w:cs="宋体" w:eastAsia="宋体" w:hint="default"/>
          <w:sz w:val="21"/>
          <w:szCs w:val="21"/>
        </w:rPr>
        <w:t>应收款余额较年初增加</w:t>
      </w:r>
      <w:r>
        <w:rPr>
          <w:rFonts w:ascii="宋体" w:hAnsi="宋体" w:cs="宋体" w:eastAsia="宋体" w:hint="default"/>
          <w:spacing w:val="-63"/>
          <w:sz w:val="21"/>
          <w:szCs w:val="21"/>
        </w:rPr>
        <w:t> </w:t>
      </w:r>
      <w:r>
        <w:rPr>
          <w:rFonts w:ascii="Arial Narrow" w:hAnsi="Arial Narrow" w:cs="Arial Narrow" w:eastAsia="Arial Narrow" w:hint="default"/>
          <w:sz w:val="21"/>
          <w:szCs w:val="21"/>
        </w:rPr>
        <w:t>259.07</w:t>
      </w:r>
      <w:r>
        <w:rPr>
          <w:rFonts w:ascii="Arial Narrow" w:hAnsi="Arial Narrow" w:cs="Arial Narrow" w:eastAsia="Arial Narrow" w:hint="default"/>
          <w:spacing w:val="-2"/>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主要系新增应收厦门火炬集团意向保证金</w:t>
      </w:r>
      <w:r>
        <w:rPr>
          <w:rFonts w:ascii="宋体" w:hAnsi="宋体" w:cs="宋体" w:eastAsia="宋体" w:hint="default"/>
          <w:spacing w:val="-63"/>
          <w:sz w:val="21"/>
          <w:szCs w:val="21"/>
        </w:rPr>
        <w:t> </w:t>
      </w:r>
      <w:r>
        <w:rPr>
          <w:rFonts w:ascii="Arial Narrow" w:hAnsi="Arial Narrow" w:cs="Arial Narrow" w:eastAsia="Arial Narrow" w:hint="default"/>
          <w:w w:val="99"/>
          <w:sz w:val="21"/>
          <w:szCs w:val="21"/>
        </w:rPr>
        <w:t>1,000</w:t>
      </w:r>
      <w:r>
        <w:rPr>
          <w:rFonts w:ascii="Arial Narrow" w:hAnsi="Arial Narrow" w:cs="Arial Narrow" w:eastAsia="Arial Narrow" w:hint="default"/>
          <w:sz w:val="21"/>
          <w:szCs w:val="21"/>
        </w:rPr>
      </w:r>
    </w:p>
    <w:p>
      <w:pPr>
        <w:spacing w:before="120"/>
        <w:ind w:left="219" w:right="180" w:firstLine="0"/>
        <w:jc w:val="left"/>
        <w:rPr>
          <w:rFonts w:ascii="宋体" w:hAnsi="宋体" w:cs="宋体" w:eastAsia="宋体" w:hint="default"/>
          <w:sz w:val="21"/>
          <w:szCs w:val="21"/>
        </w:rPr>
      </w:pPr>
      <w:r>
        <w:rPr>
          <w:rFonts w:ascii="宋体" w:hAnsi="宋体" w:cs="宋体" w:eastAsia="宋体" w:hint="default"/>
          <w:sz w:val="21"/>
          <w:szCs w:val="21"/>
        </w:rPr>
        <w:t>万元及由于经营规模扩大相应的质保金、投标保证金及履约保证金增加所致。</w:t>
      </w:r>
    </w:p>
    <w:p>
      <w:pPr>
        <w:spacing w:line="240" w:lineRule="auto" w:before="10"/>
        <w:rPr>
          <w:rFonts w:ascii="宋体" w:hAnsi="宋体" w:cs="宋体" w:eastAsia="宋体" w:hint="default"/>
          <w:sz w:val="14"/>
          <w:szCs w:val="14"/>
        </w:rPr>
      </w:pPr>
    </w:p>
    <w:p>
      <w:pPr>
        <w:tabs>
          <w:tab w:pos="1479" w:val="left" w:leader="none"/>
        </w:tabs>
        <w:spacing w:before="0"/>
        <w:ind w:left="639" w:right="180" w:firstLine="0"/>
        <w:jc w:val="left"/>
        <w:rPr>
          <w:rFonts w:ascii="宋体" w:hAnsi="宋体" w:cs="宋体" w:eastAsia="宋体" w:hint="default"/>
          <w:sz w:val="21"/>
          <w:szCs w:val="21"/>
        </w:rPr>
      </w:pPr>
      <w:r>
        <w:rPr>
          <w:rFonts w:ascii="宋体" w:hAnsi="宋体" w:cs="宋体" w:eastAsia="宋体" w:hint="default"/>
          <w:b/>
          <w:bCs/>
          <w:w w:val="95"/>
          <w:sz w:val="21"/>
          <w:szCs w:val="21"/>
        </w:rPr>
        <w:t>（三）</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11"/>
        <w:rPr>
          <w:rFonts w:ascii="宋体" w:hAnsi="宋体" w:cs="宋体" w:eastAsia="宋体" w:hint="default"/>
          <w:b/>
          <w:bCs/>
          <w:sz w:val="14"/>
          <w:szCs w:val="14"/>
        </w:rPr>
      </w:pPr>
    </w:p>
    <w:p>
      <w:pPr>
        <w:spacing w:before="0"/>
        <w:ind w:left="639"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、长期股权投资明细项目列示如下：</w:t>
      </w:r>
    </w:p>
    <w:p>
      <w:pPr>
        <w:spacing w:line="240" w:lineRule="auto" w:before="8"/>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2702"/>
        <w:gridCol w:w="1792"/>
        <w:gridCol w:w="1441"/>
        <w:gridCol w:w="1246"/>
        <w:gridCol w:w="1663"/>
      </w:tblGrid>
      <w:tr>
        <w:trPr>
          <w:trHeight w:val="300" w:hRule="exact"/>
        </w:trPr>
        <w:tc>
          <w:tcPr>
            <w:tcW w:w="27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9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258" w:right="0"/>
              <w:jc w:val="left"/>
              <w:rPr>
                <w:rFonts w:ascii="宋体" w:hAnsi="宋体" w:cs="宋体" w:eastAsia="宋体" w:hint="default"/>
                <w:sz w:val="21"/>
                <w:szCs w:val="21"/>
              </w:rPr>
            </w:pPr>
            <w:r>
              <w:rPr>
                <w:rFonts w:ascii="宋体" w:hAnsi="宋体" w:cs="宋体" w:eastAsia="宋体" w:hint="default"/>
                <w:sz w:val="21"/>
                <w:szCs w:val="21"/>
              </w:rPr>
              <w:t>年初账面余额</w:t>
            </w:r>
          </w:p>
        </w:tc>
        <w:tc>
          <w:tcPr>
            <w:tcW w:w="144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188" w:right="0"/>
              <w:jc w:val="left"/>
              <w:rPr>
                <w:rFonts w:ascii="宋体" w:hAnsi="宋体" w:cs="宋体" w:eastAsia="宋体" w:hint="default"/>
                <w:sz w:val="21"/>
                <w:szCs w:val="21"/>
              </w:rPr>
            </w:pPr>
            <w:r>
              <w:rPr>
                <w:rFonts w:ascii="宋体" w:hAnsi="宋体" w:cs="宋体" w:eastAsia="宋体" w:hint="default"/>
                <w:sz w:val="21"/>
                <w:szCs w:val="21"/>
              </w:rPr>
              <w:t>本年增加额</w:t>
            </w:r>
          </w:p>
        </w:tc>
        <w:tc>
          <w:tcPr>
            <w:tcW w:w="124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89"/>
              <w:jc w:val="right"/>
              <w:rPr>
                <w:rFonts w:ascii="宋体" w:hAnsi="宋体" w:cs="宋体" w:eastAsia="宋体" w:hint="default"/>
                <w:sz w:val="21"/>
                <w:szCs w:val="21"/>
              </w:rPr>
            </w:pPr>
            <w:r>
              <w:rPr>
                <w:rFonts w:ascii="宋体" w:hAnsi="宋体" w:cs="宋体" w:eastAsia="宋体" w:hint="default"/>
                <w:sz w:val="21"/>
                <w:szCs w:val="21"/>
              </w:rPr>
              <w:t>本年减少额</w:t>
            </w:r>
          </w:p>
        </w:tc>
        <w:tc>
          <w:tcPr>
            <w:tcW w:w="1663"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left="194" w:right="0"/>
              <w:jc w:val="left"/>
              <w:rPr>
                <w:rFonts w:ascii="宋体" w:hAnsi="宋体" w:cs="宋体" w:eastAsia="宋体" w:hint="default"/>
                <w:sz w:val="21"/>
                <w:szCs w:val="21"/>
              </w:rPr>
            </w:pPr>
            <w:r>
              <w:rPr>
                <w:rFonts w:ascii="宋体" w:hAnsi="宋体" w:cs="宋体" w:eastAsia="宋体" w:hint="default"/>
                <w:sz w:val="21"/>
                <w:szCs w:val="21"/>
              </w:rPr>
              <w:t>年末账面余额</w:t>
            </w:r>
          </w:p>
        </w:tc>
      </w:tr>
      <w:tr>
        <w:trPr>
          <w:trHeight w:val="354" w:hRule="exact"/>
        </w:trPr>
        <w:tc>
          <w:tcPr>
            <w:tcW w:w="270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2"/>
              <w:ind w:left="49" w:right="0"/>
              <w:jc w:val="left"/>
              <w:rPr>
                <w:rFonts w:ascii="宋体" w:hAnsi="宋体" w:cs="宋体" w:eastAsia="宋体" w:hint="default"/>
                <w:sz w:val="21"/>
                <w:szCs w:val="21"/>
              </w:rPr>
            </w:pPr>
            <w:r>
              <w:rPr>
                <w:rFonts w:ascii="宋体" w:hAnsi="宋体" w:cs="宋体" w:eastAsia="宋体" w:hint="default"/>
                <w:sz w:val="21"/>
                <w:szCs w:val="21"/>
              </w:rPr>
              <w:t>对子公司投资</w:t>
            </w:r>
          </w:p>
        </w:tc>
        <w:tc>
          <w:tcPr>
            <w:tcW w:w="179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48"/>
              <w:jc w:val="right"/>
              <w:rPr>
                <w:rFonts w:ascii="Arial Narrow" w:hAnsi="Arial Narrow" w:cs="Arial Narrow" w:eastAsia="Arial Narrow" w:hint="default"/>
                <w:sz w:val="21"/>
                <w:szCs w:val="21"/>
              </w:rPr>
            </w:pPr>
            <w:r>
              <w:rPr>
                <w:rFonts w:ascii="Arial Narrow"/>
                <w:spacing w:val="-1"/>
                <w:sz w:val="21"/>
              </w:rPr>
              <w:t>3,000,000.00</w:t>
            </w:r>
          </w:p>
        </w:tc>
        <w:tc>
          <w:tcPr>
            <w:tcW w:w="1441"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46"/>
              <w:jc w:val="right"/>
              <w:rPr>
                <w:rFonts w:ascii="Arial Narrow" w:hAnsi="Arial Narrow" w:cs="Arial Narrow" w:eastAsia="Arial Narrow" w:hint="default"/>
                <w:sz w:val="21"/>
                <w:szCs w:val="21"/>
              </w:rPr>
            </w:pPr>
            <w:r>
              <w:rPr>
                <w:rFonts w:ascii="Arial Narrow"/>
                <w:spacing w:val="-1"/>
                <w:sz w:val="21"/>
              </w:rPr>
              <w:t>17,000,000.00</w:t>
            </w:r>
          </w:p>
        </w:tc>
        <w:tc>
          <w:tcPr>
            <w:tcW w:w="1246"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48"/>
              <w:jc w:val="right"/>
              <w:rPr>
                <w:rFonts w:ascii="Arial Narrow" w:hAnsi="Arial Narrow" w:cs="Arial Narrow" w:eastAsia="Arial Narrow" w:hint="default"/>
                <w:sz w:val="21"/>
                <w:szCs w:val="21"/>
              </w:rPr>
            </w:pPr>
            <w:r>
              <w:rPr>
                <w:rFonts w:ascii="Arial Narrow"/>
                <w:sz w:val="21"/>
              </w:rPr>
              <w:t>-</w:t>
            </w:r>
          </w:p>
        </w:tc>
        <w:tc>
          <w:tcPr>
            <w:tcW w:w="1663"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1"/>
              <w:ind w:right="46"/>
              <w:jc w:val="right"/>
              <w:rPr>
                <w:rFonts w:ascii="Arial Narrow" w:hAnsi="Arial Narrow" w:cs="Arial Narrow" w:eastAsia="Arial Narrow" w:hint="default"/>
                <w:sz w:val="21"/>
                <w:szCs w:val="21"/>
              </w:rPr>
            </w:pPr>
            <w:r>
              <w:rPr>
                <w:rFonts w:ascii="Arial Narrow"/>
                <w:spacing w:val="-1"/>
                <w:sz w:val="21"/>
              </w:rPr>
              <w:t>20,000,000.00</w:t>
            </w:r>
          </w:p>
        </w:tc>
      </w:tr>
      <w:tr>
        <w:trPr>
          <w:trHeight w:val="328" w:hRule="exact"/>
        </w:trPr>
        <w:tc>
          <w:tcPr>
            <w:tcW w:w="270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9"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8"/>
              <w:jc w:val="right"/>
              <w:rPr>
                <w:rFonts w:ascii="Arial Narrow" w:hAnsi="Arial Narrow" w:cs="Arial Narrow" w:eastAsia="Arial Narrow" w:hint="default"/>
                <w:sz w:val="21"/>
                <w:szCs w:val="21"/>
              </w:rPr>
            </w:pPr>
            <w:r>
              <w:rPr>
                <w:rFonts w:ascii="Arial Narrow"/>
                <w:sz w:val="21"/>
              </w:rPr>
              <w:t>-</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7"/>
              <w:jc w:val="right"/>
              <w:rPr>
                <w:rFonts w:ascii="Arial Narrow" w:hAnsi="Arial Narrow" w:cs="Arial Narrow" w:eastAsia="Arial Narrow" w:hint="default"/>
                <w:sz w:val="21"/>
                <w:szCs w:val="21"/>
              </w:rPr>
            </w:pPr>
            <w:r>
              <w:rPr>
                <w:rFonts w:ascii="Arial Narrow"/>
                <w:sz w:val="21"/>
              </w:rPr>
              <w:t>-</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8"/>
              <w:jc w:val="right"/>
              <w:rPr>
                <w:rFonts w:ascii="Arial Narrow" w:hAnsi="Arial Narrow" w:cs="Arial Narrow" w:eastAsia="Arial Narrow" w:hint="default"/>
                <w:sz w:val="21"/>
                <w:szCs w:val="21"/>
              </w:rPr>
            </w:pPr>
            <w:r>
              <w:rPr>
                <w:rFonts w:ascii="Arial Narrow"/>
                <w:sz w:val="21"/>
              </w:rPr>
              <w:t>-</w:t>
            </w:r>
          </w:p>
        </w:tc>
        <w:tc>
          <w:tcPr>
            <w:tcW w:w="16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7"/>
              <w:jc w:val="right"/>
              <w:rPr>
                <w:rFonts w:ascii="Arial Narrow" w:hAnsi="Arial Narrow" w:cs="Arial Narrow" w:eastAsia="Arial Narrow" w:hint="default"/>
                <w:sz w:val="21"/>
                <w:szCs w:val="21"/>
              </w:rPr>
            </w:pPr>
            <w:r>
              <w:rPr>
                <w:rFonts w:ascii="Arial Narrow"/>
                <w:sz w:val="21"/>
              </w:rPr>
              <w:t>-</w:t>
            </w:r>
          </w:p>
        </w:tc>
      </w:tr>
      <w:tr>
        <w:trPr>
          <w:trHeight w:val="326" w:hRule="exact"/>
        </w:trPr>
        <w:tc>
          <w:tcPr>
            <w:tcW w:w="270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净额</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8"/>
              <w:jc w:val="right"/>
              <w:rPr>
                <w:rFonts w:ascii="Arial Narrow" w:hAnsi="Arial Narrow" w:cs="Arial Narrow" w:eastAsia="Arial Narrow" w:hint="default"/>
                <w:sz w:val="21"/>
                <w:szCs w:val="21"/>
              </w:rPr>
            </w:pPr>
            <w:r>
              <w:rPr>
                <w:rFonts w:ascii="Arial Narrow"/>
                <w:spacing w:val="-1"/>
                <w:sz w:val="21"/>
              </w:rPr>
              <w:t>3,000,000.00</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17,000,000.00</w:t>
            </w:r>
          </w:p>
        </w:tc>
        <w:tc>
          <w:tcPr>
            <w:tcW w:w="12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8"/>
              <w:jc w:val="right"/>
              <w:rPr>
                <w:rFonts w:ascii="Arial Narrow" w:hAnsi="Arial Narrow" w:cs="Arial Narrow" w:eastAsia="Arial Narrow" w:hint="default"/>
                <w:sz w:val="21"/>
                <w:szCs w:val="21"/>
              </w:rPr>
            </w:pPr>
            <w:r>
              <w:rPr>
                <w:rFonts w:ascii="Arial Narrow"/>
                <w:sz w:val="21"/>
              </w:rPr>
              <w:t>-</w:t>
            </w:r>
          </w:p>
        </w:tc>
        <w:tc>
          <w:tcPr>
            <w:tcW w:w="16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46"/>
              <w:jc w:val="right"/>
              <w:rPr>
                <w:rFonts w:ascii="Arial Narrow" w:hAnsi="Arial Narrow" w:cs="Arial Narrow" w:eastAsia="Arial Narrow" w:hint="default"/>
                <w:sz w:val="21"/>
                <w:szCs w:val="21"/>
              </w:rPr>
            </w:pPr>
            <w:r>
              <w:rPr>
                <w:rFonts w:ascii="Arial Narrow"/>
                <w:spacing w:val="-1"/>
                <w:sz w:val="21"/>
              </w:rPr>
              <w:t>20,000,000.00</w:t>
            </w:r>
          </w:p>
        </w:tc>
      </w:tr>
    </w:tbl>
    <w:p>
      <w:pPr>
        <w:spacing w:before="87"/>
        <w:ind w:left="640" w:right="18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sz w:val="21"/>
          <w:szCs w:val="21"/>
        </w:rPr>
        <w:t>2</w:t>
      </w:r>
      <w:r>
        <w:rPr>
          <w:rFonts w:ascii="宋体" w:hAnsi="宋体" w:cs="宋体" w:eastAsia="宋体" w:hint="default"/>
          <w:sz w:val="21"/>
          <w:szCs w:val="21"/>
        </w:rPr>
        <w:t>）按成本法核算的长期股权投资</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1526"/>
        <w:gridCol w:w="1120"/>
        <w:gridCol w:w="1120"/>
        <w:gridCol w:w="1217"/>
        <w:gridCol w:w="691"/>
        <w:gridCol w:w="1216"/>
        <w:gridCol w:w="794"/>
        <w:gridCol w:w="1160"/>
      </w:tblGrid>
      <w:tr>
        <w:trPr>
          <w:trHeight w:val="831" w:hRule="exact"/>
        </w:trPr>
        <w:tc>
          <w:tcPr>
            <w:tcW w:w="15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650" w:right="125" w:hanging="526"/>
              <w:jc w:val="left"/>
              <w:rPr>
                <w:rFonts w:ascii="宋体" w:hAnsi="宋体" w:cs="宋体" w:eastAsia="宋体" w:hint="default"/>
                <w:sz w:val="21"/>
                <w:szCs w:val="21"/>
              </w:rPr>
            </w:pPr>
            <w:r>
              <w:rPr>
                <w:rFonts w:ascii="宋体" w:hAnsi="宋体" w:cs="宋体" w:eastAsia="宋体" w:hint="default"/>
                <w:sz w:val="21"/>
                <w:szCs w:val="21"/>
              </w:rPr>
              <w:t>被投资单位名 称</w:t>
            </w:r>
          </w:p>
        </w:tc>
        <w:tc>
          <w:tcPr>
            <w:tcW w:w="11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446" w:right="131" w:hanging="315"/>
              <w:jc w:val="left"/>
              <w:rPr>
                <w:rFonts w:ascii="宋体" w:hAnsi="宋体" w:cs="宋体" w:eastAsia="宋体" w:hint="default"/>
                <w:sz w:val="21"/>
                <w:szCs w:val="21"/>
              </w:rPr>
            </w:pPr>
            <w:r>
              <w:rPr>
                <w:rFonts w:ascii="宋体" w:hAnsi="宋体" w:cs="宋体" w:eastAsia="宋体" w:hint="default"/>
                <w:sz w:val="21"/>
                <w:szCs w:val="21"/>
              </w:rPr>
              <w:t>初始投资 额</w:t>
            </w:r>
          </w:p>
        </w:tc>
        <w:tc>
          <w:tcPr>
            <w:tcW w:w="112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343" w:right="131" w:hanging="210"/>
              <w:jc w:val="left"/>
              <w:rPr>
                <w:rFonts w:ascii="宋体" w:hAnsi="宋体" w:cs="宋体" w:eastAsia="宋体" w:hint="default"/>
                <w:sz w:val="21"/>
                <w:szCs w:val="21"/>
              </w:rPr>
            </w:pPr>
            <w:r>
              <w:rPr>
                <w:rFonts w:ascii="宋体" w:hAnsi="宋体" w:cs="宋体" w:eastAsia="宋体" w:hint="default"/>
                <w:sz w:val="21"/>
                <w:szCs w:val="21"/>
              </w:rPr>
              <w:t>年初账面 余额</w:t>
            </w:r>
          </w:p>
        </w:tc>
        <w:tc>
          <w:tcPr>
            <w:tcW w:w="1217"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4"/>
              <w:jc w:val="right"/>
              <w:rPr>
                <w:rFonts w:ascii="宋体" w:hAnsi="宋体" w:cs="宋体" w:eastAsia="宋体" w:hint="default"/>
                <w:sz w:val="21"/>
                <w:szCs w:val="21"/>
              </w:rPr>
            </w:pPr>
            <w:r>
              <w:rPr>
                <w:rFonts w:ascii="宋体" w:hAnsi="宋体" w:cs="宋体" w:eastAsia="宋体" w:hint="default"/>
                <w:sz w:val="21"/>
                <w:szCs w:val="21"/>
              </w:rPr>
              <w:t>本年增加额</w:t>
            </w:r>
          </w:p>
        </w:tc>
        <w:tc>
          <w:tcPr>
            <w:tcW w:w="69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9" w:lineRule="exact"/>
              <w:ind w:left="127" w:right="0"/>
              <w:jc w:val="left"/>
              <w:rPr>
                <w:rFonts w:ascii="宋体" w:hAnsi="宋体" w:cs="宋体" w:eastAsia="宋体" w:hint="default"/>
                <w:sz w:val="21"/>
                <w:szCs w:val="21"/>
              </w:rPr>
            </w:pPr>
            <w:r>
              <w:rPr>
                <w:rFonts w:ascii="宋体" w:hAnsi="宋体" w:cs="宋体" w:eastAsia="宋体" w:hint="default"/>
                <w:sz w:val="21"/>
                <w:szCs w:val="21"/>
              </w:rPr>
              <w:t>本年</w:t>
            </w:r>
          </w:p>
          <w:p>
            <w:pPr>
              <w:pStyle w:val="TableParagraph"/>
              <w:spacing w:line="272" w:lineRule="exact" w:before="26"/>
              <w:ind w:left="232" w:right="127" w:hanging="106"/>
              <w:jc w:val="left"/>
              <w:rPr>
                <w:rFonts w:ascii="宋体" w:hAnsi="宋体" w:cs="宋体" w:eastAsia="宋体" w:hint="default"/>
                <w:sz w:val="21"/>
                <w:szCs w:val="21"/>
              </w:rPr>
            </w:pPr>
            <w:r>
              <w:rPr>
                <w:rFonts w:ascii="宋体" w:hAnsi="宋体" w:cs="宋体" w:eastAsia="宋体" w:hint="default"/>
                <w:sz w:val="21"/>
                <w:szCs w:val="21"/>
              </w:rPr>
              <w:t>减少 额</w:t>
            </w:r>
          </w:p>
        </w:tc>
        <w:tc>
          <w:tcPr>
            <w:tcW w:w="12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494" w:right="74" w:hanging="420"/>
              <w:jc w:val="left"/>
              <w:rPr>
                <w:rFonts w:ascii="宋体" w:hAnsi="宋体" w:cs="宋体" w:eastAsia="宋体" w:hint="default"/>
                <w:sz w:val="21"/>
                <w:szCs w:val="21"/>
              </w:rPr>
            </w:pPr>
            <w:r>
              <w:rPr>
                <w:rFonts w:ascii="宋体" w:hAnsi="宋体" w:cs="宋体" w:eastAsia="宋体" w:hint="default"/>
                <w:sz w:val="21"/>
                <w:szCs w:val="21"/>
              </w:rPr>
              <w:t>年末账面余 额</w:t>
            </w:r>
          </w:p>
        </w:tc>
        <w:tc>
          <w:tcPr>
            <w:tcW w:w="79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178" w:right="179"/>
              <w:jc w:val="left"/>
              <w:rPr>
                <w:rFonts w:ascii="宋体" w:hAnsi="宋体" w:cs="宋体" w:eastAsia="宋体" w:hint="default"/>
                <w:sz w:val="21"/>
                <w:szCs w:val="21"/>
              </w:rPr>
            </w:pPr>
            <w:r>
              <w:rPr>
                <w:rFonts w:ascii="宋体" w:hAnsi="宋体" w:cs="宋体" w:eastAsia="宋体" w:hint="default"/>
                <w:sz w:val="21"/>
                <w:szCs w:val="21"/>
              </w:rPr>
              <w:t>持股 比例</w:t>
            </w:r>
          </w:p>
        </w:tc>
        <w:tc>
          <w:tcPr>
            <w:tcW w:w="116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2" w:lineRule="exact" w:before="128"/>
              <w:ind w:left="152" w:right="151"/>
              <w:jc w:val="left"/>
              <w:rPr>
                <w:rFonts w:ascii="宋体" w:hAnsi="宋体" w:cs="宋体" w:eastAsia="宋体" w:hint="default"/>
                <w:sz w:val="21"/>
                <w:szCs w:val="21"/>
              </w:rPr>
            </w:pPr>
            <w:r>
              <w:rPr>
                <w:rFonts w:ascii="宋体" w:hAnsi="宋体" w:cs="宋体" w:eastAsia="宋体" w:hint="default"/>
                <w:sz w:val="21"/>
                <w:szCs w:val="21"/>
              </w:rPr>
              <w:t>持有的表 决权比例</w:t>
            </w:r>
          </w:p>
        </w:tc>
      </w:tr>
      <w:tr>
        <w:trPr>
          <w:trHeight w:val="833" w:hRule="exact"/>
        </w:trPr>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pacing w:val="22"/>
                <w:sz w:val="21"/>
                <w:szCs w:val="21"/>
              </w:rPr>
              <w:t>厦门市美</w:t>
            </w:r>
            <w:r>
              <w:rPr>
                <w:rFonts w:ascii="宋体" w:hAnsi="宋体" w:cs="宋体" w:eastAsia="宋体" w:hint="default"/>
                <w:spacing w:val="-73"/>
                <w:sz w:val="21"/>
                <w:szCs w:val="21"/>
              </w:rPr>
              <w:t> </w:t>
            </w:r>
            <w:r>
              <w:rPr>
                <w:rFonts w:ascii="宋体" w:hAnsi="宋体" w:cs="宋体" w:eastAsia="宋体" w:hint="default"/>
                <w:sz w:val="21"/>
                <w:szCs w:val="21"/>
              </w:rPr>
              <w:t>亚</w:t>
            </w:r>
            <w:r>
              <w:rPr>
                <w:rFonts w:ascii="宋体" w:hAnsi="宋体" w:cs="宋体" w:eastAsia="宋体" w:hint="default"/>
                <w:spacing w:val="-73"/>
                <w:sz w:val="21"/>
                <w:szCs w:val="21"/>
              </w:rPr>
              <w:t> </w:t>
            </w:r>
            <w:r>
              <w:rPr>
                <w:rFonts w:ascii="宋体" w:hAnsi="宋体" w:cs="宋体" w:eastAsia="宋体" w:hint="default"/>
                <w:sz w:val="21"/>
                <w:szCs w:val="21"/>
              </w:rPr>
              <w:t>柏</w:t>
            </w:r>
          </w:p>
          <w:p>
            <w:pPr>
              <w:pStyle w:val="TableParagraph"/>
              <w:spacing w:line="272" w:lineRule="exact" w:before="26"/>
              <w:ind w:left="49" w:right="48"/>
              <w:jc w:val="left"/>
              <w:rPr>
                <w:rFonts w:ascii="宋体" w:hAnsi="宋体" w:cs="宋体" w:eastAsia="宋体" w:hint="default"/>
                <w:sz w:val="21"/>
                <w:szCs w:val="21"/>
              </w:rPr>
            </w:pPr>
            <w:r>
              <w:rPr>
                <w:rFonts w:ascii="宋体" w:hAnsi="宋体" w:cs="宋体" w:eastAsia="宋体" w:hint="default"/>
                <w:spacing w:val="22"/>
                <w:sz w:val="21"/>
                <w:szCs w:val="21"/>
              </w:rPr>
              <w:t>科信息安</w:t>
            </w:r>
            <w:r>
              <w:rPr>
                <w:rFonts w:ascii="宋体" w:hAnsi="宋体" w:cs="宋体" w:eastAsia="宋体" w:hint="default"/>
                <w:spacing w:val="-74"/>
                <w:sz w:val="21"/>
                <w:szCs w:val="21"/>
              </w:rPr>
              <w:t> </w:t>
            </w:r>
            <w:r>
              <w:rPr>
                <w:rFonts w:ascii="宋体" w:hAnsi="宋体" w:cs="宋体" w:eastAsia="宋体" w:hint="default"/>
                <w:sz w:val="21"/>
                <w:szCs w:val="21"/>
              </w:rPr>
              <w:t>全</w:t>
            </w:r>
            <w:r>
              <w:rPr>
                <w:rFonts w:ascii="宋体" w:hAnsi="宋体" w:cs="宋体" w:eastAsia="宋体" w:hint="default"/>
                <w:spacing w:val="-74"/>
                <w:sz w:val="21"/>
                <w:szCs w:val="21"/>
              </w:rPr>
              <w:t> </w:t>
            </w:r>
            <w:r>
              <w:rPr>
                <w:rFonts w:ascii="宋体" w:hAnsi="宋体" w:cs="宋体" w:eastAsia="宋体" w:hint="default"/>
                <w:sz w:val="21"/>
                <w:szCs w:val="21"/>
              </w:rPr>
              <w:t>研</w:t>
            </w:r>
            <w:r>
              <w:rPr>
                <w:rFonts w:ascii="宋体" w:hAnsi="宋体" w:cs="宋体" w:eastAsia="宋体" w:hint="default"/>
                <w:sz w:val="21"/>
                <w:szCs w:val="21"/>
              </w:rPr>
              <w:t> 究所有限公司</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400,000.00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6"/>
              <w:jc w:val="right"/>
              <w:rPr>
                <w:rFonts w:ascii="Arial Narrow" w:hAnsi="Arial Narrow" w:cs="Arial Narrow" w:eastAsia="Arial Narrow" w:hint="default"/>
                <w:sz w:val="21"/>
                <w:szCs w:val="21"/>
              </w:rPr>
            </w:pPr>
            <w:r>
              <w:rPr>
                <w:rFonts w:ascii="Arial Narrow"/>
                <w:spacing w:val="-1"/>
                <w:sz w:val="21"/>
              </w:rPr>
              <w:t>2,000,000.00</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pacing w:val="-1"/>
                <w:sz w:val="21"/>
              </w:rPr>
              <w:t>8,000,000.00</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8"/>
              <w:jc w:val="right"/>
              <w:rPr>
                <w:rFonts w:ascii="Arial Narrow" w:hAnsi="Arial Narrow" w:cs="Arial Narrow" w:eastAsia="Arial Narrow" w:hint="default"/>
                <w:sz w:val="21"/>
                <w:szCs w:val="21"/>
              </w:rPr>
            </w:pPr>
            <w:r>
              <w:rPr>
                <w:rFonts w:ascii="Arial Narrow"/>
                <w:sz w:val="21"/>
              </w:rPr>
              <w:t>-</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7"/>
              <w:jc w:val="right"/>
              <w:rPr>
                <w:rFonts w:ascii="Arial Narrow" w:hAnsi="Arial Narrow" w:cs="Arial Narrow" w:eastAsia="Arial Narrow" w:hint="default"/>
                <w:sz w:val="21"/>
                <w:szCs w:val="21"/>
              </w:rPr>
            </w:pPr>
            <w:r>
              <w:rPr>
                <w:rFonts w:ascii="Arial Narrow"/>
                <w:spacing w:val="-1"/>
                <w:sz w:val="21"/>
              </w:rPr>
              <w:t>10,000,000.00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45"/>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r>
      <w:tr>
        <w:trPr>
          <w:trHeight w:val="559" w:hRule="exact"/>
        </w:trPr>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9" w:right="0"/>
              <w:jc w:val="left"/>
              <w:rPr>
                <w:rFonts w:ascii="宋体" w:hAnsi="宋体" w:cs="宋体" w:eastAsia="宋体" w:hint="default"/>
                <w:sz w:val="21"/>
                <w:szCs w:val="21"/>
              </w:rPr>
            </w:pPr>
            <w:r>
              <w:rPr>
                <w:rFonts w:ascii="宋体" w:hAnsi="宋体" w:cs="宋体" w:eastAsia="宋体" w:hint="default"/>
                <w:spacing w:val="22"/>
                <w:sz w:val="21"/>
                <w:szCs w:val="21"/>
              </w:rPr>
              <w:t>杭州创聚</w:t>
            </w:r>
            <w:r>
              <w:rPr>
                <w:rFonts w:ascii="宋体" w:hAnsi="宋体" w:cs="宋体" w:eastAsia="宋体" w:hint="default"/>
                <w:spacing w:val="-73"/>
                <w:sz w:val="21"/>
                <w:szCs w:val="21"/>
              </w:rPr>
              <w:t> </w:t>
            </w:r>
            <w:r>
              <w:rPr>
                <w:rFonts w:ascii="宋体" w:hAnsi="宋体" w:cs="宋体" w:eastAsia="宋体" w:hint="default"/>
                <w:sz w:val="21"/>
                <w:szCs w:val="21"/>
              </w:rPr>
              <w:t>科</w:t>
            </w:r>
            <w:r>
              <w:rPr>
                <w:rFonts w:ascii="宋体" w:hAnsi="宋体" w:cs="宋体" w:eastAsia="宋体" w:hint="default"/>
                <w:spacing w:val="-73"/>
                <w:sz w:val="21"/>
                <w:szCs w:val="21"/>
              </w:rPr>
              <w:t> </w:t>
            </w:r>
            <w:r>
              <w:rPr>
                <w:rFonts w:ascii="宋体" w:hAnsi="宋体" w:cs="宋体" w:eastAsia="宋体" w:hint="default"/>
                <w:sz w:val="21"/>
                <w:szCs w:val="21"/>
              </w:rPr>
              <w:t>技</w:t>
            </w:r>
          </w:p>
          <w:p>
            <w:pPr>
              <w:pStyle w:val="TableParagraph"/>
              <w:spacing w:line="274" w:lineRule="exact"/>
              <w:ind w:left="49"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pacing w:val="-1"/>
                <w:sz w:val="21"/>
              </w:rPr>
              <w:t>1,000,000.00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6"/>
              <w:jc w:val="right"/>
              <w:rPr>
                <w:rFonts w:ascii="Arial Narrow" w:hAnsi="Arial Narrow" w:cs="Arial Narrow" w:eastAsia="Arial Narrow" w:hint="default"/>
                <w:sz w:val="21"/>
                <w:szCs w:val="21"/>
              </w:rPr>
            </w:pPr>
            <w:r>
              <w:rPr>
                <w:rFonts w:ascii="Arial Narrow"/>
                <w:spacing w:val="-1"/>
                <w:sz w:val="21"/>
              </w:rPr>
              <w:t>1,000,000.00</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pacing w:val="-1"/>
                <w:sz w:val="21"/>
              </w:rPr>
              <w:t>9,000,000.00</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8"/>
              <w:jc w:val="right"/>
              <w:rPr>
                <w:rFonts w:ascii="Arial Narrow" w:hAnsi="Arial Narrow" w:cs="Arial Narrow" w:eastAsia="Arial Narrow" w:hint="default"/>
                <w:sz w:val="21"/>
                <w:szCs w:val="21"/>
              </w:rPr>
            </w:pPr>
            <w:r>
              <w:rPr>
                <w:rFonts w:ascii="Arial Narrow"/>
                <w:sz w:val="21"/>
              </w:rPr>
              <w:t>-</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7"/>
              <w:jc w:val="right"/>
              <w:rPr>
                <w:rFonts w:ascii="Arial Narrow" w:hAnsi="Arial Narrow" w:cs="Arial Narrow" w:eastAsia="Arial Narrow" w:hint="default"/>
                <w:sz w:val="21"/>
                <w:szCs w:val="21"/>
              </w:rPr>
            </w:pPr>
            <w:r>
              <w:rPr>
                <w:rFonts w:ascii="Arial Narrow"/>
                <w:spacing w:val="-1"/>
                <w:sz w:val="21"/>
              </w:rPr>
              <w:t>10,000,000.00</w:t>
            </w:r>
          </w:p>
        </w:tc>
        <w:tc>
          <w:tcPr>
            <w:tcW w:w="7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6"/>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45"/>
              <w:jc w:val="right"/>
              <w:rPr>
                <w:rFonts w:ascii="Arial Narrow" w:hAnsi="Arial Narrow" w:cs="Arial Narrow" w:eastAsia="Arial Narrow" w:hint="default"/>
                <w:sz w:val="21"/>
                <w:szCs w:val="21"/>
              </w:rPr>
            </w:pPr>
            <w:r>
              <w:rPr>
                <w:rFonts w:ascii="Arial Narrow"/>
                <w:w w:val="95"/>
                <w:sz w:val="21"/>
              </w:rPr>
              <w:t>100.00%</w:t>
            </w:r>
            <w:r>
              <w:rPr>
                <w:rFonts w:ascii="Arial Narrow"/>
                <w:sz w:val="21"/>
              </w:rPr>
            </w:r>
          </w:p>
        </w:tc>
      </w:tr>
      <w:tr>
        <w:trPr>
          <w:trHeight w:val="355" w:hRule="exact"/>
        </w:trPr>
        <w:tc>
          <w:tcPr>
            <w:tcW w:w="1526" w:type="dxa"/>
            <w:tcBorders>
              <w:top w:val="single" w:sz="6" w:space="0" w:color="000000"/>
              <w:left w:val="single" w:sz="6" w:space="0" w:color="000000"/>
              <w:bottom w:val="single" w:sz="6" w:space="0" w:color="000000"/>
              <w:right w:val="single" w:sz="6" w:space="0" w:color="000000"/>
            </w:tcBorders>
          </w:tcPr>
          <w:p>
            <w:pPr>
              <w:pStyle w:val="TableParagraph"/>
              <w:tabs>
                <w:tab w:pos="860" w:val="left" w:leader="none"/>
              </w:tabs>
              <w:spacing w:line="274" w:lineRule="exact"/>
              <w:ind w:left="43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1,400,000.00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5"/>
              <w:jc w:val="right"/>
              <w:rPr>
                <w:rFonts w:ascii="Arial Narrow" w:hAnsi="Arial Narrow" w:cs="Arial Narrow" w:eastAsia="Arial Narrow" w:hint="default"/>
                <w:sz w:val="21"/>
                <w:szCs w:val="21"/>
              </w:rPr>
            </w:pPr>
            <w:r>
              <w:rPr>
                <w:rFonts w:ascii="Arial Narrow"/>
                <w:spacing w:val="-1"/>
                <w:sz w:val="21"/>
              </w:rPr>
              <w:t>3,000,000.00</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17,000,000.00</w:t>
            </w:r>
          </w:p>
        </w:tc>
        <w:tc>
          <w:tcPr>
            <w:tcW w:w="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8"/>
              <w:jc w:val="right"/>
              <w:rPr>
                <w:rFonts w:ascii="Arial Narrow" w:hAnsi="Arial Narrow" w:cs="Arial Narrow" w:eastAsia="Arial Narrow" w:hint="default"/>
                <w:sz w:val="21"/>
                <w:szCs w:val="21"/>
              </w:rPr>
            </w:pPr>
            <w:r>
              <w:rPr>
                <w:rFonts w:ascii="Arial Narrow"/>
                <w:sz w:val="21"/>
              </w:rPr>
              <w:t>-</w:t>
            </w:r>
          </w:p>
        </w:tc>
        <w:tc>
          <w:tcPr>
            <w:tcW w:w="1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47"/>
              <w:jc w:val="right"/>
              <w:rPr>
                <w:rFonts w:ascii="Arial Narrow" w:hAnsi="Arial Narrow" w:cs="Arial Narrow" w:eastAsia="Arial Narrow" w:hint="default"/>
                <w:sz w:val="21"/>
                <w:szCs w:val="21"/>
              </w:rPr>
            </w:pPr>
            <w:r>
              <w:rPr>
                <w:rFonts w:ascii="Arial Narrow"/>
                <w:spacing w:val="-1"/>
                <w:sz w:val="21"/>
              </w:rPr>
              <w:t>20,000,000.00</w:t>
            </w:r>
          </w:p>
        </w:tc>
        <w:tc>
          <w:tcPr>
            <w:tcW w:w="794"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r>
    </w:tbl>
    <w:p>
      <w:pPr>
        <w:tabs>
          <w:tab w:pos="1479" w:val="left" w:leader="none"/>
        </w:tabs>
        <w:spacing w:before="27"/>
        <w:ind w:left="640" w:right="180" w:firstLine="0"/>
        <w:jc w:val="left"/>
        <w:rPr>
          <w:rFonts w:ascii="宋体" w:hAnsi="宋体" w:cs="宋体" w:eastAsia="宋体" w:hint="default"/>
          <w:sz w:val="21"/>
          <w:szCs w:val="21"/>
        </w:rPr>
      </w:pPr>
      <w:r>
        <w:rPr>
          <w:rFonts w:ascii="宋体" w:hAnsi="宋体" w:cs="宋体" w:eastAsia="宋体" w:hint="default"/>
          <w:b/>
          <w:bCs/>
          <w:w w:val="95"/>
          <w:sz w:val="21"/>
          <w:szCs w:val="21"/>
        </w:rPr>
        <w:t>（四）</w:t>
        <w:tab/>
      </w:r>
      <w:r>
        <w:rPr>
          <w:rFonts w:ascii="宋体" w:hAnsi="宋体" w:cs="宋体" w:eastAsia="宋体" w:hint="default"/>
          <w:b/>
          <w:bCs/>
          <w:sz w:val="21"/>
          <w:szCs w:val="21"/>
        </w:rPr>
        <w:t>营业收入、营业成本</w:t>
      </w:r>
      <w:r>
        <w:rPr>
          <w:rFonts w:ascii="宋体" w:hAnsi="宋体" w:cs="宋体" w:eastAsia="宋体" w:hint="default"/>
          <w:sz w:val="21"/>
          <w:szCs w:val="21"/>
        </w:rPr>
      </w:r>
    </w:p>
    <w:p>
      <w:pPr>
        <w:spacing w:line="240" w:lineRule="auto" w:before="9"/>
        <w:rPr>
          <w:rFonts w:ascii="宋体" w:hAnsi="宋体" w:cs="宋体" w:eastAsia="宋体" w:hint="default"/>
          <w:b/>
          <w:bCs/>
          <w:sz w:val="14"/>
          <w:szCs w:val="14"/>
        </w:rPr>
      </w:pPr>
    </w:p>
    <w:p>
      <w:pPr>
        <w:spacing w:before="0"/>
        <w:ind w:left="745" w:right="180" w:firstLine="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、营业收入、营业成本明细项目列示如下：</w:t>
      </w:r>
    </w:p>
    <w:p>
      <w:pPr>
        <w:spacing w:line="240" w:lineRule="auto" w:before="1"/>
        <w:rPr>
          <w:rFonts w:ascii="宋体" w:hAnsi="宋体" w:cs="宋体" w:eastAsia="宋体" w:hint="default"/>
          <w:sz w:val="13"/>
          <w:szCs w:val="13"/>
        </w:rPr>
      </w:pPr>
    </w:p>
    <w:tbl>
      <w:tblPr>
        <w:tblW w:w="0" w:type="auto"/>
        <w:jc w:val="left"/>
        <w:tblInd w:w="110" w:type="dxa"/>
        <w:tblLayout w:type="fixed"/>
        <w:tblCellMar>
          <w:top w:w="0" w:type="dxa"/>
          <w:left w:w="0" w:type="dxa"/>
          <w:bottom w:w="0" w:type="dxa"/>
          <w:right w:w="0" w:type="dxa"/>
        </w:tblCellMar>
        <w:tblLook w:val="01E0"/>
      </w:tblPr>
      <w:tblGrid>
        <w:gridCol w:w="3026"/>
        <w:gridCol w:w="3216"/>
        <w:gridCol w:w="2602"/>
      </w:tblGrid>
      <w:tr>
        <w:trPr>
          <w:trHeight w:val="329" w:hRule="exact"/>
        </w:trPr>
        <w:tc>
          <w:tcPr>
            <w:tcW w:w="30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50"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right="1"/>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26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0" w:lineRule="exact"/>
              <w:ind w:left="767"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55" w:hRule="exact"/>
        </w:trPr>
        <w:tc>
          <w:tcPr>
            <w:tcW w:w="3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1903" w:right="0"/>
              <w:jc w:val="left"/>
              <w:rPr>
                <w:rFonts w:ascii="Arial Narrow" w:hAnsi="Arial Narrow" w:cs="Arial Narrow" w:eastAsia="Arial Narrow" w:hint="default"/>
                <w:sz w:val="21"/>
                <w:szCs w:val="21"/>
              </w:rPr>
            </w:pPr>
            <w:r>
              <w:rPr>
                <w:rFonts w:ascii="Arial Narrow"/>
                <w:sz w:val="21"/>
              </w:rPr>
              <w:t>262,968,912.27</w:t>
            </w:r>
          </w:p>
        </w:tc>
        <w:tc>
          <w:tcPr>
            <w:tcW w:w="2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1288" w:right="0"/>
              <w:jc w:val="left"/>
              <w:rPr>
                <w:rFonts w:ascii="Arial Narrow" w:hAnsi="Arial Narrow" w:cs="Arial Narrow" w:eastAsia="Arial Narrow" w:hint="default"/>
                <w:sz w:val="21"/>
                <w:szCs w:val="21"/>
              </w:rPr>
            </w:pPr>
            <w:r>
              <w:rPr>
                <w:rFonts w:ascii="Arial Narrow"/>
                <w:sz w:val="21"/>
              </w:rPr>
              <w:t>185,349,899.26</w:t>
            </w:r>
          </w:p>
        </w:tc>
      </w:tr>
    </w:tbl>
    <w:p>
      <w:pPr>
        <w:spacing w:after="0" w:line="240" w:lineRule="auto"/>
        <w:jc w:val="left"/>
        <w:rPr>
          <w:rFonts w:ascii="Arial Narrow" w:hAnsi="Arial Narrow" w:cs="Arial Narrow" w:eastAsia="Arial Narrow" w:hint="default"/>
          <w:sz w:val="21"/>
          <w:szCs w:val="21"/>
        </w:rPr>
        <w:sectPr>
          <w:pgSz w:w="12240" w:h="15840"/>
          <w:pgMar w:header="0" w:footer="688" w:top="1400" w:bottom="900" w:left="1580" w:right="1580"/>
        </w:sectPr>
      </w:pPr>
    </w:p>
    <w:p>
      <w:pPr>
        <w:spacing w:line="240" w:lineRule="auto" w:before="10"/>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3026"/>
        <w:gridCol w:w="3216"/>
        <w:gridCol w:w="2602"/>
      </w:tblGrid>
      <w:tr>
        <w:trPr>
          <w:trHeight w:val="330" w:hRule="exact"/>
        </w:trPr>
        <w:tc>
          <w:tcPr>
            <w:tcW w:w="302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tabs>
                <w:tab w:pos="421" w:val="left" w:leader="none"/>
              </w:tabs>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1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260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6" w:lineRule="exact"/>
              <w:ind w:left="767"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72" w:hRule="exact"/>
        </w:trPr>
        <w:tc>
          <w:tcPr>
            <w:tcW w:w="3026"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27"/>
              <w:ind w:left="31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16"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262,968,912.27</w:t>
            </w:r>
          </w:p>
        </w:tc>
        <w:tc>
          <w:tcPr>
            <w:tcW w:w="260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185,349,899.26</w:t>
            </w:r>
          </w:p>
        </w:tc>
      </w:tr>
      <w:tr>
        <w:trPr>
          <w:trHeight w:val="355" w:hRule="exact"/>
        </w:trPr>
        <w:tc>
          <w:tcPr>
            <w:tcW w:w="3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3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98,056,952.24</w:t>
            </w:r>
          </w:p>
        </w:tc>
        <w:tc>
          <w:tcPr>
            <w:tcW w:w="2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81,216,464.07</w:t>
            </w:r>
          </w:p>
        </w:tc>
      </w:tr>
      <w:tr>
        <w:trPr>
          <w:trHeight w:val="354" w:hRule="exact"/>
        </w:trPr>
        <w:tc>
          <w:tcPr>
            <w:tcW w:w="30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8"/>
              <w:ind w:left="310"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7"/>
              <w:jc w:val="right"/>
              <w:rPr>
                <w:rFonts w:ascii="Arial Narrow" w:hAnsi="Arial Narrow" w:cs="Arial Narrow" w:eastAsia="Arial Narrow" w:hint="default"/>
                <w:sz w:val="21"/>
                <w:szCs w:val="21"/>
              </w:rPr>
            </w:pPr>
            <w:r>
              <w:rPr>
                <w:rFonts w:ascii="Arial Narrow"/>
                <w:spacing w:val="-1"/>
                <w:sz w:val="21"/>
              </w:rPr>
              <w:t>98,056,952.24</w:t>
            </w:r>
          </w:p>
        </w:tc>
        <w:tc>
          <w:tcPr>
            <w:tcW w:w="26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7"/>
              <w:ind w:right="97"/>
              <w:jc w:val="right"/>
              <w:rPr>
                <w:rFonts w:ascii="Arial Narrow" w:hAnsi="Arial Narrow" w:cs="Arial Narrow" w:eastAsia="Arial Narrow" w:hint="default"/>
                <w:sz w:val="21"/>
                <w:szCs w:val="21"/>
              </w:rPr>
            </w:pPr>
            <w:r>
              <w:rPr>
                <w:rFonts w:ascii="Arial Narrow"/>
                <w:spacing w:val="-1"/>
                <w:sz w:val="21"/>
              </w:rPr>
              <w:t>81,216,464.07</w:t>
            </w:r>
          </w:p>
        </w:tc>
      </w:tr>
    </w:tbl>
    <w:p>
      <w:pPr>
        <w:spacing w:line="257" w:lineRule="exact" w:before="0"/>
        <w:ind w:left="640" w:right="0" w:firstLine="0"/>
        <w:jc w:val="left"/>
        <w:rPr>
          <w:rFonts w:ascii="宋体" w:hAnsi="宋体" w:cs="宋体" w:eastAsia="宋体" w:hint="default"/>
          <w:sz w:val="21"/>
          <w:szCs w:val="21"/>
        </w:rPr>
      </w:pPr>
      <w:r>
        <w:rPr>
          <w:rFonts w:ascii="宋体" w:hAnsi="宋体" w:cs="宋体" w:eastAsia="宋体" w:hint="default"/>
          <w:sz w:val="21"/>
          <w:szCs w:val="21"/>
        </w:rPr>
        <w:t>注：本年度营业收入较上年度增长</w:t>
      </w:r>
      <w:r>
        <w:rPr>
          <w:rFonts w:ascii="宋体" w:hAnsi="宋体" w:cs="宋体" w:eastAsia="宋体" w:hint="default"/>
          <w:spacing w:val="-54"/>
          <w:sz w:val="21"/>
          <w:szCs w:val="21"/>
        </w:rPr>
        <w:t> </w:t>
      </w:r>
      <w:r>
        <w:rPr>
          <w:rFonts w:ascii="Arial Narrow" w:hAnsi="Arial Narrow" w:cs="Arial Narrow" w:eastAsia="Arial Narrow" w:hint="default"/>
          <w:sz w:val="21"/>
          <w:szCs w:val="21"/>
        </w:rPr>
        <w:t>41.88%</w:t>
      </w:r>
      <w:r>
        <w:rPr>
          <w:rFonts w:ascii="宋体" w:hAnsi="宋体" w:cs="宋体" w:eastAsia="宋体" w:hint="default"/>
          <w:sz w:val="21"/>
          <w:szCs w:val="21"/>
        </w:rPr>
        <w:t>，主要系本公司经营规模扩大所致。</w:t>
      </w:r>
    </w:p>
    <w:p>
      <w:pPr>
        <w:spacing w:before="118"/>
        <w:ind w:left="745"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、营业收入按业务类别列示如下：</w:t>
      </w:r>
    </w:p>
    <w:p>
      <w:pPr>
        <w:spacing w:line="240" w:lineRule="auto" w:before="3"/>
        <w:rPr>
          <w:rFonts w:ascii="宋体" w:hAnsi="宋体" w:cs="宋体" w:eastAsia="宋体" w:hint="default"/>
          <w:sz w:val="22"/>
          <w:szCs w:val="22"/>
        </w:rPr>
      </w:pPr>
    </w:p>
    <w:tbl>
      <w:tblPr>
        <w:tblW w:w="0" w:type="auto"/>
        <w:jc w:val="left"/>
        <w:tblInd w:w="110" w:type="dxa"/>
        <w:tblLayout w:type="fixed"/>
        <w:tblCellMar>
          <w:top w:w="0" w:type="dxa"/>
          <w:left w:w="0" w:type="dxa"/>
          <w:bottom w:w="0" w:type="dxa"/>
          <w:right w:w="0" w:type="dxa"/>
        </w:tblCellMar>
        <w:tblLook w:val="01E0"/>
      </w:tblPr>
      <w:tblGrid>
        <w:gridCol w:w="2460"/>
        <w:gridCol w:w="1652"/>
        <w:gridCol w:w="1541"/>
        <w:gridCol w:w="1652"/>
        <w:gridCol w:w="1538"/>
      </w:tblGrid>
      <w:tr>
        <w:trPr>
          <w:trHeight w:val="338" w:hRule="exact"/>
        </w:trPr>
        <w:tc>
          <w:tcPr>
            <w:tcW w:w="246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51"/>
              <w:ind w:left="100" w:right="0"/>
              <w:jc w:val="left"/>
              <w:rPr>
                <w:rFonts w:ascii="宋体" w:hAnsi="宋体" w:cs="宋体" w:eastAsia="宋体" w:hint="default"/>
                <w:sz w:val="21"/>
                <w:szCs w:val="21"/>
              </w:rPr>
            </w:pPr>
            <w:r>
              <w:rPr>
                <w:rFonts w:ascii="宋体" w:hAnsi="宋体" w:cs="宋体" w:eastAsia="宋体" w:hint="default"/>
                <w:sz w:val="21"/>
                <w:szCs w:val="21"/>
              </w:rPr>
              <w:t>产品名称</w:t>
            </w:r>
          </w:p>
        </w:tc>
        <w:tc>
          <w:tcPr>
            <w:tcW w:w="3193"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本年发生额</w:t>
            </w:r>
          </w:p>
        </w:tc>
        <w:tc>
          <w:tcPr>
            <w:tcW w:w="3191"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right="0"/>
              <w:jc w:val="center"/>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37" w:hRule="exact"/>
        </w:trPr>
        <w:tc>
          <w:tcPr>
            <w:tcW w:w="2460" w:type="dxa"/>
            <w:vMerge/>
            <w:tcBorders>
              <w:left w:val="single" w:sz="6" w:space="0" w:color="000000"/>
              <w:bottom w:val="single" w:sz="6" w:space="0" w:color="000000"/>
              <w:right w:val="single" w:sz="6" w:space="0" w:color="000000"/>
            </w:tcBorders>
            <w:shd w:val="clear" w:color="auto" w:fill="C0C0C0"/>
          </w:tcPr>
          <w:p>
            <w:pPr/>
          </w:p>
        </w:tc>
        <w:tc>
          <w:tcPr>
            <w:tcW w:w="165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9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4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4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5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9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3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74" w:lineRule="exact"/>
              <w:ind w:left="341"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72"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left="10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5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262,968,912.27</w:t>
            </w:r>
          </w:p>
        </w:tc>
        <w:tc>
          <w:tcPr>
            <w:tcW w:w="1541"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98,056,952.24</w:t>
            </w:r>
          </w:p>
        </w:tc>
        <w:tc>
          <w:tcPr>
            <w:tcW w:w="1652"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185,349,899.26</w:t>
            </w:r>
          </w:p>
        </w:tc>
        <w:tc>
          <w:tcPr>
            <w:tcW w:w="1538" w:type="dxa"/>
            <w:tcBorders>
              <w:top w:val="single" w:sz="14" w:space="0" w:color="C0C0C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81,216,464.07</w:t>
            </w:r>
          </w:p>
        </w:tc>
      </w:tr>
      <w:tr>
        <w:trPr>
          <w:trHeight w:val="355"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其中：硬件产品销售</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2"/>
                <w:sz w:val="21"/>
              </w:rPr>
              <w:t>123,911,549.98</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90,493,849.61</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88,913,820.28</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75,648,646.83</w:t>
            </w:r>
          </w:p>
        </w:tc>
      </w:tr>
      <w:tr>
        <w:trPr>
          <w:trHeight w:val="355"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软件产品销售</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120,157,580.20</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754,635.32</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73,359,189.85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34,963.39</w:t>
            </w:r>
          </w:p>
        </w:tc>
      </w:tr>
      <w:tr>
        <w:trPr>
          <w:trHeight w:val="355"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技术服务收入</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18,899,782.09</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6,808,467.31</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23,076,889.13</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5,532,853.85</w:t>
            </w:r>
          </w:p>
        </w:tc>
      </w:tr>
      <w:tr>
        <w:trPr>
          <w:trHeight w:val="354" w:hRule="exact"/>
        </w:trPr>
        <w:tc>
          <w:tcPr>
            <w:tcW w:w="246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262,968,912.27</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98,056,952.24</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185,349,899.26</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81,216,464.07</w:t>
            </w:r>
          </w:p>
        </w:tc>
      </w:tr>
    </w:tbl>
    <w:p>
      <w:pPr>
        <w:spacing w:before="87"/>
        <w:ind w:left="640" w:right="0" w:firstLine="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w:t>
      </w:r>
      <w:r>
        <w:rPr>
          <w:rFonts w:ascii="宋体" w:hAnsi="宋体" w:cs="宋体" w:eastAsia="宋体" w:hint="default"/>
          <w:spacing w:val="-52"/>
          <w:sz w:val="21"/>
          <w:szCs w:val="21"/>
        </w:rPr>
        <w:t> </w:t>
      </w:r>
      <w:r>
        <w:rPr>
          <w:rFonts w:ascii="宋体" w:hAnsi="宋体" w:cs="宋体" w:eastAsia="宋体" w:hint="default"/>
          <w:sz w:val="21"/>
          <w:szCs w:val="21"/>
        </w:rPr>
        <w:t>公司前五名客户营业收入情况</w:t>
      </w:r>
    </w:p>
    <w:p>
      <w:pPr>
        <w:spacing w:line="240" w:lineRule="auto" w:before="12"/>
        <w:rPr>
          <w:rFonts w:ascii="宋体" w:hAnsi="宋体" w:cs="宋体" w:eastAsia="宋体" w:hint="default"/>
          <w:sz w:val="20"/>
          <w:szCs w:val="20"/>
        </w:rPr>
      </w:pPr>
    </w:p>
    <w:tbl>
      <w:tblPr>
        <w:tblW w:w="0" w:type="auto"/>
        <w:jc w:val="left"/>
        <w:tblInd w:w="104" w:type="dxa"/>
        <w:tblLayout w:type="fixed"/>
        <w:tblCellMar>
          <w:top w:w="0" w:type="dxa"/>
          <w:left w:w="0" w:type="dxa"/>
          <w:bottom w:w="0" w:type="dxa"/>
          <w:right w:w="0" w:type="dxa"/>
        </w:tblCellMar>
        <w:tblLook w:val="01E0"/>
      </w:tblPr>
      <w:tblGrid>
        <w:gridCol w:w="3490"/>
        <w:gridCol w:w="3442"/>
        <w:gridCol w:w="1925"/>
      </w:tblGrid>
      <w:tr>
        <w:trPr>
          <w:trHeight w:val="327" w:hRule="exact"/>
        </w:trPr>
        <w:tc>
          <w:tcPr>
            <w:tcW w:w="3490"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140"/>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5366"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9" w:lineRule="exact"/>
              <w:ind w:right="1"/>
              <w:jc w:val="center"/>
              <w:rPr>
                <w:rFonts w:ascii="宋体" w:hAnsi="宋体" w:cs="宋体" w:eastAsia="宋体" w:hint="default"/>
                <w:sz w:val="21"/>
                <w:szCs w:val="21"/>
              </w:rPr>
            </w:pPr>
            <w:r>
              <w:rPr>
                <w:rFonts w:ascii="宋体" w:hAnsi="宋体" w:cs="宋体" w:eastAsia="宋体" w:hint="default"/>
                <w:sz w:val="21"/>
                <w:szCs w:val="21"/>
              </w:rPr>
              <w:t>本年发生额</w:t>
            </w:r>
          </w:p>
        </w:tc>
      </w:tr>
      <w:tr>
        <w:trPr>
          <w:trHeight w:val="326" w:hRule="exact"/>
        </w:trPr>
        <w:tc>
          <w:tcPr>
            <w:tcW w:w="3490" w:type="dxa"/>
            <w:vMerge/>
            <w:tcBorders>
              <w:left w:val="single" w:sz="6" w:space="0" w:color="000000"/>
              <w:bottom w:val="single" w:sz="6" w:space="0" w:color="000000"/>
              <w:right w:val="single" w:sz="6" w:space="0" w:color="000000"/>
            </w:tcBorders>
            <w:shd w:val="clear" w:color="auto" w:fill="C0C0C0"/>
          </w:tcPr>
          <w:p>
            <w:pPr/>
          </w:p>
        </w:tc>
        <w:tc>
          <w:tcPr>
            <w:tcW w:w="344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92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28"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新疆维吾尔自治区公安厅</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13,900,021.37</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5.29%</w:t>
            </w:r>
            <w:r>
              <w:rPr>
                <w:rFonts w:ascii="Arial Narrow"/>
                <w:sz w:val="21"/>
              </w:rPr>
            </w:r>
          </w:p>
        </w:tc>
      </w:tr>
      <w:tr>
        <w:trPr>
          <w:trHeight w:val="326"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北京瑞邦一网科技发展有限公司</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6,948,888.90</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2.64%</w:t>
            </w:r>
            <w:r>
              <w:rPr>
                <w:rFonts w:ascii="Arial Narrow"/>
                <w:sz w:val="21"/>
              </w:rPr>
            </w:r>
          </w:p>
        </w:tc>
      </w:tr>
      <w:tr>
        <w:trPr>
          <w:trHeight w:val="328"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深圳市公安局</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6,690,999.99</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2.54%</w:t>
            </w:r>
            <w:r>
              <w:rPr>
                <w:rFonts w:ascii="Arial Narrow"/>
                <w:sz w:val="21"/>
              </w:rPr>
            </w:r>
          </w:p>
        </w:tc>
      </w:tr>
      <w:tr>
        <w:trPr>
          <w:trHeight w:val="326"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杭州创聚科技有限公司</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6,046,264.96</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2.30%</w:t>
            </w:r>
            <w:r>
              <w:rPr>
                <w:rFonts w:ascii="Arial Narrow"/>
                <w:sz w:val="21"/>
              </w:rPr>
            </w:r>
          </w:p>
        </w:tc>
      </w:tr>
      <w:tr>
        <w:trPr>
          <w:trHeight w:val="328"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安徽省公安厅</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8"/>
              <w:jc w:val="right"/>
              <w:rPr>
                <w:rFonts w:ascii="Arial Narrow" w:hAnsi="Arial Narrow" w:cs="Arial Narrow" w:eastAsia="Arial Narrow" w:hint="default"/>
                <w:sz w:val="21"/>
                <w:szCs w:val="21"/>
              </w:rPr>
            </w:pPr>
            <w:r>
              <w:rPr>
                <w:rFonts w:ascii="Arial Narrow"/>
                <w:spacing w:val="-1"/>
                <w:sz w:val="21"/>
              </w:rPr>
              <w:t>5,310,576.91</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2.02%</w:t>
            </w:r>
            <w:r>
              <w:rPr>
                <w:rFonts w:ascii="Arial Narrow"/>
                <w:sz w:val="21"/>
              </w:rPr>
            </w:r>
          </w:p>
        </w:tc>
      </w:tr>
      <w:tr>
        <w:trPr>
          <w:trHeight w:val="326" w:hRule="exact"/>
        </w:trPr>
        <w:tc>
          <w:tcPr>
            <w:tcW w:w="3490" w:type="dxa"/>
            <w:tcBorders>
              <w:top w:val="single" w:sz="6" w:space="0" w:color="000000"/>
              <w:left w:val="single" w:sz="6" w:space="0" w:color="000000"/>
              <w:bottom w:val="single" w:sz="6" w:space="0" w:color="000000"/>
              <w:right w:val="single" w:sz="6" w:space="0" w:color="000000"/>
            </w:tcBorders>
          </w:tcPr>
          <w:p>
            <w:pPr>
              <w:pStyle w:val="TableParagraph"/>
              <w:tabs>
                <w:tab w:pos="421" w:val="left" w:leader="none"/>
              </w:tabs>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4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7"/>
              <w:jc w:val="right"/>
              <w:rPr>
                <w:rFonts w:ascii="Arial Narrow" w:hAnsi="Arial Narrow" w:cs="Arial Narrow" w:eastAsia="Arial Narrow" w:hint="default"/>
                <w:sz w:val="21"/>
                <w:szCs w:val="21"/>
              </w:rPr>
            </w:pPr>
            <w:r>
              <w:rPr>
                <w:rFonts w:ascii="Arial Narrow"/>
                <w:spacing w:val="-1"/>
                <w:sz w:val="21"/>
              </w:rPr>
              <w:t>38,896,752.13</w:t>
            </w:r>
          </w:p>
        </w:tc>
        <w:tc>
          <w:tcPr>
            <w:tcW w:w="19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96"/>
              <w:jc w:val="right"/>
              <w:rPr>
                <w:rFonts w:ascii="Arial Narrow" w:hAnsi="Arial Narrow" w:cs="Arial Narrow" w:eastAsia="Arial Narrow" w:hint="default"/>
                <w:sz w:val="21"/>
                <w:szCs w:val="21"/>
              </w:rPr>
            </w:pPr>
            <w:r>
              <w:rPr>
                <w:rFonts w:ascii="Arial Narrow"/>
                <w:w w:val="95"/>
                <w:sz w:val="21"/>
              </w:rPr>
              <w:t>14.79%</w:t>
            </w:r>
            <w:r>
              <w:rPr>
                <w:rFonts w:ascii="Arial Narrow"/>
                <w:sz w:val="21"/>
              </w:rPr>
            </w:r>
          </w:p>
        </w:tc>
      </w:tr>
    </w:tbl>
    <w:p>
      <w:pPr>
        <w:tabs>
          <w:tab w:pos="1479" w:val="left" w:leader="none"/>
        </w:tabs>
        <w:spacing w:line="408" w:lineRule="auto" w:before="27"/>
        <w:ind w:left="640" w:right="5939" w:firstLine="0"/>
        <w:jc w:val="left"/>
        <w:rPr>
          <w:rFonts w:ascii="宋体" w:hAnsi="宋体" w:cs="宋体" w:eastAsia="宋体" w:hint="default"/>
          <w:sz w:val="21"/>
          <w:szCs w:val="21"/>
        </w:rPr>
      </w:pPr>
      <w:r>
        <w:rPr>
          <w:rFonts w:ascii="宋体" w:hAnsi="宋体" w:cs="宋体" w:eastAsia="宋体" w:hint="default"/>
          <w:b/>
          <w:bCs/>
          <w:w w:val="95"/>
          <w:sz w:val="21"/>
          <w:szCs w:val="21"/>
        </w:rPr>
        <w:t>（五）</w:t>
        <w:tab/>
      </w:r>
      <w:r>
        <w:rPr>
          <w:rFonts w:ascii="宋体" w:hAnsi="宋体" w:cs="宋体" w:eastAsia="宋体" w:hint="default"/>
          <w:b/>
          <w:bCs/>
          <w:sz w:val="21"/>
          <w:szCs w:val="21"/>
        </w:rPr>
        <w:t>投资收益</w:t>
      </w:r>
      <w:r>
        <w:rPr>
          <w:rFonts w:ascii="宋体" w:hAnsi="宋体" w:cs="宋体" w:eastAsia="宋体" w:hint="default"/>
          <w:b/>
          <w:bCs/>
          <w:spacing w:val="1"/>
          <w:w w:val="99"/>
          <w:sz w:val="21"/>
          <w:szCs w:val="21"/>
        </w:rPr>
        <w:t> </w:t>
      </w:r>
      <w:r>
        <w:rPr>
          <w:rFonts w:ascii="宋体" w:hAnsi="宋体" w:cs="宋体" w:eastAsia="宋体" w:hint="default"/>
          <w:sz w:val="21"/>
          <w:szCs w:val="21"/>
        </w:rPr>
        <w:t>投资收益按来源列示如下：</w:t>
      </w:r>
    </w:p>
    <w:p>
      <w:pPr>
        <w:spacing w:line="240" w:lineRule="auto" w:before="13"/>
        <w:rPr>
          <w:rFonts w:ascii="宋体" w:hAnsi="宋体" w:cs="宋体" w:eastAsia="宋体" w:hint="default"/>
          <w:sz w:val="2"/>
          <w:szCs w:val="2"/>
        </w:rPr>
      </w:pPr>
    </w:p>
    <w:tbl>
      <w:tblPr>
        <w:tblW w:w="0" w:type="auto"/>
        <w:jc w:val="left"/>
        <w:tblInd w:w="110" w:type="dxa"/>
        <w:tblLayout w:type="fixed"/>
        <w:tblCellMar>
          <w:top w:w="0" w:type="dxa"/>
          <w:left w:w="0" w:type="dxa"/>
          <w:bottom w:w="0" w:type="dxa"/>
          <w:right w:w="0" w:type="dxa"/>
        </w:tblCellMar>
        <w:tblLook w:val="01E0"/>
      </w:tblPr>
      <w:tblGrid>
        <w:gridCol w:w="5182"/>
        <w:gridCol w:w="1831"/>
        <w:gridCol w:w="1831"/>
      </w:tblGrid>
      <w:tr>
        <w:trPr>
          <w:trHeight w:val="338" w:hRule="exact"/>
        </w:trPr>
        <w:tc>
          <w:tcPr>
            <w:tcW w:w="5182"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1637" w:right="0"/>
              <w:jc w:val="left"/>
              <w:rPr>
                <w:rFonts w:ascii="宋体" w:hAnsi="宋体" w:cs="宋体" w:eastAsia="宋体" w:hint="default"/>
                <w:sz w:val="21"/>
                <w:szCs w:val="21"/>
              </w:rPr>
            </w:pPr>
            <w:r>
              <w:rPr>
                <w:rFonts w:ascii="宋体" w:hAnsi="宋体" w:cs="宋体" w:eastAsia="宋体" w:hint="default"/>
                <w:sz w:val="21"/>
                <w:szCs w:val="21"/>
              </w:rPr>
              <w:t>产生投资收益的来源</w:t>
            </w:r>
          </w:p>
        </w:tc>
        <w:tc>
          <w:tcPr>
            <w:tcW w:w="183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383"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831"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57" w:lineRule="exact"/>
              <w:ind w:left="382"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54" w:hRule="exact"/>
        </w:trPr>
        <w:tc>
          <w:tcPr>
            <w:tcW w:w="5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其他投资收益</w:t>
            </w:r>
          </w:p>
        </w:tc>
        <w:tc>
          <w:tcPr>
            <w:tcW w:w="183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11" w:right="0"/>
              <w:jc w:val="left"/>
              <w:rPr>
                <w:rFonts w:ascii="Arial Narrow" w:hAnsi="Arial Narrow" w:cs="Arial Narrow" w:eastAsia="Arial Narrow" w:hint="default"/>
                <w:sz w:val="21"/>
                <w:szCs w:val="21"/>
              </w:rPr>
            </w:pPr>
            <w:r>
              <w:rPr>
                <w:rFonts w:ascii="Arial Narrow"/>
                <w:sz w:val="21"/>
              </w:rPr>
              <w:t>6,665,465.63</w:t>
            </w:r>
          </w:p>
        </w:tc>
        <w:tc>
          <w:tcPr>
            <w:tcW w:w="1831" w:type="dxa"/>
            <w:tcBorders>
              <w:top w:val="single" w:sz="6" w:space="0" w:color="000000"/>
              <w:left w:val="single" w:sz="6" w:space="0" w:color="000000"/>
              <w:bottom w:val="single" w:sz="6" w:space="0" w:color="000000"/>
              <w:right w:val="single" w:sz="6" w:space="0" w:color="000000"/>
            </w:tcBorders>
          </w:tcPr>
          <w:p>
            <w:pPr/>
          </w:p>
        </w:tc>
      </w:tr>
    </w:tbl>
    <w:p>
      <w:pPr>
        <w:spacing w:before="87"/>
        <w:ind w:left="640" w:right="0" w:firstLine="0"/>
        <w:jc w:val="left"/>
        <w:rPr>
          <w:rFonts w:ascii="宋体" w:hAnsi="宋体" w:cs="宋体" w:eastAsia="宋体" w:hint="default"/>
          <w:sz w:val="21"/>
          <w:szCs w:val="21"/>
        </w:rPr>
      </w:pPr>
      <w:r>
        <w:rPr>
          <w:rFonts w:ascii="宋体" w:hAnsi="宋体" w:cs="宋体" w:eastAsia="宋体" w:hint="default"/>
          <w:sz w:val="21"/>
          <w:szCs w:val="21"/>
        </w:rPr>
        <w:t>注：其他投资收益系拟持有至到期的定期存款利息收入。</w:t>
      </w:r>
    </w:p>
    <w:p>
      <w:pPr>
        <w:spacing w:line="240" w:lineRule="auto" w:before="5"/>
        <w:rPr>
          <w:rFonts w:ascii="宋体" w:hAnsi="宋体" w:cs="宋体" w:eastAsia="宋体" w:hint="default"/>
          <w:sz w:val="19"/>
          <w:szCs w:val="19"/>
        </w:rPr>
      </w:pPr>
    </w:p>
    <w:p>
      <w:pPr>
        <w:tabs>
          <w:tab w:pos="1479" w:val="left" w:leader="none"/>
        </w:tabs>
        <w:spacing w:before="0"/>
        <w:ind w:left="640" w:right="0" w:firstLine="0"/>
        <w:jc w:val="left"/>
        <w:rPr>
          <w:rFonts w:ascii="宋体" w:hAnsi="宋体" w:cs="宋体" w:eastAsia="宋体" w:hint="default"/>
          <w:sz w:val="21"/>
          <w:szCs w:val="21"/>
        </w:rPr>
      </w:pPr>
      <w:r>
        <w:rPr>
          <w:rFonts w:ascii="宋体" w:hAnsi="宋体" w:cs="宋体" w:eastAsia="宋体" w:hint="default"/>
          <w:b/>
          <w:bCs/>
          <w:w w:val="95"/>
          <w:sz w:val="21"/>
          <w:szCs w:val="21"/>
        </w:rPr>
        <w:t>（六）</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0"/>
        <w:rPr>
          <w:rFonts w:ascii="宋体" w:hAnsi="宋体" w:cs="宋体" w:eastAsia="宋体" w:hint="default"/>
          <w:b/>
          <w:bCs/>
          <w:sz w:val="18"/>
          <w:szCs w:val="18"/>
        </w:rPr>
      </w:pPr>
    </w:p>
    <w:tbl>
      <w:tblPr>
        <w:tblW w:w="0" w:type="auto"/>
        <w:jc w:val="left"/>
        <w:tblInd w:w="110" w:type="dxa"/>
        <w:tblLayout w:type="fixed"/>
        <w:tblCellMar>
          <w:top w:w="0" w:type="dxa"/>
          <w:left w:w="0" w:type="dxa"/>
          <w:bottom w:w="0" w:type="dxa"/>
          <w:right w:w="0" w:type="dxa"/>
        </w:tblCellMar>
        <w:tblLook w:val="01E0"/>
      </w:tblPr>
      <w:tblGrid>
        <w:gridCol w:w="5365"/>
        <w:gridCol w:w="1739"/>
        <w:gridCol w:w="1740"/>
      </w:tblGrid>
      <w:tr>
        <w:trPr>
          <w:trHeight w:val="341" w:hRule="exact"/>
        </w:trPr>
        <w:tc>
          <w:tcPr>
            <w:tcW w:w="536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35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73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441"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44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83"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1.</w:t>
            </w:r>
            <w:r>
              <w:rPr>
                <w:rFonts w:ascii="宋体" w:hAnsi="宋体" w:cs="宋体" w:eastAsia="宋体" w:hint="default"/>
                <w:sz w:val="21"/>
                <w:szCs w:val="21"/>
              </w:rPr>
              <w:t>将净利润调节为经营活动现金流量：</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60,092,293.18</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41,406,060.50</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3,706,331.94</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1,364,992.81</w:t>
            </w:r>
          </w:p>
        </w:tc>
      </w:tr>
      <w:tr>
        <w:trPr>
          <w:trHeight w:val="354"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4,583,563.37</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2,741,537.51</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900" w:left="1580" w:right="1560"/>
        </w:sectPr>
      </w:pPr>
    </w:p>
    <w:p>
      <w:pPr>
        <w:spacing w:line="240" w:lineRule="auto" w:before="9"/>
        <w:rPr>
          <w:rFonts w:ascii="宋体" w:hAnsi="宋体" w:cs="宋体" w:eastAsia="宋体" w:hint="default"/>
          <w:b/>
          <w:bCs/>
          <w:sz w:val="6"/>
          <w:szCs w:val="6"/>
        </w:rPr>
      </w:pPr>
    </w:p>
    <w:tbl>
      <w:tblPr>
        <w:tblW w:w="0" w:type="auto"/>
        <w:jc w:val="left"/>
        <w:tblInd w:w="110" w:type="dxa"/>
        <w:tblLayout w:type="fixed"/>
        <w:tblCellMar>
          <w:top w:w="0" w:type="dxa"/>
          <w:left w:w="0" w:type="dxa"/>
          <w:bottom w:w="0" w:type="dxa"/>
          <w:right w:w="0" w:type="dxa"/>
        </w:tblCellMar>
        <w:tblLook w:val="01E0"/>
      </w:tblPr>
      <w:tblGrid>
        <w:gridCol w:w="5365"/>
        <w:gridCol w:w="1739"/>
        <w:gridCol w:w="1740"/>
      </w:tblGrid>
      <w:tr>
        <w:trPr>
          <w:trHeight w:val="341" w:hRule="exact"/>
        </w:trPr>
        <w:tc>
          <w:tcPr>
            <w:tcW w:w="5365"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358"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1739"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441"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4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auto" w:before="12"/>
              <w:ind w:left="44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62"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left="100"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9"/>
              <w:jc w:val="right"/>
              <w:rPr>
                <w:rFonts w:ascii="Arial Narrow" w:hAnsi="Arial Narrow" w:cs="Arial Narrow" w:eastAsia="Arial Narrow" w:hint="default"/>
                <w:sz w:val="21"/>
                <w:szCs w:val="21"/>
              </w:rPr>
            </w:pPr>
            <w:r>
              <w:rPr>
                <w:rFonts w:ascii="Arial Narrow"/>
                <w:spacing w:val="-1"/>
                <w:sz w:val="21"/>
              </w:rPr>
              <w:t>92,435.20</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5"/>
              <w:ind w:right="97"/>
              <w:jc w:val="right"/>
              <w:rPr>
                <w:rFonts w:ascii="Arial Narrow" w:hAnsi="Arial Narrow" w:cs="Arial Narrow" w:eastAsia="Arial Narrow" w:hint="default"/>
                <w:sz w:val="21"/>
                <w:szCs w:val="21"/>
              </w:rPr>
            </w:pPr>
            <w:r>
              <w:rPr>
                <w:rFonts w:ascii="Arial Narrow"/>
                <w:spacing w:val="-1"/>
                <w:sz w:val="21"/>
              </w:rPr>
              <w:t>24,372.35</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661,201.95</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370,250.16</w:t>
            </w:r>
          </w:p>
        </w:tc>
      </w:tr>
      <w:tr>
        <w:trPr>
          <w:trHeight w:val="638"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处置固定资产、无形资产和其他长期资产的损失（收益以</w:t>
            </w:r>
          </w:p>
          <w:p>
            <w:pPr>
              <w:pStyle w:val="TableParagraph"/>
              <w:spacing w:line="240" w:lineRule="auto" w:before="37"/>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b/>
                <w:bCs/>
                <w:sz w:val="14"/>
                <w:szCs w:val="14"/>
              </w:rPr>
            </w:pPr>
          </w:p>
          <w:p>
            <w:pPr>
              <w:pStyle w:val="TableParagraph"/>
              <w:spacing w:line="240" w:lineRule="auto"/>
              <w:ind w:right="97"/>
              <w:jc w:val="right"/>
              <w:rPr>
                <w:rFonts w:ascii="Arial Narrow" w:hAnsi="Arial Narrow" w:cs="Arial Narrow" w:eastAsia="Arial Narrow" w:hint="default"/>
                <w:sz w:val="21"/>
                <w:szCs w:val="21"/>
              </w:rPr>
            </w:pPr>
            <w:r>
              <w:rPr>
                <w:rFonts w:ascii="Arial Narrow"/>
                <w:spacing w:val="-1"/>
                <w:sz w:val="21"/>
              </w:rPr>
              <w:t>37,974.62</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337,396.66</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509,761.73</w:t>
            </w:r>
          </w:p>
        </w:tc>
      </w:tr>
      <w:tr>
        <w:trPr>
          <w:trHeight w:val="354"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-6,665,465.63</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-1,124,304.80</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-2,034,834.53</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-56,431,203.89</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-12,692,678.26</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-53,419,605.41</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-18,226,867.22</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Arial Narrow" w:hAnsi="Arial Narrow" w:cs="Arial Narrow" w:eastAsia="Arial Narrow" w:hint="default"/>
                <w:sz w:val="21"/>
                <w:szCs w:val="21"/>
              </w:rPr>
              <w:t>“</w:t>
            </w:r>
            <w:r>
              <w:rPr>
                <w:rFonts w:ascii="宋体" w:hAnsi="宋体" w:cs="宋体" w:eastAsia="宋体" w:hint="default"/>
                <w:sz w:val="21"/>
                <w:szCs w:val="21"/>
              </w:rPr>
              <w:t>－</w:t>
            </w:r>
            <w:r>
              <w:rPr>
                <w:rFonts w:ascii="Arial Narrow" w:hAnsi="Arial Narrow" w:cs="Arial Narrow" w:eastAsia="Arial Narrow" w:hint="default"/>
                <w:sz w:val="21"/>
                <w:szCs w:val="21"/>
              </w:rPr>
              <w:t>”</w:t>
            </w:r>
            <w:r>
              <w:rPr>
                <w:rFonts w:ascii="宋体" w:hAnsi="宋体" w:cs="宋体" w:eastAsia="宋体" w:hint="default"/>
                <w:sz w:val="21"/>
                <w:szCs w:val="21"/>
              </w:rPr>
              <w:t>号填列）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49,487,768.92</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43,721,093.31</w:t>
            </w:r>
          </w:p>
        </w:tc>
      </w:tr>
      <w:tr>
        <w:trPr>
          <w:trHeight w:val="354"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2"/>
                <w:sz w:val="21"/>
              </w:rPr>
              <w:t>1,320,411.49</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57,221,662.98</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2.</w:t>
            </w:r>
            <w:r>
              <w:rPr>
                <w:rFonts w:ascii="宋体" w:hAnsi="宋体" w:cs="宋体" w:eastAsia="宋体" w:hint="default"/>
                <w:sz w:val="21"/>
                <w:szCs w:val="21"/>
              </w:rPr>
              <w:t>不涉及现金收支的重大投资和筹资活动：</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Arial Narrow" w:hAnsi="Arial Narrow" w:cs="Arial Narrow" w:eastAsia="Arial Narrow" w:hint="default"/>
                <w:sz w:val="21"/>
                <w:szCs w:val="21"/>
              </w:rPr>
              <w:t>3.</w:t>
            </w:r>
            <w:r>
              <w:rPr>
                <w:rFonts w:ascii="宋体" w:hAnsi="宋体" w:cs="宋体" w:eastAsia="宋体" w:hint="default"/>
                <w:sz w:val="21"/>
                <w:szCs w:val="21"/>
              </w:rPr>
              <w:t>现金及现金等价物净变动情况：</w:t>
            </w:r>
          </w:p>
        </w:tc>
        <w:tc>
          <w:tcPr>
            <w:tcW w:w="1739" w:type="dxa"/>
            <w:tcBorders>
              <w:top w:val="single" w:sz="6" w:space="0" w:color="000000"/>
              <w:left w:val="single" w:sz="6" w:space="0" w:color="000000"/>
              <w:bottom w:val="single" w:sz="6" w:space="0" w:color="000000"/>
              <w:right w:val="single" w:sz="6" w:space="0" w:color="000000"/>
            </w:tcBorders>
          </w:tcPr>
          <w:p>
            <w:pPr/>
          </w:p>
        </w:tc>
        <w:tc>
          <w:tcPr>
            <w:tcW w:w="1740" w:type="dxa"/>
            <w:tcBorders>
              <w:top w:val="single" w:sz="6" w:space="0" w:color="000000"/>
              <w:left w:val="single" w:sz="6" w:space="0" w:color="000000"/>
              <w:bottom w:val="single" w:sz="6" w:space="0" w:color="000000"/>
              <w:right w:val="single" w:sz="6" w:space="0" w:color="000000"/>
            </w:tcBorders>
          </w:tcPr>
          <w:p>
            <w:pP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现金的年末余额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254,491,832.80</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2"/>
                <w:sz w:val="21"/>
              </w:rPr>
              <w:t>96,259,411.51</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减：现金的年初余额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2"/>
                <w:sz w:val="21"/>
              </w:rPr>
              <w:t>96,259,411.51</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55,536,544.26</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加：现金等价物的年末余额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5"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减：现金等价物的年初余额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354" w:hRule="exact"/>
        </w:trPr>
        <w:tc>
          <w:tcPr>
            <w:tcW w:w="53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158,232,421.29</w:t>
            </w:r>
          </w:p>
        </w:tc>
        <w:tc>
          <w:tcPr>
            <w:tcW w:w="17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pacing w:val="-1"/>
                <w:sz w:val="21"/>
              </w:rPr>
              <w:t>40,722,867.25</w:t>
            </w:r>
          </w:p>
        </w:tc>
      </w:tr>
    </w:tbl>
    <w:p>
      <w:pPr>
        <w:spacing w:line="240" w:lineRule="auto" w:before="6"/>
        <w:rPr>
          <w:rFonts w:ascii="宋体" w:hAnsi="宋体" w:cs="宋体" w:eastAsia="宋体" w:hint="default"/>
          <w:b/>
          <w:bCs/>
          <w:sz w:val="13"/>
          <w:szCs w:val="13"/>
        </w:rPr>
      </w:pPr>
    </w:p>
    <w:p>
      <w:pPr>
        <w:pStyle w:val="BodyText"/>
        <w:spacing w:line="240" w:lineRule="auto" w:before="26"/>
        <w:ind w:left="930" w:right="180"/>
        <w:jc w:val="left"/>
        <w:rPr>
          <w:rFonts w:ascii="黑体" w:hAnsi="黑体" w:cs="黑体" w:eastAsia="黑体" w:hint="default"/>
        </w:rPr>
      </w:pPr>
      <w:r>
        <w:rPr>
          <w:rFonts w:ascii="黑体" w:hAnsi="黑体" w:cs="黑体" w:eastAsia="黑体" w:hint="default"/>
        </w:rPr>
        <w:t>十二、补充资料</w:t>
      </w:r>
    </w:p>
    <w:p>
      <w:pPr>
        <w:spacing w:line="240" w:lineRule="auto" w:before="5"/>
        <w:rPr>
          <w:rFonts w:ascii="黑体" w:hAnsi="黑体" w:cs="黑体" w:eastAsia="黑体" w:hint="default"/>
          <w:sz w:val="30"/>
          <w:szCs w:val="30"/>
        </w:rPr>
      </w:pPr>
    </w:p>
    <w:p>
      <w:pPr>
        <w:spacing w:line="408" w:lineRule="auto" w:before="0"/>
        <w:ind w:left="640" w:right="180" w:firstLine="0"/>
        <w:jc w:val="left"/>
        <w:rPr>
          <w:rFonts w:ascii="宋体" w:hAnsi="宋体" w:cs="宋体" w:eastAsia="宋体" w:hint="default"/>
          <w:sz w:val="21"/>
          <w:szCs w:val="21"/>
        </w:rPr>
      </w:pPr>
      <w:r>
        <w:rPr>
          <w:rFonts w:ascii="宋体" w:hAnsi="宋体" w:cs="宋体" w:eastAsia="宋体" w:hint="default"/>
          <w:b/>
          <w:bCs/>
          <w:sz w:val="21"/>
          <w:szCs w:val="21"/>
        </w:rPr>
        <w:t>（一）当期非经常性损益明细表</w:t>
      </w:r>
      <w:r>
        <w:rPr>
          <w:rFonts w:ascii="宋体" w:hAnsi="宋体" w:cs="宋体" w:eastAsia="宋体" w:hint="default"/>
          <w:b/>
          <w:bCs/>
          <w:spacing w:val="1"/>
          <w:w w:val="99"/>
          <w:sz w:val="21"/>
          <w:szCs w:val="21"/>
        </w:rPr>
        <w:t> </w:t>
      </w:r>
      <w:r>
        <w:rPr>
          <w:rFonts w:ascii="宋体" w:hAnsi="宋体" w:cs="宋体" w:eastAsia="宋体" w:hint="default"/>
          <w:spacing w:val="8"/>
          <w:sz w:val="21"/>
          <w:szCs w:val="21"/>
        </w:rPr>
        <w:t>根据中国证监会《公开发行证券的公司信息披露解释性公告第 </w:t>
      </w:r>
      <w:r>
        <w:rPr>
          <w:rFonts w:ascii="Arial Narrow" w:hAnsi="Arial Narrow" w:cs="Arial Narrow" w:eastAsia="Arial Narrow" w:hint="default"/>
          <w:sz w:val="21"/>
          <w:szCs w:val="21"/>
        </w:rPr>
        <w:t>1 </w:t>
      </w:r>
      <w:r>
        <w:rPr>
          <w:rFonts w:ascii="Arial Narrow" w:hAnsi="Arial Narrow" w:cs="Arial Narrow" w:eastAsia="Arial Narrow" w:hint="default"/>
          <w:spacing w:val="44"/>
          <w:sz w:val="21"/>
          <w:szCs w:val="21"/>
        </w:rPr>
        <w:t> </w:t>
      </w:r>
      <w:r>
        <w:rPr>
          <w:rFonts w:ascii="宋体" w:hAnsi="宋体" w:cs="宋体" w:eastAsia="宋体" w:hint="default"/>
          <w:spacing w:val="9"/>
          <w:sz w:val="21"/>
          <w:szCs w:val="21"/>
        </w:rPr>
        <w:t>号——非经常性损益</w:t>
      </w:r>
      <w:r>
        <w:rPr>
          <w:rFonts w:ascii="宋体" w:hAnsi="宋体" w:cs="宋体" w:eastAsia="宋体" w:hint="default"/>
          <w:sz w:val="21"/>
          <w:szCs w:val="21"/>
        </w:rPr>
      </w:r>
    </w:p>
    <w:p>
      <w:pPr>
        <w:spacing w:line="243" w:lineRule="exact" w:before="0"/>
        <w:ind w:left="220" w:right="180" w:firstLine="0"/>
        <w:jc w:val="left"/>
        <w:rPr>
          <w:rFonts w:ascii="宋体" w:hAnsi="宋体" w:cs="宋体" w:eastAsia="宋体" w:hint="default"/>
          <w:sz w:val="21"/>
          <w:szCs w:val="21"/>
        </w:rPr>
      </w:pPr>
      <w:r>
        <w:rPr>
          <w:rFonts w:ascii="宋体" w:hAnsi="宋体" w:cs="宋体" w:eastAsia="宋体" w:hint="default"/>
          <w:sz w:val="21"/>
          <w:szCs w:val="21"/>
        </w:rPr>
        <w:t>（</w:t>
      </w:r>
      <w:r>
        <w:rPr>
          <w:rFonts w:ascii="Arial Narrow" w:hAnsi="Arial Narrow" w:cs="Arial Narrow" w:eastAsia="Arial Narrow" w:hint="default"/>
          <w:w w:val="99"/>
          <w:sz w:val="21"/>
          <w:szCs w:val="21"/>
        </w:rPr>
        <w:t>2008</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中国证券监督管理委员会公告</w:t>
      </w:r>
      <w:r>
        <w:rPr>
          <w:rFonts w:ascii="Arial Narrow" w:hAnsi="Arial Narrow" w:cs="Arial Narrow" w:eastAsia="Arial Narrow" w:hint="default"/>
          <w:w w:val="99"/>
          <w:sz w:val="21"/>
          <w:szCs w:val="21"/>
        </w:rPr>
        <w:t>[2008]</w:t>
      </w:r>
      <w:r>
        <w:rPr>
          <w:rFonts w:ascii="Arial Narrow" w:hAnsi="Arial Narrow" w:cs="Arial Narrow" w:eastAsia="Arial Narrow" w:hint="default"/>
          <w:spacing w:val="-2"/>
          <w:w w:val="99"/>
          <w:sz w:val="21"/>
          <w:szCs w:val="21"/>
        </w:rPr>
        <w:t>4</w:t>
      </w:r>
      <w:r>
        <w:rPr>
          <w:rFonts w:ascii="Arial Narrow" w:hAnsi="Arial Narrow" w:cs="Arial Narrow" w:eastAsia="Arial Narrow" w:hint="default"/>
          <w:w w:val="99"/>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z w:val="21"/>
          <w:szCs w:val="21"/>
        </w:rPr>
        <w:t>，本</w:t>
      </w:r>
      <w:r>
        <w:rPr>
          <w:rFonts w:ascii="宋体" w:hAnsi="宋体" w:cs="宋体" w:eastAsia="宋体" w:hint="default"/>
          <w:spacing w:val="-2"/>
          <w:sz w:val="21"/>
          <w:szCs w:val="21"/>
        </w:rPr>
        <w:t>公</w:t>
      </w:r>
      <w:r>
        <w:rPr>
          <w:rFonts w:ascii="宋体" w:hAnsi="宋体" w:cs="宋体" w:eastAsia="宋体" w:hint="default"/>
          <w:sz w:val="21"/>
          <w:szCs w:val="21"/>
        </w:rPr>
        <w:t>司非经常性损益列示如下：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4966"/>
        <w:gridCol w:w="2024"/>
        <w:gridCol w:w="1854"/>
      </w:tblGrid>
      <w:tr>
        <w:trPr>
          <w:trHeight w:val="407" w:hRule="exact"/>
        </w:trPr>
        <w:tc>
          <w:tcPr>
            <w:tcW w:w="496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48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85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94"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679"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非流动性资产处置损益，包括已计提资产减值准备的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冲销部分</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914" w:right="0"/>
              <w:jc w:val="left"/>
              <w:rPr>
                <w:rFonts w:ascii="Arial Narrow" w:hAnsi="Arial Narrow" w:cs="Arial Narrow" w:eastAsia="Arial Narrow" w:hint="default"/>
                <w:sz w:val="21"/>
                <w:szCs w:val="21"/>
              </w:rPr>
            </w:pPr>
            <w:r>
              <w:rPr>
                <w:rFonts w:ascii="Arial Narrow"/>
                <w:sz w:val="21"/>
              </w:rPr>
              <w:t>-37,974.62</w:t>
            </w:r>
          </w:p>
        </w:tc>
      </w:tr>
      <w:tr>
        <w:trPr>
          <w:trHeight w:val="376"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3"/>
              <w:jc w:val="center"/>
              <w:rPr>
                <w:rFonts w:ascii="宋体" w:hAnsi="宋体" w:cs="宋体" w:eastAsia="宋体" w:hint="default"/>
                <w:sz w:val="21"/>
                <w:szCs w:val="21"/>
              </w:rPr>
            </w:pPr>
            <w:r>
              <w:rPr>
                <w:rFonts w:ascii="宋体" w:hAnsi="宋体" w:cs="宋体" w:eastAsia="宋体" w:hint="default"/>
                <w:sz w:val="21"/>
                <w:szCs w:val="21"/>
              </w:rPr>
              <w:t>越权审批</w:t>
            </w:r>
            <w:r>
              <w:rPr>
                <w:rFonts w:ascii="宋体" w:hAnsi="宋体" w:cs="宋体" w:eastAsia="宋体" w:hint="default"/>
                <w:spacing w:val="-93"/>
                <w:sz w:val="21"/>
                <w:szCs w:val="21"/>
              </w:rPr>
              <w:t>，</w:t>
            </w:r>
            <w:r>
              <w:rPr>
                <w:rFonts w:ascii="宋体" w:hAnsi="宋体" w:cs="宋体" w:eastAsia="宋体" w:hint="default"/>
                <w:spacing w:val="-2"/>
                <w:sz w:val="21"/>
                <w:szCs w:val="21"/>
              </w:rPr>
              <w:t>或</w:t>
            </w:r>
            <w:r>
              <w:rPr>
                <w:rFonts w:ascii="宋体" w:hAnsi="宋体" w:cs="宋体" w:eastAsia="宋体" w:hint="default"/>
                <w:sz w:val="21"/>
                <w:szCs w:val="21"/>
              </w:rPr>
              <w:t>无正式批准文件</w:t>
            </w:r>
            <w:r>
              <w:rPr>
                <w:rFonts w:ascii="宋体" w:hAnsi="宋体" w:cs="宋体" w:eastAsia="宋体" w:hint="default"/>
                <w:spacing w:val="-93"/>
                <w:sz w:val="21"/>
                <w:szCs w:val="21"/>
              </w:rPr>
              <w:t>，</w:t>
            </w:r>
            <w:r>
              <w:rPr>
                <w:rFonts w:ascii="宋体" w:hAnsi="宋体" w:cs="宋体" w:eastAsia="宋体" w:hint="default"/>
                <w:sz w:val="21"/>
                <w:szCs w:val="21"/>
              </w:rPr>
              <w:t>或偶</w:t>
            </w:r>
            <w:r>
              <w:rPr>
                <w:rFonts w:ascii="宋体" w:hAnsi="宋体" w:cs="宋体" w:eastAsia="宋体" w:hint="default"/>
                <w:spacing w:val="-2"/>
                <w:sz w:val="21"/>
                <w:szCs w:val="21"/>
              </w:rPr>
              <w:t>发</w:t>
            </w:r>
            <w:r>
              <w:rPr>
                <w:rFonts w:ascii="宋体" w:hAnsi="宋体" w:cs="宋体" w:eastAsia="宋体" w:hint="default"/>
                <w:sz w:val="21"/>
                <w:szCs w:val="21"/>
              </w:rPr>
              <w:t>性的税收返还、</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bl>
    <w:p>
      <w:pPr>
        <w:spacing w:after="0"/>
        <w:sectPr>
          <w:pgSz w:w="12240" w:h="15840"/>
          <w:pgMar w:header="0" w:footer="688" w:top="1360" w:bottom="900" w:left="1580" w:right="1580"/>
        </w:sectPr>
      </w:pPr>
    </w:p>
    <w:p>
      <w:pPr>
        <w:spacing w:line="240" w:lineRule="auto" w:before="0"/>
        <w:rPr>
          <w:rFonts w:ascii="Times New Roman" w:hAnsi="Times New Roman" w:cs="Times New Roman" w:eastAsia="Times New Roman"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4966"/>
        <w:gridCol w:w="2024"/>
        <w:gridCol w:w="1854"/>
      </w:tblGrid>
      <w:tr>
        <w:trPr>
          <w:trHeight w:val="406" w:hRule="exact"/>
        </w:trPr>
        <w:tc>
          <w:tcPr>
            <w:tcW w:w="496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48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85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94"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减免</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计入当期损益的政府补助（与公司正常经营业务密切</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pacing w:val="-4"/>
                <w:sz w:val="21"/>
                <w:szCs w:val="21"/>
              </w:rPr>
              <w:t>相关，符合国家政策规定、按照一定标准定额或定量</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持续享受的政府补助除外）</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7,825,186.73</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15"/>
              <w:ind w:right="97"/>
              <w:jc w:val="right"/>
              <w:rPr>
                <w:rFonts w:ascii="Arial Narrow" w:hAnsi="Arial Narrow" w:cs="Arial Narrow" w:eastAsia="Arial Narrow" w:hint="default"/>
                <w:sz w:val="21"/>
                <w:szCs w:val="21"/>
              </w:rPr>
            </w:pPr>
            <w:r>
              <w:rPr>
                <w:rFonts w:ascii="Arial Narrow"/>
                <w:spacing w:val="-2"/>
                <w:sz w:val="21"/>
              </w:rPr>
              <w:t>11,392,929.24</w:t>
            </w: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952"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企业取得子公司、联营企业及合营企业的投资成本小</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于取得投资时应享有被投资单位可辨认净资产公允</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价值产生的收益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376"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679"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因不可抗力因素，如遭受自然灾害而计提的各项资产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7"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企业重组费用，如安置职工的支出、整合费用等</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680"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交易价格显失公允的交易产生的超过公允价值部分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679"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同一控制下企业合并产生的子公司期初至合并日的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当期净损益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7"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1225"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除同公司正常经营业务相关的有效套期保值业务外，</w:t>
            </w:r>
          </w:p>
          <w:p>
            <w:pPr>
              <w:pStyle w:val="TableParagraph"/>
              <w:spacing w:line="272" w:lineRule="exact" w:before="26"/>
              <w:ind w:left="100" w:right="99"/>
              <w:jc w:val="both"/>
              <w:rPr>
                <w:rFonts w:ascii="宋体" w:hAnsi="宋体" w:cs="宋体" w:eastAsia="宋体" w:hint="default"/>
                <w:sz w:val="21"/>
                <w:szCs w:val="21"/>
              </w:rPr>
            </w:pPr>
            <w:r>
              <w:rPr>
                <w:rFonts w:ascii="宋体" w:hAnsi="宋体" w:cs="宋体" w:eastAsia="宋体" w:hint="default"/>
                <w:spacing w:val="-4"/>
                <w:sz w:val="21"/>
                <w:szCs w:val="21"/>
              </w:rPr>
              <w:t>持有交易性金融资产、交易性金融负债产生的公允价</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4"/>
                <w:sz w:val="21"/>
                <w:szCs w:val="21"/>
              </w:rPr>
              <w:t>值变动损益，以及处置交易性金融资产、交易性金融</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负债和可供出售金融资产取得的投资收益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7"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679"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采用公允价值模式进行后续计量的投资性房地产公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允价值变动产生的损益</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679"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根据税收、会计等法律、法规的要求对当期损益进行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一次性调整对当期损益的影响</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7"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99"/>
              <w:jc w:val="right"/>
              <w:rPr>
                <w:rFonts w:ascii="Arial Narrow" w:hAnsi="Arial Narrow" w:cs="Arial Narrow" w:eastAsia="Arial Narrow" w:hint="default"/>
                <w:sz w:val="21"/>
                <w:szCs w:val="21"/>
              </w:rPr>
            </w:pPr>
            <w:r>
              <w:rPr>
                <w:rFonts w:ascii="Arial Narrow"/>
                <w:spacing w:val="-1"/>
                <w:sz w:val="21"/>
              </w:rPr>
              <w:t>33,354.87</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8"/>
              <w:jc w:val="right"/>
              <w:rPr>
                <w:rFonts w:ascii="Arial Narrow" w:hAnsi="Arial Narrow" w:cs="Arial Narrow" w:eastAsia="Arial Narrow" w:hint="default"/>
                <w:sz w:val="21"/>
                <w:szCs w:val="21"/>
              </w:rPr>
            </w:pPr>
            <w:r>
              <w:rPr>
                <w:rFonts w:ascii="Arial Narrow"/>
                <w:spacing w:val="-1"/>
                <w:sz w:val="21"/>
              </w:rPr>
              <w:t>-53,149.95</w:t>
            </w:r>
          </w:p>
        </w:tc>
      </w:tr>
      <w:tr>
        <w:trPr>
          <w:trHeight w:val="40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
        </w:tc>
      </w:tr>
      <w:tr>
        <w:trPr>
          <w:trHeight w:val="407"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634" w:right="0"/>
              <w:jc w:val="left"/>
              <w:rPr>
                <w:rFonts w:ascii="宋体" w:hAnsi="宋体" w:cs="宋体" w:eastAsia="宋体" w:hint="default"/>
                <w:sz w:val="21"/>
                <w:szCs w:val="21"/>
              </w:rPr>
            </w:pPr>
            <w:r>
              <w:rPr>
                <w:rFonts w:ascii="宋体" w:hAnsi="宋体" w:cs="宋体" w:eastAsia="宋体" w:hint="default"/>
                <w:sz w:val="21"/>
                <w:szCs w:val="21"/>
              </w:rPr>
              <w:t>非经常性损益合计</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1"/>
                <w:sz w:val="21"/>
              </w:rPr>
              <w:t>7,858,541.60</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97"/>
              <w:jc w:val="right"/>
              <w:rPr>
                <w:rFonts w:ascii="Arial Narrow" w:hAnsi="Arial Narrow" w:cs="Arial Narrow" w:eastAsia="Arial Narrow" w:hint="default"/>
                <w:sz w:val="21"/>
                <w:szCs w:val="21"/>
              </w:rPr>
            </w:pPr>
            <w:r>
              <w:rPr>
                <w:rFonts w:ascii="Arial Narrow"/>
                <w:spacing w:val="-2"/>
                <w:sz w:val="21"/>
              </w:rPr>
              <w:t>11,301,804.67</w:t>
            </w:r>
          </w:p>
        </w:tc>
      </w:tr>
      <w:tr>
        <w:trPr>
          <w:trHeight w:val="355"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减：所得税影响额</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1,749,991.60</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1,449,617.47</w:t>
            </w:r>
          </w:p>
        </w:tc>
      </w:tr>
      <w:tr>
        <w:trPr>
          <w:trHeight w:val="354"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674" w:right="0"/>
              <w:jc w:val="left"/>
              <w:rPr>
                <w:rFonts w:ascii="宋体" w:hAnsi="宋体" w:cs="宋体" w:eastAsia="宋体" w:hint="default"/>
                <w:sz w:val="24"/>
                <w:szCs w:val="24"/>
              </w:rPr>
            </w:pPr>
            <w:r>
              <w:rPr>
                <w:rFonts w:ascii="宋体" w:hAnsi="宋体" w:cs="宋体" w:eastAsia="宋体" w:hint="default"/>
                <w:sz w:val="24"/>
                <w:szCs w:val="24"/>
              </w:rPr>
              <w:t>非经常性损益净额（影响净利润）</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7"/>
              <w:jc w:val="right"/>
              <w:rPr>
                <w:rFonts w:ascii="Arial Narrow" w:hAnsi="Arial Narrow" w:cs="Arial Narrow" w:eastAsia="Arial Narrow" w:hint="default"/>
                <w:sz w:val="21"/>
                <w:szCs w:val="21"/>
              </w:rPr>
            </w:pPr>
            <w:r>
              <w:rPr>
                <w:rFonts w:ascii="Arial Narrow"/>
                <w:spacing w:val="-1"/>
                <w:sz w:val="21"/>
              </w:rPr>
              <w:t>6,108,550.00</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spacing w:val="-1"/>
                <w:sz w:val="21"/>
              </w:rPr>
              <w:t>9,852,187.20</w:t>
            </w:r>
          </w:p>
        </w:tc>
      </w:tr>
    </w:tbl>
    <w:p>
      <w:pPr>
        <w:spacing w:after="0" w:line="240" w:lineRule="auto"/>
        <w:jc w:val="right"/>
        <w:rPr>
          <w:rFonts w:ascii="Arial Narrow" w:hAnsi="Arial Narrow" w:cs="Arial Narrow" w:eastAsia="Arial Narrow" w:hint="default"/>
          <w:sz w:val="21"/>
          <w:szCs w:val="21"/>
        </w:rPr>
        <w:sectPr>
          <w:pgSz w:w="12240" w:h="15840"/>
          <w:pgMar w:header="0" w:footer="688" w:top="1360" w:bottom="880" w:left="1580" w:right="1580"/>
        </w:sectPr>
      </w:pPr>
    </w:p>
    <w:p>
      <w:pPr>
        <w:spacing w:line="240" w:lineRule="auto" w:before="0"/>
        <w:rPr>
          <w:rFonts w:ascii="Times New Roman" w:hAnsi="Times New Roman" w:cs="Times New Roman" w:eastAsia="Times New Roman"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4966"/>
        <w:gridCol w:w="2024"/>
        <w:gridCol w:w="1854"/>
      </w:tblGrid>
      <w:tr>
        <w:trPr>
          <w:trHeight w:val="406" w:hRule="exact"/>
        </w:trPr>
        <w:tc>
          <w:tcPr>
            <w:tcW w:w="4966"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2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480"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854"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94"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355"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91" w:lineRule="exact"/>
              <w:ind w:left="100" w:right="0"/>
              <w:jc w:val="left"/>
              <w:rPr>
                <w:rFonts w:ascii="宋体" w:hAnsi="宋体" w:cs="宋体" w:eastAsia="宋体" w:hint="default"/>
                <w:sz w:val="24"/>
                <w:szCs w:val="24"/>
              </w:rPr>
            </w:pPr>
            <w:r>
              <w:rPr>
                <w:rFonts w:ascii="宋体" w:hAnsi="宋体" w:cs="宋体" w:eastAsia="宋体" w:hint="default"/>
                <w:sz w:val="24"/>
                <w:szCs w:val="24"/>
              </w:rPr>
              <w:t>减：少数股东权益影响额</w:t>
            </w:r>
          </w:p>
        </w:tc>
        <w:tc>
          <w:tcPr>
            <w:tcW w:w="2024" w:type="dxa"/>
            <w:tcBorders>
              <w:top w:val="single" w:sz="6" w:space="0" w:color="000000"/>
              <w:left w:val="single" w:sz="6" w:space="0" w:color="000000"/>
              <w:bottom w:val="single" w:sz="6" w:space="0" w:color="000000"/>
              <w:right w:val="single" w:sz="6" w:space="0" w:color="000000"/>
            </w:tcBorders>
          </w:tcPr>
          <w:p>
            <w:pP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9"/>
              <w:jc w:val="right"/>
              <w:rPr>
                <w:rFonts w:ascii="Arial Narrow" w:hAnsi="Arial Narrow" w:cs="Arial Narrow" w:eastAsia="Arial Narrow" w:hint="default"/>
                <w:sz w:val="21"/>
                <w:szCs w:val="21"/>
              </w:rPr>
            </w:pPr>
            <w:r>
              <w:rPr>
                <w:rFonts w:ascii="Arial Narrow"/>
                <w:sz w:val="21"/>
              </w:rPr>
              <w:t>-</w:t>
            </w:r>
          </w:p>
        </w:tc>
      </w:tr>
      <w:tr>
        <w:trPr>
          <w:trHeight w:val="638"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4"/>
                <w:szCs w:val="24"/>
              </w:rPr>
            </w:pPr>
            <w:r>
              <w:rPr>
                <w:rFonts w:ascii="宋体" w:hAnsi="宋体" w:cs="宋体" w:eastAsia="宋体" w:hint="default"/>
                <w:spacing w:val="10"/>
                <w:sz w:val="24"/>
                <w:szCs w:val="24"/>
              </w:rPr>
              <w:t>归属于母公司普通股股东净利润的非经常性</w:t>
            </w:r>
            <w:r>
              <w:rPr>
                <w:rFonts w:ascii="宋体" w:hAnsi="宋体" w:cs="宋体" w:eastAsia="宋体" w:hint="default"/>
                <w:sz w:val="24"/>
                <w:szCs w:val="24"/>
              </w:rPr>
            </w:r>
          </w:p>
          <w:p>
            <w:pPr>
              <w:pStyle w:val="TableParagraph"/>
              <w:spacing w:line="313" w:lineRule="exact"/>
              <w:ind w:left="100" w:right="0"/>
              <w:jc w:val="left"/>
              <w:rPr>
                <w:rFonts w:ascii="宋体" w:hAnsi="宋体" w:cs="宋体" w:eastAsia="宋体" w:hint="default"/>
                <w:sz w:val="24"/>
                <w:szCs w:val="24"/>
              </w:rPr>
            </w:pPr>
            <w:r>
              <w:rPr>
                <w:rFonts w:ascii="宋体" w:hAnsi="宋体" w:cs="宋体" w:eastAsia="宋体" w:hint="default"/>
                <w:sz w:val="24"/>
                <w:szCs w:val="24"/>
              </w:rPr>
              <w:t>损益</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Arial Narrow" w:hAnsi="Arial Narrow" w:cs="Arial Narrow" w:eastAsia="Arial Narrow" w:hint="default"/>
                <w:sz w:val="21"/>
                <w:szCs w:val="21"/>
              </w:rPr>
            </w:pPr>
            <w:r>
              <w:rPr>
                <w:rFonts w:ascii="Arial Narrow"/>
                <w:spacing w:val="-1"/>
                <w:sz w:val="21"/>
              </w:rPr>
              <w:t>6,108,550.00</w:t>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Arial Narrow" w:hAnsi="Arial Narrow" w:cs="Arial Narrow" w:eastAsia="Arial Narrow" w:hint="default"/>
                <w:sz w:val="21"/>
                <w:szCs w:val="21"/>
              </w:rPr>
            </w:pPr>
            <w:r>
              <w:rPr>
                <w:rFonts w:ascii="Arial Narrow"/>
                <w:spacing w:val="-1"/>
                <w:sz w:val="21"/>
              </w:rPr>
              <w:t>9,852,187.20</w:t>
            </w:r>
          </w:p>
        </w:tc>
      </w:tr>
      <w:tr>
        <w:trPr>
          <w:trHeight w:val="636" w:hRule="exact"/>
        </w:trPr>
        <w:tc>
          <w:tcPr>
            <w:tcW w:w="4966" w:type="dxa"/>
            <w:tcBorders>
              <w:top w:val="single" w:sz="6" w:space="0" w:color="000000"/>
              <w:left w:val="single" w:sz="6" w:space="0" w:color="000000"/>
              <w:bottom w:val="single" w:sz="6" w:space="0" w:color="000000"/>
              <w:right w:val="single" w:sz="6" w:space="0" w:color="000000"/>
            </w:tcBorders>
          </w:tcPr>
          <w:p>
            <w:pPr>
              <w:pStyle w:val="TableParagraph"/>
              <w:spacing w:line="275" w:lineRule="exact"/>
              <w:ind w:left="100" w:right="0"/>
              <w:jc w:val="left"/>
              <w:rPr>
                <w:rFonts w:ascii="宋体" w:hAnsi="宋体" w:cs="宋体" w:eastAsia="宋体" w:hint="default"/>
                <w:sz w:val="24"/>
                <w:szCs w:val="24"/>
              </w:rPr>
            </w:pPr>
            <w:r>
              <w:rPr>
                <w:rFonts w:ascii="宋体" w:hAnsi="宋体" w:cs="宋体" w:eastAsia="宋体" w:hint="default"/>
                <w:spacing w:val="10"/>
                <w:sz w:val="24"/>
                <w:szCs w:val="24"/>
              </w:rPr>
              <w:t>扣除非经常性损益后的归属于母公司普通股</w:t>
            </w:r>
            <w:r>
              <w:rPr>
                <w:rFonts w:ascii="宋体" w:hAnsi="宋体" w:cs="宋体" w:eastAsia="宋体" w:hint="default"/>
                <w:sz w:val="24"/>
                <w:szCs w:val="24"/>
              </w:rPr>
            </w:r>
          </w:p>
          <w:p>
            <w:pPr>
              <w:pStyle w:val="TableParagraph"/>
              <w:spacing w:line="312" w:lineRule="exact"/>
              <w:ind w:left="100" w:right="0"/>
              <w:jc w:val="left"/>
              <w:rPr>
                <w:rFonts w:ascii="宋体" w:hAnsi="宋体" w:cs="宋体" w:eastAsia="宋体" w:hint="default"/>
                <w:sz w:val="24"/>
                <w:szCs w:val="24"/>
              </w:rPr>
            </w:pPr>
            <w:r>
              <w:rPr>
                <w:rFonts w:ascii="宋体" w:hAnsi="宋体" w:cs="宋体" w:eastAsia="宋体" w:hint="default"/>
                <w:sz w:val="24"/>
                <w:szCs w:val="24"/>
              </w:rPr>
              <w:t>股东净利润</w:t>
            </w:r>
          </w:p>
        </w:tc>
        <w:tc>
          <w:tcPr>
            <w:tcW w:w="2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3"/>
              <w:ind w:right="99"/>
              <w:jc w:val="right"/>
              <w:rPr>
                <w:rFonts w:ascii="Arial Narrow" w:hAnsi="Arial Narrow" w:cs="Arial Narrow" w:eastAsia="Arial Narrow" w:hint="default"/>
                <w:sz w:val="24"/>
                <w:szCs w:val="24"/>
              </w:rPr>
            </w:pPr>
            <w:r>
              <w:rPr>
                <w:rFonts w:ascii="Arial Narrow"/>
                <w:w w:val="95"/>
                <w:sz w:val="24"/>
              </w:rPr>
              <w:t>55,396,431.78</w:t>
            </w:r>
            <w:r>
              <w:rPr>
                <w:rFonts w:ascii="Arial Narrow"/>
                <w:sz w:val="24"/>
              </w:rPr>
            </w:r>
          </w:p>
        </w:tc>
        <w:tc>
          <w:tcPr>
            <w:tcW w:w="18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Arial Narrow" w:hAnsi="Arial Narrow" w:cs="Arial Narrow" w:eastAsia="Arial Narrow" w:hint="default"/>
                <w:sz w:val="21"/>
                <w:szCs w:val="21"/>
              </w:rPr>
            </w:pPr>
            <w:r>
              <w:rPr>
                <w:rFonts w:ascii="Arial Narrow"/>
                <w:spacing w:val="-1"/>
                <w:sz w:val="21"/>
              </w:rPr>
              <w:t>31,193,383.27</w:t>
            </w:r>
          </w:p>
        </w:tc>
      </w:tr>
    </w:tbl>
    <w:p>
      <w:pPr>
        <w:spacing w:line="410" w:lineRule="auto" w:before="27"/>
        <w:ind w:left="640" w:right="201" w:firstLine="0"/>
        <w:jc w:val="left"/>
        <w:rPr>
          <w:rFonts w:ascii="宋体" w:hAnsi="宋体" w:cs="宋体" w:eastAsia="宋体" w:hint="default"/>
          <w:sz w:val="21"/>
          <w:szCs w:val="21"/>
        </w:rPr>
      </w:pPr>
      <w:r>
        <w:rPr>
          <w:rFonts w:ascii="宋体" w:hAnsi="宋体" w:cs="宋体" w:eastAsia="宋体" w:hint="default"/>
          <w:b/>
          <w:bCs/>
          <w:sz w:val="21"/>
          <w:szCs w:val="21"/>
        </w:rPr>
        <w:t>（二）净资产收益率和每股收益</w:t>
      </w:r>
      <w:r>
        <w:rPr>
          <w:rFonts w:ascii="宋体" w:hAnsi="宋体" w:cs="宋体" w:eastAsia="宋体" w:hint="default"/>
          <w:b/>
          <w:bCs/>
          <w:spacing w:val="1"/>
          <w:w w:val="99"/>
          <w:sz w:val="21"/>
          <w:szCs w:val="21"/>
        </w:rPr>
        <w:t> </w:t>
      </w:r>
      <w:r>
        <w:rPr>
          <w:rFonts w:ascii="宋体" w:hAnsi="宋体" w:cs="宋体" w:eastAsia="宋体" w:hint="default"/>
          <w:sz w:val="21"/>
          <w:szCs w:val="21"/>
        </w:rPr>
        <w:t>本公司按照中国证监会《公开发行证券的公司信息披露编报规则第 </w:t>
      </w:r>
      <w:r>
        <w:rPr>
          <w:rFonts w:ascii="Arial Narrow" w:hAnsi="Arial Narrow" w:cs="Arial Narrow" w:eastAsia="Arial Narrow" w:hint="default"/>
          <w:sz w:val="21"/>
          <w:szCs w:val="21"/>
        </w:rPr>
        <w:t>9</w:t>
      </w:r>
      <w:r>
        <w:rPr>
          <w:rFonts w:ascii="Arial Narrow" w:hAnsi="Arial Narrow" w:cs="Arial Narrow" w:eastAsia="Arial Narrow" w:hint="default"/>
          <w:spacing w:val="-10"/>
          <w:sz w:val="21"/>
          <w:szCs w:val="21"/>
        </w:rPr>
        <w:t> </w:t>
      </w:r>
      <w:r>
        <w:rPr>
          <w:rFonts w:ascii="宋体" w:hAnsi="宋体" w:cs="宋体" w:eastAsia="宋体" w:hint="default"/>
          <w:sz w:val="21"/>
          <w:szCs w:val="21"/>
        </w:rPr>
        <w:t>号——净资产收益率</w:t>
      </w:r>
    </w:p>
    <w:p>
      <w:pPr>
        <w:spacing w:line="239" w:lineRule="exact" w:before="0"/>
        <w:ind w:left="219" w:right="180" w:firstLine="0"/>
        <w:jc w:val="left"/>
        <w:rPr>
          <w:rFonts w:ascii="宋体" w:hAnsi="宋体" w:cs="宋体" w:eastAsia="宋体" w:hint="default"/>
          <w:sz w:val="21"/>
          <w:szCs w:val="21"/>
        </w:rPr>
      </w:pPr>
      <w:r>
        <w:rPr>
          <w:rFonts w:ascii="宋体" w:hAnsi="宋体" w:cs="宋体" w:eastAsia="宋体" w:hint="default"/>
          <w:sz w:val="21"/>
          <w:szCs w:val="21"/>
        </w:rPr>
        <w:t>和每股收益的计算及披</w:t>
      </w:r>
      <w:r>
        <w:rPr>
          <w:rFonts w:ascii="宋体" w:hAnsi="宋体" w:cs="宋体" w:eastAsia="宋体" w:hint="default"/>
          <w:spacing w:val="-29"/>
          <w:sz w:val="21"/>
          <w:szCs w:val="21"/>
        </w:rPr>
        <w:t>露</w:t>
      </w:r>
      <w:r>
        <w:rPr>
          <w:rFonts w:ascii="宋体" w:hAnsi="宋体" w:cs="宋体" w:eastAsia="宋体" w:hint="default"/>
          <w:sz w:val="21"/>
          <w:szCs w:val="21"/>
        </w:rPr>
        <w:t>（</w:t>
      </w:r>
      <w:r>
        <w:rPr>
          <w:rFonts w:ascii="Arial Narrow" w:hAnsi="Arial Narrow" w:cs="Arial Narrow" w:eastAsia="Arial Narrow" w:hint="default"/>
          <w:w w:val="99"/>
          <w:sz w:val="21"/>
          <w:szCs w:val="21"/>
        </w:rPr>
        <w:t>2010</w:t>
      </w:r>
      <w:r>
        <w:rPr>
          <w:rFonts w:ascii="Arial Narrow" w:hAnsi="Arial Narrow" w:cs="Arial Narrow" w:eastAsia="Arial Narrow" w:hint="default"/>
          <w:spacing w:val="5"/>
          <w:sz w:val="21"/>
          <w:szCs w:val="21"/>
        </w:rPr>
        <w:t> </w:t>
      </w:r>
      <w:r>
        <w:rPr>
          <w:rFonts w:ascii="宋体" w:hAnsi="宋体" w:cs="宋体" w:eastAsia="宋体" w:hint="default"/>
          <w:spacing w:val="-2"/>
          <w:sz w:val="21"/>
          <w:szCs w:val="21"/>
        </w:rPr>
        <w:t>年</w:t>
      </w:r>
      <w:r>
        <w:rPr>
          <w:rFonts w:ascii="宋体" w:hAnsi="宋体" w:cs="宋体" w:eastAsia="宋体" w:hint="default"/>
          <w:sz w:val="21"/>
          <w:szCs w:val="21"/>
        </w:rPr>
        <w:t>修订</w:t>
      </w:r>
      <w:r>
        <w:rPr>
          <w:rFonts w:ascii="宋体" w:hAnsi="宋体" w:cs="宋体" w:eastAsia="宋体" w:hint="default"/>
          <w:spacing w:val="-105"/>
          <w:sz w:val="21"/>
          <w:szCs w:val="21"/>
        </w:rPr>
        <w:t>）</w:t>
      </w:r>
      <w:r>
        <w:rPr>
          <w:rFonts w:ascii="宋体" w:hAnsi="宋体" w:cs="宋体" w:eastAsia="宋体" w:hint="default"/>
          <w:spacing w:val="-134"/>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中</w:t>
      </w:r>
      <w:r>
        <w:rPr>
          <w:rFonts w:ascii="宋体" w:hAnsi="宋体" w:cs="宋体" w:eastAsia="宋体" w:hint="default"/>
          <w:sz w:val="21"/>
          <w:szCs w:val="21"/>
        </w:rPr>
        <w:t>国证券监督管理委员会公告</w:t>
      </w:r>
      <w:r>
        <w:rPr>
          <w:rFonts w:ascii="Arial Narrow" w:hAnsi="Arial Narrow" w:cs="Arial Narrow" w:eastAsia="Arial Narrow" w:hint="default"/>
          <w:w w:val="99"/>
          <w:sz w:val="21"/>
          <w:szCs w:val="21"/>
        </w:rPr>
        <w:t>[2010]2</w:t>
      </w:r>
      <w:r>
        <w:rPr>
          <w:rFonts w:ascii="Arial Narrow" w:hAnsi="Arial Narrow" w:cs="Arial Narrow" w:eastAsia="Arial Narrow" w:hint="default"/>
          <w:spacing w:val="4"/>
          <w:sz w:val="21"/>
          <w:szCs w:val="21"/>
        </w:rPr>
        <w:t> </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pacing w:val="-134"/>
          <w:sz w:val="21"/>
          <w:szCs w:val="21"/>
        </w:rPr>
        <w:t>、</w:t>
      </w:r>
      <w:r>
        <w:rPr>
          <w:rFonts w:ascii="宋体" w:hAnsi="宋体" w:cs="宋体" w:eastAsia="宋体" w:hint="default"/>
          <w:sz w:val="21"/>
          <w:szCs w:val="21"/>
        </w:rPr>
        <w:t>《公</w:t>
      </w:r>
      <w:r>
        <w:rPr>
          <w:rFonts w:ascii="宋体" w:hAnsi="宋体" w:cs="宋体" w:eastAsia="宋体" w:hint="default"/>
          <w:spacing w:val="-2"/>
          <w:sz w:val="21"/>
          <w:szCs w:val="21"/>
        </w:rPr>
        <w:t>开</w:t>
      </w:r>
      <w:r>
        <w:rPr>
          <w:rFonts w:ascii="宋体" w:hAnsi="宋体" w:cs="宋体" w:eastAsia="宋体" w:hint="default"/>
          <w:sz w:val="21"/>
          <w:szCs w:val="21"/>
        </w:rPr>
        <w:t>发</w:t>
      </w:r>
    </w:p>
    <w:p>
      <w:pPr>
        <w:spacing w:before="120"/>
        <w:ind w:left="219" w:right="180" w:firstLine="0"/>
        <w:jc w:val="left"/>
        <w:rPr>
          <w:rFonts w:ascii="宋体" w:hAnsi="宋体" w:cs="宋体" w:eastAsia="宋体" w:hint="default"/>
          <w:sz w:val="21"/>
          <w:szCs w:val="21"/>
        </w:rPr>
      </w:pPr>
      <w:r>
        <w:rPr>
          <w:rFonts w:ascii="宋体" w:hAnsi="宋体" w:cs="宋体" w:eastAsia="宋体" w:hint="default"/>
          <w:sz w:val="21"/>
          <w:szCs w:val="21"/>
        </w:rPr>
        <w:t>行证券的公司信息披露解释性公告第</w:t>
      </w:r>
      <w:r>
        <w:rPr>
          <w:rFonts w:ascii="宋体" w:hAnsi="宋体" w:cs="宋体" w:eastAsia="宋体" w:hint="default"/>
          <w:spacing w:val="-33"/>
          <w:sz w:val="21"/>
          <w:szCs w:val="21"/>
        </w:rPr>
        <w:t> </w:t>
      </w:r>
      <w:r>
        <w:rPr>
          <w:rFonts w:ascii="Arial Narrow" w:hAnsi="Arial Narrow" w:cs="Arial Narrow" w:eastAsia="Arial Narrow" w:hint="default"/>
          <w:w w:val="99"/>
          <w:sz w:val="21"/>
          <w:szCs w:val="21"/>
        </w:rPr>
        <w:t>1</w:t>
      </w:r>
      <w:r>
        <w:rPr>
          <w:rFonts w:ascii="Arial Narrow" w:hAnsi="Arial Narrow" w:cs="Arial Narrow" w:eastAsia="Arial Narrow" w:hint="default"/>
          <w:sz w:val="21"/>
          <w:szCs w:val="21"/>
        </w:rPr>
        <w:t> </w:t>
      </w:r>
      <w:r>
        <w:rPr>
          <w:rFonts w:ascii="Arial Narrow" w:hAnsi="Arial Narrow" w:cs="Arial Narrow" w:eastAsia="Arial Narrow" w:hint="default"/>
          <w:spacing w:val="-24"/>
          <w:sz w:val="21"/>
          <w:szCs w:val="21"/>
        </w:rPr>
        <w:t> </w:t>
      </w:r>
      <w:r>
        <w:rPr>
          <w:rFonts w:ascii="宋体" w:hAnsi="宋体" w:cs="宋体" w:eastAsia="宋体" w:hint="default"/>
          <w:sz w:val="21"/>
          <w:szCs w:val="21"/>
        </w:rPr>
        <w:t>号——非经常性损益</w:t>
      </w:r>
      <w:r>
        <w:rPr>
          <w:rFonts w:ascii="宋体" w:hAnsi="宋体" w:cs="宋体" w:eastAsia="宋体" w:hint="default"/>
          <w:spacing w:val="-105"/>
          <w:sz w:val="21"/>
          <w:szCs w:val="21"/>
        </w:rPr>
        <w:t>》（</w:t>
      </w:r>
      <w:r>
        <w:rPr>
          <w:rFonts w:ascii="宋体" w:hAnsi="宋体" w:cs="宋体" w:eastAsia="宋体" w:hint="default"/>
          <w:sz w:val="21"/>
          <w:szCs w:val="21"/>
        </w:rPr>
        <w:t>“中</w:t>
      </w:r>
      <w:r>
        <w:rPr>
          <w:rFonts w:ascii="宋体" w:hAnsi="宋体" w:cs="宋体" w:eastAsia="宋体" w:hint="default"/>
          <w:spacing w:val="-2"/>
          <w:sz w:val="21"/>
          <w:szCs w:val="21"/>
        </w:rPr>
        <w:t>国</w:t>
      </w:r>
      <w:r>
        <w:rPr>
          <w:rFonts w:ascii="宋体" w:hAnsi="宋体" w:cs="宋体" w:eastAsia="宋体" w:hint="default"/>
          <w:sz w:val="21"/>
          <w:szCs w:val="21"/>
        </w:rPr>
        <w:t>证券监督管理委员会公告</w:t>
      </w:r>
    </w:p>
    <w:p>
      <w:pPr>
        <w:spacing w:before="118"/>
        <w:ind w:left="219" w:right="180" w:firstLine="0"/>
        <w:jc w:val="left"/>
        <w:rPr>
          <w:rFonts w:ascii="宋体" w:hAnsi="宋体" w:cs="宋体" w:eastAsia="宋体" w:hint="default"/>
          <w:sz w:val="21"/>
          <w:szCs w:val="21"/>
        </w:rPr>
      </w:pPr>
      <w:r>
        <w:rPr>
          <w:rFonts w:ascii="Arial Narrow" w:hAnsi="Arial Narrow" w:cs="Arial Narrow" w:eastAsia="Arial Narrow" w:hint="default"/>
          <w:w w:val="99"/>
          <w:sz w:val="21"/>
          <w:szCs w:val="21"/>
        </w:rPr>
        <w:t>[2008]</w:t>
      </w:r>
      <w:r>
        <w:rPr>
          <w:rFonts w:ascii="Arial Narrow" w:hAnsi="Arial Narrow" w:cs="Arial Narrow" w:eastAsia="Arial Narrow" w:hint="default"/>
          <w:spacing w:val="-2"/>
          <w:w w:val="99"/>
          <w:sz w:val="21"/>
          <w:szCs w:val="21"/>
        </w:rPr>
        <w:t>4</w:t>
      </w:r>
      <w:r>
        <w:rPr>
          <w:rFonts w:ascii="Arial Narrow" w:hAnsi="Arial Narrow" w:cs="Arial Narrow" w:eastAsia="Arial Narrow" w:hint="default"/>
          <w:w w:val="99"/>
          <w:sz w:val="21"/>
          <w:szCs w:val="21"/>
        </w:rPr>
        <w:t>3</w:t>
      </w:r>
      <w:r>
        <w:rPr>
          <w:rFonts w:ascii="Arial Narrow" w:hAnsi="Arial Narrow" w:cs="Arial Narrow" w:eastAsia="Arial Narrow" w:hint="default"/>
          <w:spacing w:val="5"/>
          <w:sz w:val="21"/>
          <w:szCs w:val="21"/>
        </w:rPr>
        <w:t> </w:t>
      </w:r>
      <w:r>
        <w:rPr>
          <w:rFonts w:ascii="宋体" w:hAnsi="宋体" w:cs="宋体" w:eastAsia="宋体" w:hint="default"/>
          <w:sz w:val="21"/>
          <w:szCs w:val="21"/>
        </w:rPr>
        <w:t>号</w:t>
      </w:r>
      <w:r>
        <w:rPr>
          <w:rFonts w:ascii="宋体" w:hAnsi="宋体" w:cs="宋体" w:eastAsia="宋体" w:hint="default"/>
          <w:spacing w:val="-106"/>
          <w:sz w:val="21"/>
          <w:szCs w:val="21"/>
        </w:rPr>
        <w:t>”</w:t>
      </w:r>
      <w:r>
        <w:rPr>
          <w:rFonts w:ascii="宋体" w:hAnsi="宋体" w:cs="宋体" w:eastAsia="宋体" w:hint="default"/>
          <w:sz w:val="21"/>
          <w:szCs w:val="21"/>
        </w:rPr>
        <w:t>）要求计算的净资产收益率和每股收益列示如下：</w:t>
      </w:r>
    </w:p>
    <w:p>
      <w:pPr>
        <w:spacing w:line="240" w:lineRule="auto" w:before="9"/>
        <w:rPr>
          <w:rFonts w:ascii="宋体" w:hAnsi="宋体" w:cs="宋体" w:eastAsia="宋体" w:hint="default"/>
          <w:sz w:val="11"/>
          <w:szCs w:val="11"/>
        </w:rPr>
      </w:pPr>
    </w:p>
    <w:tbl>
      <w:tblPr>
        <w:tblW w:w="0" w:type="auto"/>
        <w:jc w:val="left"/>
        <w:tblInd w:w="110" w:type="dxa"/>
        <w:tblLayout w:type="fixed"/>
        <w:tblCellMar>
          <w:top w:w="0" w:type="dxa"/>
          <w:left w:w="0" w:type="dxa"/>
          <w:bottom w:w="0" w:type="dxa"/>
          <w:right w:w="0" w:type="dxa"/>
        </w:tblCellMar>
        <w:tblLook w:val="01E0"/>
      </w:tblPr>
      <w:tblGrid>
        <w:gridCol w:w="4368"/>
        <w:gridCol w:w="1878"/>
        <w:gridCol w:w="1300"/>
        <w:gridCol w:w="1298"/>
      </w:tblGrid>
      <w:tr>
        <w:trPr>
          <w:trHeight w:val="407" w:hRule="exact"/>
        </w:trPr>
        <w:tc>
          <w:tcPr>
            <w:tcW w:w="4368"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4476"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1" w:right="0"/>
              <w:jc w:val="center"/>
              <w:rPr>
                <w:rFonts w:ascii="宋体" w:hAnsi="宋体" w:cs="宋体" w:eastAsia="宋体" w:hint="default"/>
                <w:sz w:val="21"/>
                <w:szCs w:val="21"/>
              </w:rPr>
            </w:pPr>
            <w:r>
              <w:rPr>
                <w:rFonts w:ascii="宋体" w:hAnsi="宋体" w:cs="宋体" w:eastAsia="宋体" w:hint="default"/>
                <w:spacing w:val="-22"/>
                <w:sz w:val="21"/>
                <w:szCs w:val="21"/>
              </w:rPr>
              <w:t>本年数</w:t>
            </w:r>
          </w:p>
        </w:tc>
      </w:tr>
      <w:tr>
        <w:trPr>
          <w:trHeight w:val="408" w:hRule="exact"/>
        </w:trPr>
        <w:tc>
          <w:tcPr>
            <w:tcW w:w="4368" w:type="dxa"/>
            <w:vMerge/>
            <w:tcBorders>
              <w:left w:val="single" w:sz="6" w:space="0" w:color="000000"/>
              <w:right w:val="single" w:sz="6" w:space="0" w:color="000000"/>
            </w:tcBorders>
            <w:shd w:val="clear" w:color="auto" w:fill="C0C0C0"/>
          </w:tcPr>
          <w:p>
            <w:pPr/>
          </w:p>
        </w:tc>
        <w:tc>
          <w:tcPr>
            <w:tcW w:w="1878"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6"/>
              <w:ind w:right="0"/>
              <w:jc w:val="left"/>
              <w:rPr>
                <w:rFonts w:ascii="宋体" w:hAnsi="宋体" w:cs="宋体" w:eastAsia="宋体" w:hint="default"/>
                <w:sz w:val="14"/>
                <w:szCs w:val="14"/>
              </w:rPr>
            </w:pPr>
          </w:p>
          <w:p>
            <w:pPr>
              <w:pStyle w:val="TableParagraph"/>
              <w:spacing w:line="272" w:lineRule="exact"/>
              <w:ind w:left="616" w:right="194" w:hanging="420"/>
              <w:jc w:val="left"/>
              <w:rPr>
                <w:rFonts w:ascii="宋体" w:hAnsi="宋体" w:cs="宋体" w:eastAsia="宋体" w:hint="default"/>
                <w:sz w:val="21"/>
                <w:szCs w:val="21"/>
              </w:rPr>
            </w:pPr>
            <w:r>
              <w:rPr>
                <w:rFonts w:ascii="宋体" w:hAnsi="宋体" w:cs="宋体" w:eastAsia="宋体" w:hint="default"/>
                <w:sz w:val="21"/>
                <w:szCs w:val="21"/>
              </w:rPr>
              <w:t>加权平均净资产 收益率</w:t>
            </w:r>
          </w:p>
        </w:tc>
        <w:tc>
          <w:tcPr>
            <w:tcW w:w="259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679" w:hRule="exact"/>
        </w:trPr>
        <w:tc>
          <w:tcPr>
            <w:tcW w:w="4368" w:type="dxa"/>
            <w:vMerge/>
            <w:tcBorders>
              <w:left w:val="single" w:sz="6" w:space="0" w:color="000000"/>
              <w:bottom w:val="single" w:sz="6" w:space="0" w:color="000000"/>
              <w:right w:val="single" w:sz="6" w:space="0" w:color="000000"/>
            </w:tcBorders>
            <w:shd w:val="clear" w:color="auto" w:fill="C0C0C0"/>
          </w:tcPr>
          <w:p>
            <w:pPr/>
          </w:p>
        </w:tc>
        <w:tc>
          <w:tcPr>
            <w:tcW w:w="1878" w:type="dxa"/>
            <w:vMerge/>
            <w:tcBorders>
              <w:left w:val="single" w:sz="6" w:space="0" w:color="000000"/>
              <w:bottom w:val="single" w:sz="6" w:space="0" w:color="000000"/>
              <w:right w:val="single" w:sz="6" w:space="0" w:color="000000"/>
            </w:tcBorders>
            <w:shd w:val="clear" w:color="auto" w:fill="C0C0C0"/>
          </w:tcPr>
          <w:p>
            <w:pPr/>
          </w:p>
        </w:tc>
        <w:tc>
          <w:tcPr>
            <w:tcW w:w="130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基本每股收</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益</w:t>
            </w:r>
          </w:p>
        </w:tc>
        <w:tc>
          <w:tcPr>
            <w:tcW w:w="129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稀释每股收</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益</w:t>
            </w:r>
          </w:p>
        </w:tc>
      </w:tr>
      <w:tr>
        <w:trPr>
          <w:trHeight w:val="355" w:hRule="exact"/>
        </w:trPr>
        <w:tc>
          <w:tcPr>
            <w:tcW w:w="436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spacing w:val="-3"/>
                <w:sz w:val="21"/>
              </w:rPr>
              <w:t>11.88%</w:t>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1.23</w:t>
            </w:r>
            <w:r>
              <w:rPr>
                <w:rFonts w:ascii="Arial Narrow"/>
                <w:sz w:val="21"/>
              </w:rPr>
            </w:r>
          </w:p>
        </w:tc>
      </w:tr>
      <w:tr>
        <w:trPr>
          <w:trHeight w:val="558" w:hRule="exact"/>
        </w:trPr>
        <w:tc>
          <w:tcPr>
            <w:tcW w:w="436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扣除非经常性损益后归属于公司普通股股东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Arial Narrow" w:hAnsi="Arial Narrow" w:cs="Arial Narrow" w:eastAsia="Arial Narrow" w:hint="default"/>
                <w:sz w:val="21"/>
                <w:szCs w:val="21"/>
              </w:rPr>
            </w:pPr>
            <w:r>
              <w:rPr>
                <w:rFonts w:ascii="Arial Narrow"/>
                <w:w w:val="95"/>
                <w:sz w:val="21"/>
              </w:rPr>
              <w:t>10.70%</w:t>
            </w:r>
            <w:r>
              <w:rPr>
                <w:rFonts w:ascii="Arial Narrow"/>
                <w:sz w:val="21"/>
              </w:rPr>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4"/>
                <w:sz w:val="21"/>
              </w:rPr>
              <w:t>1.11</w:t>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Arial Narrow" w:hAnsi="Arial Narrow" w:cs="Arial Narrow" w:eastAsia="Arial Narrow" w:hint="default"/>
                <w:sz w:val="21"/>
                <w:szCs w:val="21"/>
              </w:rPr>
            </w:pPr>
            <w:r>
              <w:rPr>
                <w:rFonts w:ascii="Arial Narrow"/>
                <w:spacing w:val="-4"/>
                <w:sz w:val="21"/>
              </w:rPr>
              <w:t>1.11</w:t>
            </w:r>
          </w:p>
        </w:tc>
      </w:tr>
    </w:tbl>
    <w:p>
      <w:pPr>
        <w:spacing w:line="240" w:lineRule="auto" w:before="10"/>
        <w:rPr>
          <w:rFonts w:ascii="宋体" w:hAnsi="宋体" w:cs="宋体" w:eastAsia="宋体" w:hint="default"/>
          <w:sz w:val="27"/>
          <w:szCs w:val="27"/>
        </w:rPr>
      </w:pPr>
    </w:p>
    <w:tbl>
      <w:tblPr>
        <w:tblW w:w="0" w:type="auto"/>
        <w:jc w:val="left"/>
        <w:tblInd w:w="110" w:type="dxa"/>
        <w:tblLayout w:type="fixed"/>
        <w:tblCellMar>
          <w:top w:w="0" w:type="dxa"/>
          <w:left w:w="0" w:type="dxa"/>
          <w:bottom w:w="0" w:type="dxa"/>
          <w:right w:w="0" w:type="dxa"/>
        </w:tblCellMar>
        <w:tblLook w:val="01E0"/>
      </w:tblPr>
      <w:tblGrid>
        <w:gridCol w:w="4368"/>
        <w:gridCol w:w="1878"/>
        <w:gridCol w:w="1300"/>
        <w:gridCol w:w="1298"/>
      </w:tblGrid>
      <w:tr>
        <w:trPr>
          <w:trHeight w:val="407" w:hRule="exact"/>
        </w:trPr>
        <w:tc>
          <w:tcPr>
            <w:tcW w:w="4368"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4476" w:type="dxa"/>
            <w:gridSpan w:val="3"/>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0" w:lineRule="exact"/>
              <w:ind w:left="31" w:right="0"/>
              <w:jc w:val="center"/>
              <w:rPr>
                <w:rFonts w:ascii="宋体" w:hAnsi="宋体" w:cs="宋体" w:eastAsia="宋体" w:hint="default"/>
                <w:sz w:val="21"/>
                <w:szCs w:val="21"/>
              </w:rPr>
            </w:pPr>
            <w:r>
              <w:rPr>
                <w:rFonts w:ascii="宋体" w:hAnsi="宋体" w:cs="宋体" w:eastAsia="宋体" w:hint="default"/>
                <w:spacing w:val="-22"/>
                <w:sz w:val="21"/>
                <w:szCs w:val="21"/>
              </w:rPr>
              <w:t>上年数</w:t>
            </w:r>
          </w:p>
        </w:tc>
      </w:tr>
      <w:tr>
        <w:trPr>
          <w:trHeight w:val="408" w:hRule="exact"/>
        </w:trPr>
        <w:tc>
          <w:tcPr>
            <w:tcW w:w="4368" w:type="dxa"/>
            <w:vMerge/>
            <w:tcBorders>
              <w:left w:val="single" w:sz="6" w:space="0" w:color="000000"/>
              <w:right w:val="single" w:sz="6" w:space="0" w:color="000000"/>
            </w:tcBorders>
            <w:shd w:val="clear" w:color="auto" w:fill="C0C0C0"/>
          </w:tcPr>
          <w:p>
            <w:pPr/>
          </w:p>
        </w:tc>
        <w:tc>
          <w:tcPr>
            <w:tcW w:w="1878" w:type="dxa"/>
            <w:vMerge w:val="restart"/>
            <w:tcBorders>
              <w:top w:val="single" w:sz="6" w:space="0" w:color="000000"/>
              <w:left w:val="single" w:sz="6" w:space="0" w:color="000000"/>
              <w:right w:val="single" w:sz="6" w:space="0" w:color="000000"/>
            </w:tcBorders>
            <w:shd w:val="clear" w:color="auto" w:fill="C0C0C0"/>
          </w:tcPr>
          <w:p>
            <w:pPr>
              <w:pStyle w:val="TableParagraph"/>
              <w:spacing w:line="240" w:lineRule="auto" w:before="6"/>
              <w:ind w:right="0"/>
              <w:jc w:val="left"/>
              <w:rPr>
                <w:rFonts w:ascii="宋体" w:hAnsi="宋体" w:cs="宋体" w:eastAsia="宋体" w:hint="default"/>
                <w:sz w:val="14"/>
                <w:szCs w:val="14"/>
              </w:rPr>
            </w:pPr>
          </w:p>
          <w:p>
            <w:pPr>
              <w:pStyle w:val="TableParagraph"/>
              <w:spacing w:line="272" w:lineRule="exact"/>
              <w:ind w:left="616" w:right="194" w:hanging="420"/>
              <w:jc w:val="left"/>
              <w:rPr>
                <w:rFonts w:ascii="宋体" w:hAnsi="宋体" w:cs="宋体" w:eastAsia="宋体" w:hint="default"/>
                <w:sz w:val="21"/>
                <w:szCs w:val="21"/>
              </w:rPr>
            </w:pPr>
            <w:r>
              <w:rPr>
                <w:rFonts w:ascii="宋体" w:hAnsi="宋体" w:cs="宋体" w:eastAsia="宋体" w:hint="default"/>
                <w:sz w:val="21"/>
                <w:szCs w:val="21"/>
              </w:rPr>
              <w:t>加权平均净资产 收益率</w:t>
            </w:r>
          </w:p>
        </w:tc>
        <w:tc>
          <w:tcPr>
            <w:tcW w:w="2598" w:type="dxa"/>
            <w:gridSpan w:val="2"/>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679" w:hRule="exact"/>
        </w:trPr>
        <w:tc>
          <w:tcPr>
            <w:tcW w:w="4368" w:type="dxa"/>
            <w:vMerge/>
            <w:tcBorders>
              <w:left w:val="single" w:sz="6" w:space="0" w:color="000000"/>
              <w:bottom w:val="single" w:sz="6" w:space="0" w:color="000000"/>
              <w:right w:val="single" w:sz="6" w:space="0" w:color="000000"/>
            </w:tcBorders>
            <w:shd w:val="clear" w:color="auto" w:fill="C0C0C0"/>
          </w:tcPr>
          <w:p>
            <w:pPr/>
          </w:p>
        </w:tc>
        <w:tc>
          <w:tcPr>
            <w:tcW w:w="1878" w:type="dxa"/>
            <w:vMerge/>
            <w:tcBorders>
              <w:left w:val="single" w:sz="6" w:space="0" w:color="000000"/>
              <w:bottom w:val="single" w:sz="6" w:space="0" w:color="000000"/>
              <w:right w:val="single" w:sz="6" w:space="0" w:color="000000"/>
            </w:tcBorders>
            <w:shd w:val="clear" w:color="auto" w:fill="C0C0C0"/>
          </w:tcPr>
          <w:p>
            <w:pPr/>
          </w:p>
        </w:tc>
        <w:tc>
          <w:tcPr>
            <w:tcW w:w="1300"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基本每股收</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益</w:t>
            </w:r>
          </w:p>
        </w:tc>
        <w:tc>
          <w:tcPr>
            <w:tcW w:w="1298" w:type="dxa"/>
            <w:tcBorders>
              <w:top w:val="single" w:sz="6" w:space="0" w:color="000000"/>
              <w:left w:val="single" w:sz="6" w:space="0" w:color="000000"/>
              <w:bottom w:val="single" w:sz="6" w:space="0" w:color="000000"/>
              <w:right w:val="single" w:sz="6" w:space="0" w:color="000000"/>
            </w:tcBorders>
            <w:shd w:val="clear" w:color="auto" w:fill="C0C0C0"/>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稀释每股收</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益</w:t>
            </w:r>
          </w:p>
        </w:tc>
      </w:tr>
      <w:tr>
        <w:trPr>
          <w:trHeight w:val="354" w:hRule="exact"/>
        </w:trPr>
        <w:tc>
          <w:tcPr>
            <w:tcW w:w="4368"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6"/>
              <w:jc w:val="right"/>
              <w:rPr>
                <w:rFonts w:ascii="Arial Narrow" w:hAnsi="Arial Narrow" w:cs="Arial Narrow" w:eastAsia="Arial Narrow" w:hint="default"/>
                <w:sz w:val="21"/>
                <w:szCs w:val="21"/>
              </w:rPr>
            </w:pPr>
            <w:r>
              <w:rPr>
                <w:rFonts w:ascii="Arial Narrow"/>
                <w:w w:val="95"/>
                <w:sz w:val="21"/>
              </w:rPr>
              <w:t>45.23%</w:t>
            </w:r>
            <w:r>
              <w:rPr>
                <w:rFonts w:ascii="Arial Narrow"/>
                <w:sz w:val="21"/>
              </w:rPr>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98"/>
              <w:jc w:val="right"/>
              <w:rPr>
                <w:rFonts w:ascii="Arial Narrow" w:hAnsi="Arial Narrow" w:cs="Arial Narrow" w:eastAsia="Arial Narrow" w:hint="default"/>
                <w:sz w:val="21"/>
                <w:szCs w:val="21"/>
              </w:rPr>
            </w:pPr>
            <w:r>
              <w:rPr>
                <w:rFonts w:ascii="Arial Narrow"/>
                <w:w w:val="95"/>
                <w:sz w:val="21"/>
              </w:rPr>
              <w:t>1.03</w:t>
            </w:r>
            <w:r>
              <w:rPr>
                <w:rFonts w:ascii="Arial Narrow"/>
                <w:sz w:val="21"/>
              </w:rPr>
            </w:r>
          </w:p>
        </w:tc>
      </w:tr>
      <w:tr>
        <w:trPr>
          <w:trHeight w:val="559" w:hRule="exact"/>
        </w:trPr>
        <w:tc>
          <w:tcPr>
            <w:tcW w:w="436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扣除非经常性损益后归属于公司普通股股东</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的净利润</w:t>
            </w:r>
          </w:p>
        </w:tc>
        <w:tc>
          <w:tcPr>
            <w:tcW w:w="18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Arial Narrow" w:hAnsi="Arial Narrow" w:cs="Arial Narrow" w:eastAsia="Arial Narrow" w:hint="default"/>
                <w:sz w:val="21"/>
                <w:szCs w:val="21"/>
              </w:rPr>
            </w:pPr>
            <w:r>
              <w:rPr>
                <w:rFonts w:ascii="Arial Narrow"/>
                <w:w w:val="95"/>
                <w:sz w:val="21"/>
              </w:rPr>
              <w:t>34.37%</w:t>
            </w:r>
            <w:r>
              <w:rPr>
                <w:rFonts w:ascii="Arial Narrow"/>
                <w:sz w:val="21"/>
              </w:rPr>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c>
          <w:tcPr>
            <w:tcW w:w="12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Arial Narrow" w:hAnsi="Arial Narrow" w:cs="Arial Narrow" w:eastAsia="Arial Narrow" w:hint="default"/>
                <w:sz w:val="21"/>
                <w:szCs w:val="21"/>
              </w:rPr>
            </w:pPr>
            <w:r>
              <w:rPr>
                <w:rFonts w:ascii="Arial Narrow"/>
                <w:w w:val="95"/>
                <w:sz w:val="21"/>
              </w:rPr>
              <w:t>0.78</w:t>
            </w:r>
            <w:r>
              <w:rPr>
                <w:rFonts w:ascii="Arial Narrow"/>
                <w:sz w:val="21"/>
              </w:rPr>
            </w:r>
          </w:p>
        </w:tc>
      </w:tr>
    </w:tbl>
    <w:p>
      <w:pPr>
        <w:spacing w:line="240" w:lineRule="auto" w:before="6"/>
        <w:rPr>
          <w:rFonts w:ascii="宋体" w:hAnsi="宋体" w:cs="宋体" w:eastAsia="宋体" w:hint="default"/>
          <w:sz w:val="13"/>
          <w:szCs w:val="13"/>
        </w:rPr>
      </w:pPr>
    </w:p>
    <w:p>
      <w:pPr>
        <w:pStyle w:val="BodyText"/>
        <w:spacing w:line="240" w:lineRule="auto" w:before="26"/>
        <w:ind w:left="930" w:right="180"/>
        <w:jc w:val="left"/>
        <w:rPr>
          <w:rFonts w:ascii="黑体" w:hAnsi="黑体" w:cs="黑体" w:eastAsia="黑体" w:hint="default"/>
        </w:rPr>
      </w:pPr>
      <w:r>
        <w:rPr>
          <w:rFonts w:ascii="黑体" w:hAnsi="黑体" w:cs="黑体" w:eastAsia="黑体" w:hint="default"/>
        </w:rPr>
        <w:t>十三、财务报表的批准</w:t>
      </w:r>
    </w:p>
    <w:p>
      <w:pPr>
        <w:spacing w:line="240" w:lineRule="auto" w:before="2"/>
        <w:rPr>
          <w:rFonts w:ascii="黑体" w:hAnsi="黑体" w:cs="黑体" w:eastAsia="黑体" w:hint="default"/>
          <w:sz w:val="21"/>
          <w:szCs w:val="21"/>
        </w:rPr>
      </w:pPr>
    </w:p>
    <w:p>
      <w:pPr>
        <w:spacing w:line="333" w:lineRule="auto" w:before="0"/>
        <w:ind w:left="640" w:right="3129" w:firstLine="0"/>
        <w:jc w:val="left"/>
        <w:rPr>
          <w:rFonts w:ascii="宋体" w:hAnsi="宋体" w:cs="宋体" w:eastAsia="宋体" w:hint="default"/>
          <w:sz w:val="21"/>
          <w:szCs w:val="21"/>
        </w:rPr>
      </w:pPr>
      <w:r>
        <w:rPr>
          <w:rFonts w:ascii="宋体" w:hAnsi="宋体" w:cs="宋体" w:eastAsia="宋体" w:hint="default"/>
          <w:sz w:val="21"/>
          <w:szCs w:val="21"/>
        </w:rPr>
        <w:t>本财务报表业经本公司董事会于</w:t>
      </w:r>
      <w:r>
        <w:rPr>
          <w:rFonts w:ascii="Arial Narrow" w:hAnsi="Arial Narrow" w:cs="Arial Narrow" w:eastAsia="Arial Narrow" w:hint="default"/>
          <w:sz w:val="21"/>
          <w:szCs w:val="21"/>
        </w:rPr>
        <w:t>2012</w:t>
      </w:r>
      <w:r>
        <w:rPr>
          <w:rFonts w:ascii="宋体" w:hAnsi="宋体" w:cs="宋体" w:eastAsia="宋体" w:hint="default"/>
          <w:sz w:val="21"/>
          <w:szCs w:val="21"/>
        </w:rPr>
        <w:t>年</w:t>
      </w:r>
      <w:r>
        <w:rPr>
          <w:rFonts w:ascii="Arial Narrow" w:hAnsi="Arial Narrow" w:cs="Arial Narrow" w:eastAsia="Arial Narrow" w:hint="default"/>
          <w:sz w:val="21"/>
          <w:szCs w:val="21"/>
        </w:rPr>
        <w:t>3</w:t>
      </w:r>
      <w:r>
        <w:rPr>
          <w:rFonts w:ascii="宋体" w:hAnsi="宋体" w:cs="宋体" w:eastAsia="宋体" w:hint="default"/>
          <w:sz w:val="21"/>
          <w:szCs w:val="21"/>
        </w:rPr>
        <w:t>月</w:t>
      </w:r>
      <w:r>
        <w:rPr>
          <w:rFonts w:ascii="Arial Narrow" w:hAnsi="Arial Narrow" w:cs="Arial Narrow" w:eastAsia="Arial Narrow" w:hint="default"/>
          <w:sz w:val="21"/>
          <w:szCs w:val="21"/>
        </w:rPr>
        <w:t>28</w:t>
      </w:r>
      <w:r>
        <w:rPr>
          <w:rFonts w:ascii="宋体" w:hAnsi="宋体" w:cs="宋体" w:eastAsia="宋体" w:hint="default"/>
          <w:sz w:val="21"/>
          <w:szCs w:val="21"/>
        </w:rPr>
        <w:t>日决议批准。 根据本公司章程，本财务报表将提交股东大会审议。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2960" w:val="left" w:leader="none"/>
          <w:tab w:pos="6121" w:val="left" w:leader="none"/>
        </w:tabs>
        <w:spacing w:before="149"/>
        <w:ind w:left="642" w:right="180" w:firstLine="0"/>
        <w:jc w:val="left"/>
        <w:rPr>
          <w:rFonts w:ascii="宋体" w:hAnsi="宋体" w:cs="宋体" w:eastAsia="宋体" w:hint="default"/>
          <w:sz w:val="21"/>
          <w:szCs w:val="21"/>
        </w:rPr>
      </w:pPr>
      <w:r>
        <w:rPr>
          <w:rFonts w:ascii="宋体" w:hAnsi="宋体" w:cs="宋体" w:eastAsia="宋体" w:hint="default"/>
          <w:b/>
          <w:bCs/>
          <w:w w:val="95"/>
          <w:sz w:val="21"/>
          <w:szCs w:val="21"/>
        </w:rPr>
        <w:t>法定代表人：刘祥南</w:t>
        <w:tab/>
        <w:t>主管会计工作的负责人：张乃军</w:t>
        <w:tab/>
      </w:r>
      <w:r>
        <w:rPr>
          <w:rFonts w:ascii="宋体" w:hAnsi="宋体" w:cs="宋体" w:eastAsia="宋体" w:hint="default"/>
          <w:b/>
          <w:bCs/>
          <w:sz w:val="21"/>
          <w:szCs w:val="21"/>
        </w:rPr>
        <w:t>会计机构负责人：陈志友</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2240" w:h="15840"/>
          <w:pgMar w:header="0" w:footer="688" w:top="1360" w:bottom="880" w:left="1580" w:right="158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5"/>
          <w:szCs w:val="25"/>
        </w:rPr>
      </w:pPr>
    </w:p>
    <w:p>
      <w:pPr>
        <w:spacing w:before="35"/>
        <w:ind w:left="0" w:right="498" w:firstLine="0"/>
        <w:jc w:val="right"/>
        <w:rPr>
          <w:rFonts w:ascii="宋体" w:hAnsi="宋体" w:cs="宋体" w:eastAsia="宋体" w:hint="default"/>
          <w:sz w:val="21"/>
          <w:szCs w:val="21"/>
        </w:rPr>
      </w:pPr>
      <w:r>
        <w:rPr>
          <w:rFonts w:ascii="宋体" w:hAnsi="宋体" w:cs="宋体" w:eastAsia="宋体" w:hint="default"/>
          <w:b/>
          <w:bCs/>
          <w:w w:val="95"/>
          <w:sz w:val="21"/>
          <w:szCs w:val="21"/>
        </w:rPr>
        <w:t>厦门市美亚柏科信息股份有限公司</w:t>
      </w:r>
      <w:r>
        <w:rPr>
          <w:rFonts w:ascii="宋体" w:hAnsi="宋体" w:cs="宋体" w:eastAsia="宋体" w:hint="default"/>
          <w:sz w:val="21"/>
          <w:szCs w:val="21"/>
        </w:rPr>
      </w:r>
    </w:p>
    <w:p>
      <w:pPr>
        <w:spacing w:before="134"/>
        <w:ind w:left="0" w:right="499" w:firstLine="0"/>
        <w:jc w:val="right"/>
        <w:rPr>
          <w:rFonts w:ascii="宋体" w:hAnsi="宋体" w:cs="宋体" w:eastAsia="宋体" w:hint="default"/>
          <w:sz w:val="21"/>
          <w:szCs w:val="21"/>
        </w:rPr>
      </w:pPr>
      <w:r>
        <w:rPr>
          <w:rFonts w:ascii="Arial Narrow" w:hAnsi="Arial Narrow" w:cs="Arial Narrow" w:eastAsia="Arial Narrow" w:hint="default"/>
          <w:b/>
          <w:bCs/>
          <w:spacing w:val="-1"/>
          <w:sz w:val="21"/>
          <w:szCs w:val="21"/>
        </w:rPr>
        <w:t>2012</w:t>
      </w:r>
      <w:r>
        <w:rPr>
          <w:rFonts w:ascii="宋体" w:hAnsi="宋体" w:cs="宋体" w:eastAsia="宋体" w:hint="default"/>
          <w:b/>
          <w:bCs/>
          <w:spacing w:val="-1"/>
          <w:sz w:val="21"/>
          <w:szCs w:val="21"/>
        </w:rPr>
        <w:t>年</w:t>
      </w:r>
      <w:r>
        <w:rPr>
          <w:rFonts w:ascii="Arial Narrow" w:hAnsi="Arial Narrow" w:cs="Arial Narrow" w:eastAsia="Arial Narrow" w:hint="default"/>
          <w:b/>
          <w:bCs/>
          <w:spacing w:val="-1"/>
          <w:sz w:val="21"/>
          <w:szCs w:val="21"/>
        </w:rPr>
        <w:t>3</w:t>
      </w:r>
      <w:r>
        <w:rPr>
          <w:rFonts w:ascii="宋体" w:hAnsi="宋体" w:cs="宋体" w:eastAsia="宋体" w:hint="default"/>
          <w:b/>
          <w:bCs/>
          <w:spacing w:val="-1"/>
          <w:sz w:val="21"/>
          <w:szCs w:val="21"/>
        </w:rPr>
        <w:t>月</w:t>
      </w:r>
      <w:r>
        <w:rPr>
          <w:rFonts w:ascii="Arial Narrow" w:hAnsi="Arial Narrow" w:cs="Arial Narrow" w:eastAsia="Arial Narrow" w:hint="default"/>
          <w:b/>
          <w:bCs/>
          <w:spacing w:val="-1"/>
          <w:sz w:val="21"/>
          <w:szCs w:val="21"/>
        </w:rPr>
        <w:t>28</w:t>
      </w:r>
      <w:r>
        <w:rPr>
          <w:rFonts w:ascii="宋体" w:hAnsi="宋体" w:cs="宋体" w:eastAsia="宋体" w:hint="default"/>
          <w:b/>
          <w:bCs/>
          <w:spacing w:val="-1"/>
          <w:sz w:val="21"/>
          <w:szCs w:val="21"/>
        </w:rPr>
        <w:t>日</w:t>
      </w:r>
      <w:r>
        <w:rPr>
          <w:rFonts w:ascii="宋体" w:hAnsi="宋体" w:cs="宋体" w:eastAsia="宋体" w:hint="default"/>
          <w:spacing w:val="-1"/>
          <w:sz w:val="21"/>
          <w:szCs w:val="21"/>
        </w:rPr>
      </w:r>
    </w:p>
    <w:p>
      <w:pPr>
        <w:spacing w:after="0"/>
        <w:jc w:val="right"/>
        <w:rPr>
          <w:rFonts w:ascii="宋体" w:hAnsi="宋体" w:cs="宋体" w:eastAsia="宋体" w:hint="default"/>
          <w:sz w:val="21"/>
          <w:szCs w:val="21"/>
        </w:rPr>
        <w:sectPr>
          <w:pgSz w:w="12240" w:h="15840"/>
          <w:pgMar w:header="0" w:footer="688" w:top="1500" w:bottom="880" w:left="1720" w:right="172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4"/>
          <w:szCs w:val="14"/>
        </w:rPr>
      </w:pPr>
    </w:p>
    <w:p>
      <w:pPr>
        <w:pStyle w:val="Heading1"/>
        <w:spacing w:line="240" w:lineRule="auto" w:before="1"/>
        <w:ind w:left="2893" w:right="100"/>
        <w:jc w:val="left"/>
        <w:rPr>
          <w:b w:val="0"/>
          <w:bCs w:val="0"/>
        </w:rPr>
      </w:pPr>
      <w:r>
        <w:rPr/>
        <w:t>第十节</w:t>
      </w:r>
      <w:r>
        <w:rPr>
          <w:spacing w:val="-1"/>
        </w:rPr>
        <w:t> </w:t>
      </w:r>
      <w:r>
        <w:rPr/>
        <w:t>备查文件目录</w:t>
      </w:r>
      <w:r>
        <w:rPr>
          <w:b w:val="0"/>
          <w:bCs w:val="0"/>
        </w:rPr>
      </w:r>
    </w:p>
    <w:p>
      <w:pPr>
        <w:pStyle w:val="BodyText"/>
        <w:spacing w:line="357" w:lineRule="auto" w:before="228"/>
        <w:ind w:right="100" w:firstLine="480"/>
        <w:jc w:val="left"/>
      </w:pPr>
      <w:r>
        <w:rPr/>
        <w:t>一、载有公司法定代表人、主管会计工作负责人、会计机构负责人（会计主管 人员）签名并盖章的财务报表。</w:t>
      </w:r>
    </w:p>
    <w:p>
      <w:pPr>
        <w:pStyle w:val="BodyText"/>
        <w:spacing w:line="240" w:lineRule="auto" w:before="191"/>
        <w:ind w:left="580" w:right="100"/>
        <w:jc w:val="left"/>
      </w:pPr>
      <w:r>
        <w:rPr/>
        <w:t>二、载有会计师事务所盖章、注册会计师签名并盖章的审计报告原件。</w:t>
      </w:r>
    </w:p>
    <w:p>
      <w:pPr>
        <w:spacing w:line="240" w:lineRule="auto" w:before="8"/>
        <w:rPr>
          <w:rFonts w:ascii="宋体" w:hAnsi="宋体" w:cs="宋体" w:eastAsia="宋体" w:hint="default"/>
          <w:sz w:val="23"/>
          <w:szCs w:val="23"/>
        </w:rPr>
      </w:pPr>
    </w:p>
    <w:p>
      <w:pPr>
        <w:pStyle w:val="BodyText"/>
        <w:spacing w:line="357" w:lineRule="auto"/>
        <w:ind w:right="100" w:firstLine="480"/>
        <w:jc w:val="left"/>
      </w:pPr>
      <w:r>
        <w:rPr/>
        <w:t>三、报告期内在中国证监会指定网站上公开披露过的本公司所有文件的正本及 公告的原稿。</w:t>
      </w:r>
    </w:p>
    <w:p>
      <w:pPr>
        <w:pStyle w:val="BodyText"/>
        <w:spacing w:line="463" w:lineRule="auto" w:before="192"/>
        <w:ind w:left="580" w:right="2260"/>
        <w:jc w:val="left"/>
      </w:pPr>
      <w:r>
        <w:rPr/>
        <w:t>四、经公司法定代表人签名的</w:t>
      </w:r>
      <w:r>
        <w:rPr>
          <w:rFonts w:ascii="Times New Roman" w:hAnsi="Times New Roman" w:cs="Times New Roman" w:eastAsia="Times New Roman" w:hint="default"/>
        </w:rPr>
        <w:t>2011</w:t>
      </w:r>
      <w:r>
        <w:rPr/>
        <w:t>年年度报告文本原件。 五、其他相关资料。 以上备查文件的备置地点：公司投资者关系管理部</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6"/>
          <w:szCs w:val="26"/>
        </w:rPr>
      </w:pPr>
    </w:p>
    <w:p>
      <w:pPr>
        <w:pStyle w:val="Heading3"/>
        <w:spacing w:line="475" w:lineRule="auto"/>
        <w:ind w:left="5125" w:right="100" w:firstLine="730"/>
        <w:jc w:val="left"/>
        <w:rPr>
          <w:b w:val="0"/>
          <w:bCs w:val="0"/>
        </w:rPr>
      </w:pPr>
      <w:r>
        <w:rPr/>
        <w:t>董事长：刘祥南</w:t>
      </w:r>
      <w:r>
        <w:rPr>
          <w:spacing w:val="1"/>
          <w:w w:val="99"/>
        </w:rPr>
        <w:t> </w:t>
      </w:r>
      <w:r>
        <w:rPr/>
        <w:t>厦门市美亚柏科信息股份有限公司</w:t>
      </w:r>
      <w:r>
        <w:rPr>
          <w:b w:val="0"/>
          <w:bCs w:val="0"/>
        </w:rPr>
      </w:r>
    </w:p>
    <w:p>
      <w:pPr>
        <w:spacing w:before="73"/>
        <w:ind w:left="0" w:right="1247" w:firstLine="0"/>
        <w:jc w:val="right"/>
        <w:rPr>
          <w:rFonts w:ascii="宋体" w:hAnsi="宋体" w:cs="宋体" w:eastAsia="宋体" w:hint="default"/>
          <w:sz w:val="24"/>
          <w:szCs w:val="24"/>
        </w:rPr>
      </w:pPr>
      <w:r>
        <w:rPr>
          <w:rFonts w:ascii="Times New Roman" w:hAnsi="Times New Roman" w:cs="Times New Roman" w:eastAsia="Times New Roman" w:hint="default"/>
          <w:b/>
          <w:bCs/>
          <w:w w:val="95"/>
          <w:sz w:val="24"/>
          <w:szCs w:val="24"/>
        </w:rPr>
        <w:t>2012</w:t>
      </w:r>
      <w:r>
        <w:rPr>
          <w:rFonts w:ascii="宋体" w:hAnsi="宋体" w:cs="宋体" w:eastAsia="宋体" w:hint="default"/>
          <w:b/>
          <w:bCs/>
          <w:w w:val="95"/>
          <w:sz w:val="24"/>
          <w:szCs w:val="24"/>
        </w:rPr>
        <w:t>年</w:t>
      </w:r>
      <w:r>
        <w:rPr>
          <w:rFonts w:ascii="Times New Roman" w:hAnsi="Times New Roman" w:cs="Times New Roman" w:eastAsia="Times New Roman" w:hint="default"/>
          <w:b/>
          <w:bCs/>
          <w:w w:val="95"/>
          <w:sz w:val="24"/>
          <w:szCs w:val="24"/>
        </w:rPr>
        <w:t>3</w:t>
      </w:r>
      <w:r>
        <w:rPr>
          <w:rFonts w:ascii="宋体" w:hAnsi="宋体" w:cs="宋体" w:eastAsia="宋体" w:hint="default"/>
          <w:b/>
          <w:bCs/>
          <w:w w:val="95"/>
          <w:sz w:val="24"/>
          <w:szCs w:val="24"/>
        </w:rPr>
        <w:t>月</w:t>
      </w:r>
      <w:r>
        <w:rPr>
          <w:rFonts w:ascii="Times New Roman" w:hAnsi="Times New Roman" w:cs="Times New Roman" w:eastAsia="Times New Roman" w:hint="default"/>
          <w:b/>
          <w:bCs/>
          <w:w w:val="95"/>
          <w:sz w:val="24"/>
          <w:szCs w:val="24"/>
        </w:rPr>
        <w:t>28</w:t>
      </w:r>
      <w:r>
        <w:rPr>
          <w:rFonts w:ascii="宋体" w:hAnsi="宋体" w:cs="宋体" w:eastAsia="宋体" w:hint="default"/>
          <w:b/>
          <w:bCs/>
          <w:w w:val="95"/>
          <w:sz w:val="24"/>
          <w:szCs w:val="24"/>
        </w:rPr>
        <w:t>日</w:t>
      </w:r>
      <w:r>
        <w:rPr>
          <w:rFonts w:ascii="宋体" w:hAnsi="宋体" w:cs="宋体" w:eastAsia="宋体" w:hint="default"/>
          <w:sz w:val="24"/>
          <w:szCs w:val="24"/>
        </w:rPr>
      </w:r>
    </w:p>
    <w:sectPr>
      <w:pgSz w:w="12240" w:h="15840"/>
      <w:pgMar w:header="0" w:footer="688" w:top="1500" w:bottom="880" w:left="170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Narrow">
    <w:altName w:val="Arial Narrow"/>
    <w:charset w:val="0"/>
    <w:family w:val="swiss"/>
    <w:pitch w:val="variable"/>
  </w:font>
  <w:font w:name="Arial">
    <w:altName w:val="Arial"/>
    <w:charset w:val="0"/>
    <w:family w:val="swiss"/>
    <w:pitch w:val="variable"/>
  </w:font>
  <w:font w:name="黑体">
    <w:altName w:val="黑体"/>
    <w:charset w:val="86"/>
    <w:family w:val="modern"/>
    <w:pitch w:val="fixed"/>
  </w:font>
  <w:font w:name="宋体">
    <w:altName w:val="宋体"/>
    <w:charset w:val="86"/>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02.720306pt;margin-top:745.597961pt;width:6.5pt;height:11pt;mso-position-horizontal-relative:page;mso-position-vertical-relative:page;z-index:-7431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7.220306pt;margin-top:745.597961pt;width:17.5pt;height:11pt;mso-position-horizontal-relative:page;mso-position-vertical-relative:page;z-index:-7428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146</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3.499695pt;margin-top:745.597961pt;width:5pt;height:11pt;mso-position-horizontal-relative:page;mso-position-vertical-relative:page;z-index:-7430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w w:val="99"/>
                    <w:sz w:val="18"/>
                  </w:rPr>
                  <w:t>I</w:t>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2.720306pt;margin-top:745.597961pt;width:6.5pt;height:11pt;mso-position-horizontal-relative:page;mso-position-vertical-relative:page;z-index:-7430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9.5pt;margin-top:745.597961pt;width:13pt;height:11pt;mso-position-horizontal-relative:page;mso-position-vertical-relative:page;z-index:-7430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4.636993pt;margin-top:565.597961pt;width:13pt;height:11pt;mso-position-horizontal-relative:page;mso-position-vertical-relative:page;z-index:-743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3.423004pt;margin-top:565.597961pt;width:15.5pt;height:11pt;mso-position-horizontal-relative:page;mso-position-vertical-relative:page;z-index:-74298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2.423004pt;margin-top:565.597961pt;width:17.5pt;height:11pt;mso-position-horizontal-relative:page;mso-position-vertical-relative:page;z-index:-7429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220306pt;margin-top:745.597961pt;width:17.5pt;height:11pt;mso-position-horizontal-relative:page;mso-position-vertical-relative:page;z-index:-742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7.400299pt;margin-top:745.597961pt;width:17.150pt;height:11pt;mso-position-horizontal-relative:page;mso-position-vertical-relative:page;z-index:-742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38"/>
      <w:ind w:left="119"/>
    </w:pPr>
    <w:rPr>
      <w:rFonts w:ascii="黑体" w:hAnsi="黑体" w:eastAsia="黑体"/>
      <w:sz w:val="28"/>
      <w:szCs w:val="28"/>
    </w:rPr>
  </w:style>
  <w:style w:styleId="BodyText" w:type="paragraph">
    <w:name w:val="Body Text"/>
    <w:basedOn w:val="Normal"/>
    <w:uiPriority w:val="1"/>
    <w:qFormat/>
    <w:pPr>
      <w:ind w:left="100"/>
    </w:pPr>
    <w:rPr>
      <w:rFonts w:ascii="宋体" w:hAnsi="宋体" w:eastAsia="宋体"/>
      <w:sz w:val="24"/>
      <w:szCs w:val="24"/>
    </w:rPr>
  </w:style>
  <w:style w:styleId="Heading1" w:type="paragraph">
    <w:name w:val="Heading 1"/>
    <w:basedOn w:val="Normal"/>
    <w:uiPriority w:val="1"/>
    <w:qFormat/>
    <w:pPr>
      <w:outlineLvl w:val="1"/>
    </w:pPr>
    <w:rPr>
      <w:rFonts w:ascii="黑体" w:hAnsi="黑体" w:eastAsia="黑体"/>
      <w:b/>
      <w:bCs/>
      <w:sz w:val="32"/>
      <w:szCs w:val="32"/>
    </w:rPr>
  </w:style>
  <w:style w:styleId="Heading2" w:type="paragraph">
    <w:name w:val="Heading 2"/>
    <w:basedOn w:val="Normal"/>
    <w:uiPriority w:val="1"/>
    <w:qFormat/>
    <w:pPr>
      <w:ind w:left="681"/>
      <w:outlineLvl w:val="2"/>
    </w:pPr>
    <w:rPr>
      <w:rFonts w:ascii="宋体" w:hAnsi="宋体" w:eastAsia="宋体"/>
      <w:b/>
      <w:bCs/>
      <w:sz w:val="28"/>
      <w:szCs w:val="28"/>
    </w:rPr>
  </w:style>
  <w:style w:styleId="Heading3" w:type="paragraph">
    <w:name w:val="Heading 3"/>
    <w:basedOn w:val="Normal"/>
    <w:uiPriority w:val="1"/>
    <w:qFormat/>
    <w:pPr>
      <w:ind w:left="602"/>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hyperlink" Target="http://www.xm-my.com.cn/" TargetMode="External"/><Relationship Id="rId10" Type="http://schemas.openxmlformats.org/officeDocument/2006/relationships/hyperlink" Target="mailto:tzzgx@xm-my.com.cn" TargetMode="External"/><Relationship Id="rId11" Type="http://schemas.openxmlformats.org/officeDocument/2006/relationships/hyperlink" Target="http://www.cninfo.com.cn/" TargetMode="External"/><Relationship Id="rId12" Type="http://schemas.openxmlformats.org/officeDocument/2006/relationships/footer" Target="footer4.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hyperlink" Target="http://www.cninfo.com.cn/finalpage/2011-08-12/59805065.PDF" TargetMode="External"/><Relationship Id="rId33" Type="http://schemas.openxmlformats.org/officeDocument/2006/relationships/hyperlink" Target="http://www.cninfo.com.cn/finalpage/2011-08-12/59805068.PDF" TargetMode="External"/><Relationship Id="rId34" Type="http://schemas.openxmlformats.org/officeDocument/2006/relationships/hyperlink" Target="http://www.cninfo.com.cn/finalpage/2011-04-29/59362293.PDF" TargetMode="External"/><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footer" Target="footer5.xml"/><Relationship Id="rId65" Type="http://schemas.openxmlformats.org/officeDocument/2006/relationships/footer" Target="footer6.xml"/><Relationship Id="rId66" Type="http://schemas.openxmlformats.org/officeDocument/2006/relationships/footer" Target="footer7.xml"/><Relationship Id="rId67" Type="http://schemas.openxmlformats.org/officeDocument/2006/relationships/footer" Target="footer8.xml"/><Relationship Id="rId68" Type="http://schemas.openxmlformats.org/officeDocument/2006/relationships/footer" Target="footer9.xml"/><Relationship Id="rId6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lyx</dc:creator>
  <dc:title>厦门市美亚柏科信息股份有限公司</dc:title>
  <dcterms:created xsi:type="dcterms:W3CDTF">2020-05-03T16:58:09Z</dcterms:created>
  <dcterms:modified xsi:type="dcterms:W3CDTF">2020-05-03T16:58:09Z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2012-03-28T00:00:00Z</vt:filetime>
  </property>
  <property fmtid="{D5CDD505-2E9C-101B-9397-08002B2CF9AE}" pid="3" name="Creator">
    <vt:lpwstr>Acrobat PDFMaker 8.1 for Word</vt:lpwstr>
  </property>
  <property fmtid="{D5CDD505-2E9C-101B-9397-08002B2CF9AE}" pid="4" name="LastSaved">
    <vt:filetime>2020-05-03T00:00:00Z</vt:filetime>
  </property>
</Properties>
</file>